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595A10"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A573DD">
        <w:rPr>
          <w:b/>
          <w:sz w:val="24"/>
          <w:szCs w:val="24"/>
        </w:rPr>
        <w:t> </w:t>
      </w:r>
      <w:r w:rsidR="00A573DD">
        <w:rPr>
          <w:b/>
          <w:sz w:val="24"/>
          <w:szCs w:val="24"/>
        </w:rPr>
        <w:t> </w:t>
      </w:r>
      <w:r w:rsidR="00A573DD">
        <w:rPr>
          <w:b/>
          <w:sz w:val="24"/>
          <w:szCs w:val="24"/>
        </w:rPr>
        <w:t> </w:t>
      </w:r>
      <w:r w:rsidR="00A573DD">
        <w:rPr>
          <w:b/>
          <w:sz w:val="24"/>
          <w:szCs w:val="24"/>
        </w:rPr>
        <w:t> </w:t>
      </w:r>
      <w:r w:rsidR="00A573DD">
        <w:rPr>
          <w:b/>
          <w:sz w:val="24"/>
          <w:szCs w:val="24"/>
        </w:rPr>
        <w:t> </w:t>
      </w:r>
      <w:r w:rsidRPr="0096251D">
        <w:rPr>
          <w:b/>
          <w:sz w:val="24"/>
          <w:szCs w:val="24"/>
        </w:rPr>
        <w:fldChar w:fldCharType="end"/>
      </w:r>
      <w:bookmarkEnd w:id="0"/>
    </w:p>
    <w:bookmarkStart w:id="1" w:name="Text42"/>
    <w:p w:rsidR="00F34FB5" w:rsidRPr="00B938BB" w:rsidRDefault="00595A10"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A573DD">
        <w:rPr>
          <w:i/>
          <w:sz w:val="24"/>
          <w:szCs w:val="24"/>
        </w:rPr>
        <w:t> </w:t>
      </w:r>
      <w:r w:rsidR="00A573DD">
        <w:rPr>
          <w:i/>
          <w:sz w:val="24"/>
          <w:szCs w:val="24"/>
        </w:rPr>
        <w:t> </w:t>
      </w:r>
      <w:r w:rsidR="00A573DD">
        <w:rPr>
          <w:i/>
          <w:sz w:val="24"/>
          <w:szCs w:val="24"/>
        </w:rPr>
        <w:t> </w:t>
      </w:r>
      <w:r w:rsidR="00A573DD">
        <w:rPr>
          <w:i/>
          <w:sz w:val="24"/>
          <w:szCs w:val="24"/>
        </w:rPr>
        <w:t> </w:t>
      </w:r>
      <w:r w:rsidR="00A573DD">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720EA9" w:rsidRDefault="00C55FDF" w:rsidP="00CA7795">
      <w:pPr>
        <w:jc w:val="center"/>
        <w:rPr>
          <w:rFonts w:ascii="Bookman Old Style" w:hAnsi="Bookman Old Style"/>
          <w:b/>
          <w:sz w:val="24"/>
          <w:szCs w:val="24"/>
        </w:rPr>
      </w:pPr>
      <w:r w:rsidRPr="00720EA9">
        <w:rPr>
          <w:rFonts w:ascii="Bookman Old Style" w:hAnsi="Bookman Old Style"/>
          <w:b/>
          <w:sz w:val="24"/>
          <w:szCs w:val="24"/>
        </w:rPr>
        <w:t>IN THE SUPREME COURT OF SEYCHELLES</w:t>
      </w:r>
    </w:p>
    <w:p w:rsidR="00C55FDF" w:rsidRPr="00720EA9" w:rsidRDefault="00C55FDF" w:rsidP="0006489F">
      <w:pPr>
        <w:spacing w:before="240"/>
        <w:jc w:val="center"/>
        <w:rPr>
          <w:rFonts w:ascii="Bookman Old Style" w:hAnsi="Bookman Old Style"/>
          <w:b/>
          <w:sz w:val="24"/>
          <w:szCs w:val="24"/>
        </w:rPr>
      </w:pPr>
      <w:r w:rsidRPr="00720EA9">
        <w:rPr>
          <w:rFonts w:ascii="Bookman Old Style" w:hAnsi="Bookman Old Style"/>
          <w:b/>
          <w:sz w:val="24"/>
          <w:szCs w:val="24"/>
        </w:rPr>
        <w:t>C</w:t>
      </w:r>
      <w:r w:rsidR="00B23E73" w:rsidRPr="00720EA9">
        <w:rPr>
          <w:rFonts w:ascii="Bookman Old Style" w:hAnsi="Bookman Old Style"/>
          <w:b/>
          <w:sz w:val="24"/>
          <w:szCs w:val="24"/>
        </w:rPr>
        <w:t xml:space="preserve">ivil </w:t>
      </w:r>
      <w:r w:rsidRPr="00720EA9">
        <w:rPr>
          <w:rFonts w:ascii="Bookman Old Style" w:hAnsi="Bookman Old Style"/>
          <w:b/>
          <w:sz w:val="24"/>
          <w:szCs w:val="24"/>
        </w:rPr>
        <w:t>S</w:t>
      </w:r>
      <w:r w:rsidR="00BF5CC9" w:rsidRPr="00720EA9">
        <w:rPr>
          <w:rFonts w:ascii="Bookman Old Style" w:hAnsi="Bookman Old Style"/>
          <w:b/>
          <w:sz w:val="24"/>
          <w:szCs w:val="24"/>
        </w:rPr>
        <w:t xml:space="preserve">ide: </w:t>
      </w:r>
      <w:bookmarkStart w:id="2" w:name="Dropdown10"/>
      <w:r w:rsidR="00595A10" w:rsidRPr="00720EA9">
        <w:rPr>
          <w:rFonts w:ascii="Bookman Old Style" w:hAnsi="Bookman Old Style"/>
          <w:b/>
          <w:sz w:val="24"/>
          <w:szCs w:val="24"/>
        </w:rPr>
        <w:fldChar w:fldCharType="begin">
          <w:ffData>
            <w:name w:val="Dropdown10"/>
            <w:enabled/>
            <w:calcOnExit w:val="0"/>
            <w:ddList>
              <w:listEntry w:val="CS"/>
              <w:listEntry w:val="CC"/>
              <w:listEntry w:val="CM"/>
            </w:ddList>
          </w:ffData>
        </w:fldChar>
      </w:r>
      <w:r w:rsidR="00B40898" w:rsidRPr="00720EA9">
        <w:rPr>
          <w:rFonts w:ascii="Bookman Old Style" w:hAnsi="Bookman Old Style"/>
          <w:b/>
          <w:sz w:val="24"/>
          <w:szCs w:val="24"/>
        </w:rPr>
        <w:instrText xml:space="preserve"> FORMDROPDOWN </w:instrText>
      </w:r>
      <w:r w:rsidR="00595A10" w:rsidRPr="00720EA9">
        <w:rPr>
          <w:rFonts w:ascii="Bookman Old Style" w:hAnsi="Bookman Old Style"/>
          <w:b/>
          <w:sz w:val="24"/>
          <w:szCs w:val="24"/>
        </w:rPr>
      </w:r>
      <w:r w:rsidR="00595A10" w:rsidRPr="00720EA9">
        <w:rPr>
          <w:rFonts w:ascii="Bookman Old Style" w:hAnsi="Bookman Old Style"/>
          <w:b/>
          <w:sz w:val="24"/>
          <w:szCs w:val="24"/>
        </w:rPr>
        <w:fldChar w:fldCharType="end"/>
      </w:r>
      <w:bookmarkEnd w:id="2"/>
      <w:r w:rsidR="00454FA6">
        <w:rPr>
          <w:rFonts w:ascii="Bookman Old Style" w:hAnsi="Bookman Old Style"/>
          <w:b/>
          <w:sz w:val="24"/>
          <w:szCs w:val="24"/>
        </w:rPr>
        <w:t xml:space="preserve"> 57</w:t>
      </w:r>
      <w:r w:rsidRPr="00720EA9">
        <w:rPr>
          <w:rFonts w:ascii="Bookman Old Style" w:hAnsi="Bookman Old Style"/>
          <w:b/>
          <w:sz w:val="24"/>
          <w:szCs w:val="24"/>
        </w:rPr>
        <w:t>/</w:t>
      </w:r>
      <w:r w:rsidR="00C87FCA" w:rsidRPr="00720EA9">
        <w:rPr>
          <w:rFonts w:ascii="Bookman Old Style" w:hAnsi="Bookman Old Style"/>
          <w:b/>
          <w:sz w:val="24"/>
          <w:szCs w:val="24"/>
        </w:rPr>
        <w:t>20</w:t>
      </w:r>
      <w:r w:rsidR="00454FA6">
        <w:rPr>
          <w:rFonts w:ascii="Bookman Old Style" w:hAnsi="Bookman Old Style"/>
          <w:b/>
          <w:sz w:val="24"/>
          <w:szCs w:val="24"/>
        </w:rPr>
        <w:t>15</w:t>
      </w:r>
    </w:p>
    <w:p w:rsidR="00DB6D34" w:rsidRPr="00720EA9" w:rsidRDefault="00DB6D34" w:rsidP="003651F4">
      <w:pPr>
        <w:spacing w:before="240" w:after="160"/>
        <w:ind w:left="6480"/>
        <w:rPr>
          <w:rFonts w:ascii="Bookman Old Style" w:hAnsi="Bookman Old Style"/>
          <w:b/>
          <w:sz w:val="24"/>
          <w:szCs w:val="24"/>
        </w:rPr>
      </w:pPr>
      <w:r w:rsidRPr="00720EA9">
        <w:rPr>
          <w:rFonts w:ascii="Bookman Old Style" w:hAnsi="Bookman Old Style"/>
          <w:b/>
          <w:sz w:val="24"/>
          <w:szCs w:val="24"/>
        </w:rPr>
        <w:t>[201</w:t>
      </w:r>
      <w:r w:rsidR="00D26133">
        <w:rPr>
          <w:rFonts w:ascii="Bookman Old Style" w:hAnsi="Bookman Old Style"/>
          <w:b/>
          <w:sz w:val="24"/>
          <w:szCs w:val="24"/>
        </w:rPr>
        <w:t>6</w:t>
      </w:r>
      <w:r w:rsidR="00595A10" w:rsidRPr="00720EA9">
        <w:rPr>
          <w:rFonts w:ascii="Bookman Old Style" w:hAnsi="Bookman Old Style"/>
          <w:b/>
          <w:sz w:val="24"/>
          <w:szCs w:val="24"/>
        </w:rPr>
        <w:fldChar w:fldCharType="begin"/>
      </w:r>
      <w:r w:rsidR="00595A10" w:rsidRPr="00720EA9">
        <w:rPr>
          <w:rFonts w:ascii="Bookman Old Style" w:hAnsi="Bookman Old Style"/>
          <w:b/>
          <w:sz w:val="24"/>
          <w:szCs w:val="24"/>
        </w:rPr>
        <w:fldChar w:fldCharType="end"/>
      </w:r>
      <w:r w:rsidRPr="00720EA9">
        <w:rPr>
          <w:rFonts w:ascii="Bookman Old Style" w:hAnsi="Bookman Old Style"/>
          <w:b/>
          <w:sz w:val="24"/>
          <w:szCs w:val="24"/>
        </w:rPr>
        <w:t>] SCSC</w:t>
      </w:r>
      <w:r w:rsidR="006349AC">
        <w:rPr>
          <w:rFonts w:ascii="Bookman Old Style" w:hAnsi="Bookman Old Style"/>
          <w:b/>
          <w:sz w:val="24"/>
          <w:szCs w:val="24"/>
        </w:rPr>
        <w:t>208</w:t>
      </w:r>
    </w:p>
    <w:p w:rsidR="00C55FDF" w:rsidRPr="00720EA9" w:rsidRDefault="00C55FDF" w:rsidP="00E57D4D">
      <w:pPr>
        <w:pBdr>
          <w:bottom w:val="single" w:sz="4" w:space="5" w:color="auto"/>
        </w:pBdr>
        <w:jc w:val="center"/>
        <w:rPr>
          <w:rFonts w:ascii="Bookman Old Style" w:hAnsi="Bookman Old Style"/>
          <w:b/>
          <w:sz w:val="24"/>
          <w:szCs w:val="24"/>
        </w:rPr>
      </w:pPr>
    </w:p>
    <w:p w:rsidR="00612AD5" w:rsidRDefault="00612AD5" w:rsidP="0096428F">
      <w:pPr>
        <w:jc w:val="center"/>
        <w:rPr>
          <w:rFonts w:ascii="Bookman Old Style" w:hAnsi="Bookman Old Style"/>
          <w:sz w:val="24"/>
          <w:szCs w:val="24"/>
        </w:rPr>
      </w:pPr>
      <w:bookmarkStart w:id="3" w:name="Text20"/>
    </w:p>
    <w:p w:rsidR="0096428F" w:rsidRPr="00720EA9" w:rsidRDefault="00454FA6" w:rsidP="00B40898">
      <w:pPr>
        <w:spacing w:after="240"/>
        <w:jc w:val="center"/>
        <w:rPr>
          <w:rFonts w:ascii="Bookman Old Style" w:hAnsi="Bookman Old Style"/>
          <w:b/>
          <w:sz w:val="24"/>
          <w:szCs w:val="24"/>
        </w:rPr>
      </w:pPr>
      <w:bookmarkStart w:id="4" w:name="Dropdown13"/>
      <w:bookmarkEnd w:id="3"/>
      <w:r>
        <w:rPr>
          <w:rFonts w:ascii="Bookman Old Style" w:hAnsi="Bookman Old Style"/>
          <w:b/>
          <w:sz w:val="24"/>
          <w:szCs w:val="24"/>
        </w:rPr>
        <w:t>NEDDY SANDRA MIRENDA NOUR</w:t>
      </w:r>
      <w:r w:rsidR="00464520">
        <w:rPr>
          <w:rFonts w:ascii="Bookman Old Style" w:hAnsi="Bookman Old Style"/>
          <w:b/>
          <w:sz w:val="24"/>
          <w:szCs w:val="24"/>
        </w:rPr>
        <w:t>R</w:t>
      </w:r>
      <w:r>
        <w:rPr>
          <w:rFonts w:ascii="Bookman Old Style" w:hAnsi="Bookman Old Style"/>
          <w:b/>
          <w:sz w:val="24"/>
          <w:szCs w:val="24"/>
        </w:rPr>
        <w:t>ICE OF BEL EAU</w:t>
      </w:r>
      <w:r w:rsidR="00AD5D64">
        <w:rPr>
          <w:rFonts w:ascii="Bookman Old Style" w:hAnsi="Bookman Old Style"/>
          <w:b/>
          <w:sz w:val="24"/>
          <w:szCs w:val="24"/>
        </w:rPr>
        <w:t>, MAHE</w:t>
      </w:r>
    </w:p>
    <w:p w:rsidR="00B40898" w:rsidRDefault="00454FA6" w:rsidP="00B40898">
      <w:pPr>
        <w:spacing w:after="240"/>
        <w:jc w:val="center"/>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vertAlign w:val="superscript"/>
        </w:rPr>
        <w:t>st</w:t>
      </w:r>
      <w:r w:rsidR="00595A10" w:rsidRPr="00720EA9">
        <w:rPr>
          <w:rFonts w:ascii="Bookman Old Style" w:hAnsi="Bookman Old Style"/>
          <w:sz w:val="24"/>
          <w:szCs w:val="24"/>
        </w:rPr>
        <w:fldChar w:fldCharType="begin">
          <w:ffData>
            <w:name w:val="Dropdown13"/>
            <w:enabled/>
            <w:calcOnExit w:val="0"/>
            <w:ddList>
              <w:listEntry w:val="Plaintiff"/>
              <w:listEntry w:val="First Plaintiff"/>
            </w:ddList>
          </w:ffData>
        </w:fldChar>
      </w:r>
      <w:r w:rsidR="00B40898" w:rsidRPr="00720EA9">
        <w:rPr>
          <w:rFonts w:ascii="Bookman Old Style" w:hAnsi="Bookman Old Style"/>
          <w:sz w:val="24"/>
          <w:szCs w:val="24"/>
        </w:rPr>
        <w:instrText xml:space="preserve"> FORMDROPDOWN </w:instrText>
      </w:r>
      <w:r w:rsidR="00595A10" w:rsidRPr="00720EA9">
        <w:rPr>
          <w:rFonts w:ascii="Bookman Old Style" w:hAnsi="Bookman Old Style"/>
          <w:sz w:val="24"/>
          <w:szCs w:val="24"/>
        </w:rPr>
      </w:r>
      <w:r w:rsidR="00595A10" w:rsidRPr="00720EA9">
        <w:rPr>
          <w:rFonts w:ascii="Bookman Old Style" w:hAnsi="Bookman Old Style"/>
          <w:sz w:val="24"/>
          <w:szCs w:val="24"/>
        </w:rPr>
        <w:fldChar w:fldCharType="end"/>
      </w:r>
      <w:bookmarkEnd w:id="4"/>
    </w:p>
    <w:p w:rsidR="00454FA6" w:rsidRDefault="00454FA6" w:rsidP="00B40898">
      <w:pPr>
        <w:spacing w:after="240"/>
        <w:jc w:val="center"/>
        <w:rPr>
          <w:rFonts w:ascii="Bookman Old Style" w:hAnsi="Bookman Old Style"/>
          <w:b/>
          <w:sz w:val="24"/>
          <w:szCs w:val="24"/>
        </w:rPr>
      </w:pPr>
      <w:r w:rsidRPr="00454FA6">
        <w:rPr>
          <w:rFonts w:ascii="Bookman Old Style" w:hAnsi="Bookman Old Style"/>
          <w:b/>
          <w:sz w:val="24"/>
          <w:szCs w:val="24"/>
        </w:rPr>
        <w:t>JOSEPH</w:t>
      </w:r>
      <w:r>
        <w:rPr>
          <w:rFonts w:ascii="Bookman Old Style" w:hAnsi="Bookman Old Style"/>
          <w:b/>
          <w:sz w:val="24"/>
          <w:szCs w:val="24"/>
        </w:rPr>
        <w:t xml:space="preserve"> MANDY KADY NOUR</w:t>
      </w:r>
      <w:r w:rsidR="00464520">
        <w:rPr>
          <w:rFonts w:ascii="Bookman Old Style" w:hAnsi="Bookman Old Style"/>
          <w:b/>
          <w:sz w:val="24"/>
          <w:szCs w:val="24"/>
        </w:rPr>
        <w:t>R</w:t>
      </w:r>
      <w:r>
        <w:rPr>
          <w:rFonts w:ascii="Bookman Old Style" w:hAnsi="Bookman Old Style"/>
          <w:b/>
          <w:sz w:val="24"/>
          <w:szCs w:val="24"/>
        </w:rPr>
        <w:t>ICE OF ROCHON, MAHE</w:t>
      </w:r>
    </w:p>
    <w:p w:rsidR="00454FA6" w:rsidRPr="00454FA6" w:rsidRDefault="00454FA6" w:rsidP="00B40898">
      <w:pPr>
        <w:spacing w:after="240"/>
        <w:jc w:val="center"/>
        <w:rPr>
          <w:rFonts w:ascii="Bookman Old Style" w:hAnsi="Bookman Old Style"/>
          <w:sz w:val="24"/>
          <w:szCs w:val="24"/>
        </w:rPr>
      </w:pPr>
      <w:r w:rsidRPr="00454FA6">
        <w:rPr>
          <w:rFonts w:ascii="Bookman Old Style" w:hAnsi="Bookman Old Style"/>
          <w:sz w:val="24"/>
          <w:szCs w:val="24"/>
        </w:rPr>
        <w:t>2</w:t>
      </w:r>
      <w:r w:rsidRPr="00454FA6">
        <w:rPr>
          <w:rFonts w:ascii="Bookman Old Style" w:hAnsi="Bookman Old Style"/>
          <w:sz w:val="24"/>
          <w:szCs w:val="24"/>
          <w:vertAlign w:val="superscript"/>
        </w:rPr>
        <w:t xml:space="preserve">nd </w:t>
      </w:r>
      <w:r w:rsidRPr="00454FA6">
        <w:rPr>
          <w:rFonts w:ascii="Bookman Old Style" w:hAnsi="Bookman Old Style"/>
          <w:sz w:val="24"/>
          <w:szCs w:val="24"/>
        </w:rPr>
        <w:t xml:space="preserve">Plaintiff </w:t>
      </w:r>
    </w:p>
    <w:p w:rsidR="00454FA6" w:rsidRDefault="00454FA6" w:rsidP="00B40898">
      <w:pPr>
        <w:spacing w:after="240"/>
        <w:jc w:val="center"/>
        <w:rPr>
          <w:rFonts w:ascii="Bookman Old Style" w:hAnsi="Bookman Old Style"/>
          <w:b/>
          <w:sz w:val="24"/>
          <w:szCs w:val="24"/>
        </w:rPr>
      </w:pPr>
      <w:r>
        <w:rPr>
          <w:rFonts w:ascii="Bookman Old Style" w:hAnsi="Bookman Old Style"/>
          <w:b/>
          <w:sz w:val="24"/>
          <w:szCs w:val="24"/>
        </w:rPr>
        <w:t>DEREK DAVE STIM NOU</w:t>
      </w:r>
      <w:r w:rsidR="00464520">
        <w:rPr>
          <w:rFonts w:ascii="Bookman Old Style" w:hAnsi="Bookman Old Style"/>
          <w:b/>
          <w:sz w:val="24"/>
          <w:szCs w:val="24"/>
        </w:rPr>
        <w:t>R</w:t>
      </w:r>
      <w:r>
        <w:rPr>
          <w:rFonts w:ascii="Bookman Old Style" w:hAnsi="Bookman Old Style"/>
          <w:b/>
          <w:sz w:val="24"/>
          <w:szCs w:val="24"/>
        </w:rPr>
        <w:t>RICE OF ROCHON, MAHE</w:t>
      </w:r>
    </w:p>
    <w:p w:rsidR="00454FA6" w:rsidRPr="00454FA6" w:rsidRDefault="00454FA6" w:rsidP="00B40898">
      <w:pPr>
        <w:spacing w:after="240"/>
        <w:jc w:val="center"/>
        <w:rPr>
          <w:rFonts w:ascii="Bookman Old Style" w:hAnsi="Bookman Old Style"/>
          <w:sz w:val="24"/>
          <w:szCs w:val="24"/>
        </w:rPr>
      </w:pPr>
      <w:r w:rsidRPr="00454FA6">
        <w:rPr>
          <w:rFonts w:ascii="Bookman Old Style" w:hAnsi="Bookman Old Style"/>
          <w:sz w:val="24"/>
          <w:szCs w:val="24"/>
        </w:rPr>
        <w:t>3</w:t>
      </w:r>
      <w:r w:rsidRPr="00454FA6">
        <w:rPr>
          <w:rFonts w:ascii="Bookman Old Style" w:hAnsi="Bookman Old Style"/>
          <w:sz w:val="24"/>
          <w:szCs w:val="24"/>
          <w:vertAlign w:val="superscript"/>
        </w:rPr>
        <w:t>rd</w:t>
      </w:r>
      <w:r w:rsidRPr="00454FA6">
        <w:rPr>
          <w:rFonts w:ascii="Bookman Old Style" w:hAnsi="Bookman Old Style"/>
          <w:sz w:val="24"/>
          <w:szCs w:val="24"/>
        </w:rPr>
        <w:t xml:space="preserve"> Plaintiff</w:t>
      </w:r>
    </w:p>
    <w:p w:rsidR="00454FA6" w:rsidRDefault="00454FA6" w:rsidP="00B40898">
      <w:pPr>
        <w:spacing w:after="240"/>
        <w:jc w:val="center"/>
        <w:rPr>
          <w:rFonts w:ascii="Bookman Old Style" w:hAnsi="Bookman Old Style"/>
          <w:b/>
          <w:sz w:val="24"/>
          <w:szCs w:val="24"/>
        </w:rPr>
      </w:pPr>
      <w:r>
        <w:rPr>
          <w:rFonts w:ascii="Bookman Old Style" w:hAnsi="Bookman Old Style"/>
          <w:b/>
          <w:sz w:val="24"/>
          <w:szCs w:val="24"/>
        </w:rPr>
        <w:t>ELISA MARIONETTE JACQUELINE NOU</w:t>
      </w:r>
      <w:r w:rsidR="00464520">
        <w:rPr>
          <w:rFonts w:ascii="Bookman Old Style" w:hAnsi="Bookman Old Style"/>
          <w:b/>
          <w:sz w:val="24"/>
          <w:szCs w:val="24"/>
        </w:rPr>
        <w:t>R</w:t>
      </w:r>
      <w:r>
        <w:rPr>
          <w:rFonts w:ascii="Bookman Old Style" w:hAnsi="Bookman Old Style"/>
          <w:b/>
          <w:sz w:val="24"/>
          <w:szCs w:val="24"/>
        </w:rPr>
        <w:t>RICE OF ROCHON, MAHE</w:t>
      </w:r>
    </w:p>
    <w:p w:rsidR="00454FA6" w:rsidRPr="00454FA6" w:rsidRDefault="00454FA6" w:rsidP="00B40898">
      <w:pPr>
        <w:spacing w:after="240"/>
        <w:jc w:val="center"/>
        <w:rPr>
          <w:rFonts w:ascii="Bookman Old Style" w:hAnsi="Bookman Old Style"/>
          <w:sz w:val="24"/>
          <w:szCs w:val="24"/>
        </w:rPr>
      </w:pPr>
      <w:r w:rsidRPr="00454FA6">
        <w:rPr>
          <w:rFonts w:ascii="Bookman Old Style" w:hAnsi="Bookman Old Style"/>
          <w:sz w:val="24"/>
          <w:szCs w:val="24"/>
        </w:rPr>
        <w:t>4</w:t>
      </w:r>
      <w:r w:rsidRPr="00454FA6">
        <w:rPr>
          <w:rFonts w:ascii="Bookman Old Style" w:hAnsi="Bookman Old Style"/>
          <w:sz w:val="24"/>
          <w:szCs w:val="24"/>
          <w:vertAlign w:val="superscript"/>
        </w:rPr>
        <w:t>th</w:t>
      </w:r>
      <w:r w:rsidRPr="00454FA6">
        <w:rPr>
          <w:rFonts w:ascii="Bookman Old Style" w:hAnsi="Bookman Old Style"/>
          <w:sz w:val="24"/>
          <w:szCs w:val="24"/>
        </w:rPr>
        <w:t xml:space="preserve"> Plaintiff</w:t>
      </w:r>
    </w:p>
    <w:p w:rsidR="00454FA6" w:rsidRPr="00454FA6" w:rsidRDefault="00454FA6" w:rsidP="00B40898">
      <w:pPr>
        <w:spacing w:after="240"/>
        <w:jc w:val="center"/>
        <w:rPr>
          <w:rFonts w:ascii="Bookman Old Style" w:hAnsi="Bookman Old Style"/>
          <w:b/>
          <w:sz w:val="24"/>
          <w:szCs w:val="24"/>
        </w:rPr>
      </w:pPr>
      <w:r w:rsidRPr="00454FA6">
        <w:rPr>
          <w:rFonts w:ascii="Bookman Old Style" w:hAnsi="Bookman Old Style"/>
          <w:b/>
          <w:sz w:val="24"/>
          <w:szCs w:val="24"/>
        </w:rPr>
        <w:t>MARIE ANTOINE PAMELA NOUR</w:t>
      </w:r>
      <w:r w:rsidR="00464520">
        <w:rPr>
          <w:rFonts w:ascii="Bookman Old Style" w:hAnsi="Bookman Old Style"/>
          <w:b/>
          <w:sz w:val="24"/>
          <w:szCs w:val="24"/>
        </w:rPr>
        <w:t>R</w:t>
      </w:r>
      <w:r w:rsidRPr="00454FA6">
        <w:rPr>
          <w:rFonts w:ascii="Bookman Old Style" w:hAnsi="Bookman Old Style"/>
          <w:b/>
          <w:sz w:val="24"/>
          <w:szCs w:val="24"/>
        </w:rPr>
        <w:t>ICE</w:t>
      </w:r>
    </w:p>
    <w:p w:rsidR="00454FA6" w:rsidRDefault="00454FA6" w:rsidP="00B40898">
      <w:pPr>
        <w:spacing w:after="240"/>
        <w:jc w:val="center"/>
        <w:rPr>
          <w:rFonts w:ascii="Bookman Old Style" w:hAnsi="Bookman Old Style"/>
          <w:sz w:val="24"/>
          <w:szCs w:val="24"/>
        </w:rPr>
      </w:pPr>
      <w:r w:rsidRPr="00454FA6">
        <w:rPr>
          <w:rFonts w:ascii="Bookman Old Style" w:hAnsi="Bookman Old Style"/>
          <w:sz w:val="24"/>
          <w:szCs w:val="24"/>
        </w:rPr>
        <w:t>5</w:t>
      </w:r>
      <w:r w:rsidRPr="00454FA6">
        <w:rPr>
          <w:rFonts w:ascii="Bookman Old Style" w:hAnsi="Bookman Old Style"/>
          <w:sz w:val="24"/>
          <w:szCs w:val="24"/>
          <w:vertAlign w:val="superscript"/>
        </w:rPr>
        <w:t>th</w:t>
      </w:r>
      <w:r w:rsidRPr="00454FA6">
        <w:rPr>
          <w:rFonts w:ascii="Bookman Old Style" w:hAnsi="Bookman Old Style"/>
          <w:sz w:val="24"/>
          <w:szCs w:val="24"/>
        </w:rPr>
        <w:t xml:space="preserve"> Plaintiff</w:t>
      </w:r>
    </w:p>
    <w:p w:rsidR="00AD5D64" w:rsidRPr="00BB1800" w:rsidRDefault="00454FA6" w:rsidP="003862CB">
      <w:pPr>
        <w:jc w:val="center"/>
        <w:rPr>
          <w:rFonts w:ascii="Bookman Old Style" w:hAnsi="Bookman Old Style"/>
          <w:sz w:val="24"/>
          <w:szCs w:val="24"/>
        </w:rPr>
      </w:pPr>
      <w:r>
        <w:rPr>
          <w:rFonts w:ascii="Bookman Old Style" w:hAnsi="Bookman Old Style"/>
          <w:b/>
          <w:sz w:val="24"/>
          <w:szCs w:val="24"/>
        </w:rPr>
        <w:t xml:space="preserve">FLORA NICETTE OF LA GOGUE, MAHE </w:t>
      </w:r>
    </w:p>
    <w:p w:rsidR="00AD5D64" w:rsidRDefault="00AD5D64" w:rsidP="003862CB">
      <w:pPr>
        <w:jc w:val="center"/>
        <w:rPr>
          <w:rFonts w:ascii="Bookman Old Style" w:hAnsi="Bookman Old Style"/>
          <w:b/>
          <w:sz w:val="24"/>
          <w:szCs w:val="24"/>
        </w:rPr>
      </w:pPr>
    </w:p>
    <w:p w:rsidR="00AD5D64" w:rsidRPr="00454FA6" w:rsidRDefault="00454FA6" w:rsidP="003862CB">
      <w:pPr>
        <w:jc w:val="center"/>
        <w:rPr>
          <w:rFonts w:ascii="Bookman Old Style" w:hAnsi="Bookman Old Style"/>
          <w:sz w:val="24"/>
          <w:szCs w:val="24"/>
        </w:rPr>
      </w:pPr>
      <w:r w:rsidRPr="00454FA6">
        <w:rPr>
          <w:rFonts w:ascii="Bookman Old Style" w:hAnsi="Bookman Old Style"/>
          <w:sz w:val="24"/>
          <w:szCs w:val="24"/>
        </w:rPr>
        <w:t xml:space="preserve">Defendant </w:t>
      </w:r>
    </w:p>
    <w:p w:rsidR="00AD5D64" w:rsidRDefault="00AD5D64" w:rsidP="003862CB">
      <w:pPr>
        <w:jc w:val="center"/>
        <w:rPr>
          <w:rFonts w:ascii="Bookman Old Style" w:hAnsi="Bookman Old Style"/>
          <w:b/>
          <w:sz w:val="24"/>
          <w:szCs w:val="24"/>
        </w:rPr>
      </w:pPr>
    </w:p>
    <w:p w:rsidR="00B119B1" w:rsidRPr="00720EA9" w:rsidRDefault="00B119B1" w:rsidP="00951EC0">
      <w:pPr>
        <w:jc w:val="center"/>
        <w:rPr>
          <w:rFonts w:ascii="Bookman Old Style" w:hAnsi="Bookman Old Style"/>
          <w:sz w:val="24"/>
          <w:szCs w:val="24"/>
        </w:rPr>
        <w:sectPr w:rsidR="00B119B1" w:rsidRPr="00720EA9" w:rsidSect="00EF2051">
          <w:footerReference w:type="default" r:id="rId8"/>
          <w:type w:val="continuous"/>
          <w:pgSz w:w="12240" w:h="15840"/>
          <w:pgMar w:top="1440" w:right="1440" w:bottom="1440" w:left="1440" w:header="720" w:footer="720" w:gutter="0"/>
          <w:cols w:space="720"/>
          <w:formProt w:val="0"/>
          <w:docGrid w:linePitch="360"/>
        </w:sectPr>
      </w:pPr>
    </w:p>
    <w:p w:rsidR="00E0467F" w:rsidRPr="00720EA9" w:rsidRDefault="00E0467F" w:rsidP="00E57D4D">
      <w:pPr>
        <w:pBdr>
          <w:bottom w:val="single" w:sz="4" w:space="1" w:color="auto"/>
        </w:pBdr>
        <w:jc w:val="center"/>
        <w:rPr>
          <w:rFonts w:ascii="Bookman Old Style" w:hAnsi="Bookman Old Style"/>
          <w:sz w:val="24"/>
          <w:szCs w:val="24"/>
        </w:rPr>
      </w:pPr>
    </w:p>
    <w:p w:rsidR="00E0467F" w:rsidRPr="00720EA9" w:rsidRDefault="00E0467F" w:rsidP="00C22967">
      <w:pPr>
        <w:spacing w:before="240" w:after="120"/>
        <w:rPr>
          <w:rFonts w:ascii="Bookman Old Style" w:hAnsi="Bookman Old Style"/>
          <w:sz w:val="24"/>
          <w:szCs w:val="24"/>
        </w:rPr>
      </w:pPr>
      <w:r w:rsidRPr="00720EA9">
        <w:rPr>
          <w:rFonts w:ascii="Bookman Old Style" w:hAnsi="Bookman Old Style"/>
          <w:sz w:val="24"/>
          <w:szCs w:val="24"/>
        </w:rPr>
        <w:t>Hear</w:t>
      </w:r>
      <w:r w:rsidR="00E6492F" w:rsidRPr="00720EA9">
        <w:rPr>
          <w:rFonts w:ascii="Bookman Old Style" w:hAnsi="Bookman Old Style"/>
          <w:sz w:val="24"/>
          <w:szCs w:val="24"/>
        </w:rPr>
        <w:t>d</w:t>
      </w:r>
      <w:r w:rsidRPr="00720EA9">
        <w:rPr>
          <w:rFonts w:ascii="Bookman Old Style" w:hAnsi="Bookman Old Style"/>
          <w:sz w:val="24"/>
          <w:szCs w:val="24"/>
        </w:rPr>
        <w:t>:</w:t>
      </w:r>
      <w:r w:rsidR="00E6492F" w:rsidRPr="00720EA9">
        <w:rPr>
          <w:rFonts w:ascii="Bookman Old Style" w:hAnsi="Bookman Old Style"/>
          <w:sz w:val="24"/>
          <w:szCs w:val="24"/>
        </w:rPr>
        <w:tab/>
      </w:r>
      <w:r w:rsidRPr="00720EA9">
        <w:rPr>
          <w:rFonts w:ascii="Bookman Old Style" w:hAnsi="Bookman Old Style"/>
          <w:sz w:val="24"/>
          <w:szCs w:val="24"/>
        </w:rPr>
        <w:tab/>
      </w:r>
      <w:r w:rsidR="0070599B">
        <w:rPr>
          <w:rFonts w:ascii="Bookman Old Style" w:hAnsi="Bookman Old Style"/>
          <w:sz w:val="24"/>
          <w:szCs w:val="24"/>
        </w:rPr>
        <w:t>22</w:t>
      </w:r>
      <w:r w:rsidR="0070599B" w:rsidRPr="0070599B">
        <w:rPr>
          <w:rFonts w:ascii="Bookman Old Style" w:hAnsi="Bookman Old Style"/>
          <w:sz w:val="24"/>
          <w:szCs w:val="24"/>
          <w:vertAlign w:val="superscript"/>
        </w:rPr>
        <w:t>nd</w:t>
      </w:r>
      <w:r w:rsidR="0070599B">
        <w:rPr>
          <w:rFonts w:ascii="Bookman Old Style" w:hAnsi="Bookman Old Style"/>
          <w:sz w:val="24"/>
          <w:szCs w:val="24"/>
        </w:rPr>
        <w:t xml:space="preserve"> day of February </w:t>
      </w:r>
      <w:r w:rsidR="00BB1800">
        <w:rPr>
          <w:rFonts w:ascii="Bookman Old Style" w:hAnsi="Bookman Old Style"/>
          <w:sz w:val="24"/>
          <w:szCs w:val="24"/>
        </w:rPr>
        <w:t>2016</w:t>
      </w:r>
      <w:r w:rsidR="00595A10" w:rsidRPr="00720EA9">
        <w:rPr>
          <w:rFonts w:ascii="Bookman Old Style" w:hAnsi="Bookman Old Style"/>
          <w:sz w:val="24"/>
          <w:szCs w:val="24"/>
        </w:rPr>
        <w:fldChar w:fldCharType="begin"/>
      </w:r>
      <w:r w:rsidR="00595A10" w:rsidRPr="00720EA9">
        <w:rPr>
          <w:rFonts w:ascii="Bookman Old Style" w:hAnsi="Bookman Old Style"/>
          <w:sz w:val="24"/>
          <w:szCs w:val="24"/>
        </w:rPr>
        <w:fldChar w:fldCharType="end"/>
      </w:r>
    </w:p>
    <w:p w:rsidR="00BB1800" w:rsidRDefault="00E0467F" w:rsidP="009E05E5">
      <w:pPr>
        <w:rPr>
          <w:rFonts w:ascii="Bookman Old Style" w:hAnsi="Bookman Old Style"/>
          <w:sz w:val="24"/>
          <w:szCs w:val="24"/>
        </w:rPr>
      </w:pPr>
      <w:r w:rsidRPr="00720EA9">
        <w:rPr>
          <w:rFonts w:ascii="Bookman Old Style" w:hAnsi="Bookman Old Style"/>
          <w:sz w:val="24"/>
          <w:szCs w:val="24"/>
        </w:rPr>
        <w:t>Counsel:</w:t>
      </w:r>
      <w:r w:rsidRPr="00720EA9">
        <w:rPr>
          <w:rFonts w:ascii="Bookman Old Style" w:hAnsi="Bookman Old Style"/>
          <w:sz w:val="24"/>
          <w:szCs w:val="24"/>
        </w:rPr>
        <w:tab/>
      </w:r>
      <w:r w:rsidRPr="00720EA9">
        <w:rPr>
          <w:rFonts w:ascii="Bookman Old Style" w:hAnsi="Bookman Old Style"/>
          <w:sz w:val="24"/>
          <w:szCs w:val="24"/>
        </w:rPr>
        <w:tab/>
      </w:r>
      <w:r w:rsidR="0070599B">
        <w:rPr>
          <w:rFonts w:ascii="Bookman Old Style" w:hAnsi="Bookman Old Style"/>
          <w:sz w:val="24"/>
          <w:szCs w:val="24"/>
        </w:rPr>
        <w:t>Mr. M</w:t>
      </w:r>
      <w:r w:rsidR="0096428F" w:rsidRPr="00720EA9">
        <w:rPr>
          <w:rFonts w:ascii="Bookman Old Style" w:hAnsi="Bookman Old Style"/>
          <w:sz w:val="24"/>
          <w:szCs w:val="24"/>
        </w:rPr>
        <w:t xml:space="preserve">. </w:t>
      </w:r>
      <w:r w:rsidR="0070599B">
        <w:rPr>
          <w:rFonts w:ascii="Bookman Old Style" w:hAnsi="Bookman Old Style"/>
          <w:sz w:val="24"/>
          <w:szCs w:val="24"/>
        </w:rPr>
        <w:t>Vidot</w:t>
      </w:r>
      <w:r w:rsidR="006349AC">
        <w:rPr>
          <w:rFonts w:ascii="Bookman Old Style" w:hAnsi="Bookman Old Style"/>
          <w:sz w:val="24"/>
          <w:szCs w:val="24"/>
        </w:rPr>
        <w:t xml:space="preserve"> </w:t>
      </w:r>
      <w:r w:rsidR="00595A10" w:rsidRPr="00720EA9">
        <w:rPr>
          <w:rFonts w:ascii="Bookman Old Style" w:hAnsi="Bookman Old Style"/>
          <w:sz w:val="24"/>
          <w:szCs w:val="24"/>
        </w:rPr>
        <w:fldChar w:fldCharType="begin"/>
      </w:r>
      <w:r w:rsidR="00F804CC" w:rsidRPr="00720EA9">
        <w:rPr>
          <w:rFonts w:ascii="Bookman Old Style" w:hAnsi="Bookman Old Style"/>
          <w:sz w:val="24"/>
          <w:szCs w:val="24"/>
        </w:rPr>
        <w:instrText xml:space="preserve"> ASK  "Enter Appellant Lawyer full name"  \* MERGEFORMAT </w:instrText>
      </w:r>
      <w:r w:rsidR="00595A10" w:rsidRPr="00720EA9">
        <w:rPr>
          <w:rFonts w:ascii="Bookman Old Style" w:hAnsi="Bookman Old Style"/>
          <w:sz w:val="24"/>
          <w:szCs w:val="24"/>
        </w:rPr>
        <w:fldChar w:fldCharType="end"/>
      </w:r>
      <w:r w:rsidR="00595A10" w:rsidRPr="00720EA9">
        <w:rPr>
          <w:rFonts w:ascii="Bookman Old Style" w:hAnsi="Bookman Old Style"/>
          <w:sz w:val="24"/>
          <w:szCs w:val="24"/>
        </w:rPr>
        <w:fldChar w:fldCharType="begin"/>
      </w:r>
      <w:r w:rsidR="00595A10" w:rsidRPr="00720EA9">
        <w:rPr>
          <w:rFonts w:ascii="Bookman Old Style" w:hAnsi="Bookman Old Style"/>
          <w:sz w:val="24"/>
          <w:szCs w:val="24"/>
        </w:rPr>
        <w:fldChar w:fldCharType="end"/>
      </w:r>
      <w:r w:rsidR="009E05E5" w:rsidRPr="00720EA9">
        <w:rPr>
          <w:rFonts w:ascii="Bookman Old Style" w:hAnsi="Bookman Old Style"/>
          <w:sz w:val="24"/>
          <w:szCs w:val="24"/>
        </w:rPr>
        <w:t xml:space="preserve">for </w:t>
      </w:r>
      <w:r w:rsidR="006349AC">
        <w:rPr>
          <w:rFonts w:ascii="Bookman Old Style" w:hAnsi="Bookman Old Style"/>
          <w:sz w:val="24"/>
          <w:szCs w:val="24"/>
        </w:rPr>
        <w:t xml:space="preserve">the </w:t>
      </w:r>
      <w:r w:rsidR="0070599B">
        <w:rPr>
          <w:rFonts w:ascii="Bookman Old Style" w:hAnsi="Bookman Old Style"/>
          <w:sz w:val="24"/>
          <w:szCs w:val="24"/>
        </w:rPr>
        <w:t>Plaintiffs</w:t>
      </w:r>
    </w:p>
    <w:p w:rsidR="005F5FB0" w:rsidRPr="00720EA9" w:rsidRDefault="005F5FB0" w:rsidP="009E05E5">
      <w:pPr>
        <w:rPr>
          <w:rFonts w:ascii="Bookman Old Style" w:hAnsi="Bookman Old Style"/>
          <w:sz w:val="24"/>
          <w:szCs w:val="24"/>
        </w:rPr>
        <w:sectPr w:rsidR="005F5FB0" w:rsidRPr="00720EA9" w:rsidSect="00EF2051">
          <w:type w:val="continuous"/>
          <w:pgSz w:w="12240" w:h="15840"/>
          <w:pgMar w:top="1440" w:right="1440" w:bottom="1440" w:left="1440" w:header="720" w:footer="720" w:gutter="0"/>
          <w:cols w:space="720"/>
          <w:docGrid w:linePitch="360"/>
        </w:sectPr>
      </w:pPr>
      <w:r w:rsidRPr="00720EA9">
        <w:rPr>
          <w:rFonts w:ascii="Bookman Old Style" w:hAnsi="Bookman Old Style"/>
          <w:sz w:val="24"/>
          <w:szCs w:val="24"/>
        </w:rPr>
        <w:tab/>
      </w:r>
      <w:r w:rsidRPr="00720EA9">
        <w:rPr>
          <w:rFonts w:ascii="Bookman Old Style" w:hAnsi="Bookman Old Style"/>
          <w:sz w:val="24"/>
          <w:szCs w:val="24"/>
        </w:rPr>
        <w:tab/>
      </w:r>
      <w:r w:rsidRPr="00720EA9">
        <w:rPr>
          <w:rFonts w:ascii="Bookman Old Style" w:hAnsi="Bookman Old Style"/>
          <w:sz w:val="24"/>
          <w:szCs w:val="24"/>
        </w:rPr>
        <w:tab/>
      </w:r>
      <w:r w:rsidR="00595A10" w:rsidRPr="00720EA9">
        <w:rPr>
          <w:rFonts w:ascii="Bookman Old Style" w:hAnsi="Bookman Old Style"/>
          <w:sz w:val="24"/>
          <w:szCs w:val="24"/>
        </w:rPr>
        <w:fldChar w:fldCharType="begin">
          <w:ffData>
            <w:name w:val="Text36"/>
            <w:enabled/>
            <w:calcOnExit w:val="0"/>
            <w:textInput/>
          </w:ffData>
        </w:fldChar>
      </w:r>
      <w:bookmarkStart w:id="5" w:name="Text36"/>
      <w:r w:rsidRPr="00720EA9">
        <w:rPr>
          <w:rFonts w:ascii="Bookman Old Style" w:hAnsi="Bookman Old Style"/>
          <w:sz w:val="24"/>
          <w:szCs w:val="24"/>
        </w:rPr>
        <w:instrText xml:space="preserve"> FORMTEXT </w:instrText>
      </w:r>
      <w:r w:rsidR="00595A10" w:rsidRPr="00720EA9">
        <w:rPr>
          <w:rFonts w:ascii="Bookman Old Style" w:hAnsi="Bookman Old Style"/>
          <w:sz w:val="24"/>
          <w:szCs w:val="24"/>
        </w:rPr>
      </w:r>
      <w:r w:rsidR="00595A10" w:rsidRPr="00720EA9">
        <w:rPr>
          <w:rFonts w:ascii="Bookman Old Style" w:hAnsi="Bookman Old Style"/>
          <w:sz w:val="24"/>
          <w:szCs w:val="24"/>
        </w:rPr>
        <w:fldChar w:fldCharType="separate"/>
      </w:r>
      <w:r w:rsidRPr="00720EA9">
        <w:rPr>
          <w:rFonts w:ascii="Bookman Old Style" w:hAnsi="Bookman Old Style"/>
          <w:noProof/>
          <w:sz w:val="24"/>
          <w:szCs w:val="24"/>
        </w:rPr>
        <w:t> </w:t>
      </w:r>
      <w:r w:rsidRPr="00720EA9">
        <w:rPr>
          <w:rFonts w:ascii="Bookman Old Style" w:hAnsi="Bookman Old Style"/>
          <w:noProof/>
          <w:sz w:val="24"/>
          <w:szCs w:val="24"/>
        </w:rPr>
        <w:t> </w:t>
      </w:r>
      <w:r w:rsidRPr="00720EA9">
        <w:rPr>
          <w:rFonts w:ascii="Bookman Old Style" w:hAnsi="Bookman Old Style"/>
          <w:noProof/>
          <w:sz w:val="24"/>
          <w:szCs w:val="24"/>
        </w:rPr>
        <w:t> </w:t>
      </w:r>
      <w:r w:rsidRPr="00720EA9">
        <w:rPr>
          <w:rFonts w:ascii="Bookman Old Style" w:hAnsi="Bookman Old Style"/>
          <w:noProof/>
          <w:sz w:val="24"/>
          <w:szCs w:val="24"/>
        </w:rPr>
        <w:t> </w:t>
      </w:r>
      <w:r w:rsidRPr="00720EA9">
        <w:rPr>
          <w:rFonts w:ascii="Bookman Old Style" w:hAnsi="Bookman Old Style"/>
          <w:noProof/>
          <w:sz w:val="24"/>
          <w:szCs w:val="24"/>
        </w:rPr>
        <w:t> </w:t>
      </w:r>
      <w:r w:rsidR="00595A10" w:rsidRPr="00720EA9">
        <w:rPr>
          <w:rFonts w:ascii="Bookman Old Style" w:hAnsi="Bookman Old Style"/>
          <w:sz w:val="24"/>
          <w:szCs w:val="24"/>
        </w:rPr>
        <w:fldChar w:fldCharType="end"/>
      </w:r>
      <w:bookmarkEnd w:id="5"/>
    </w:p>
    <w:p w:rsidR="00BB1800" w:rsidRDefault="009E05E5" w:rsidP="00BB1800">
      <w:pPr>
        <w:rPr>
          <w:rFonts w:ascii="Bookman Old Style" w:hAnsi="Bookman Old Style"/>
          <w:sz w:val="24"/>
          <w:szCs w:val="24"/>
        </w:rPr>
      </w:pPr>
      <w:r w:rsidRPr="00720EA9">
        <w:rPr>
          <w:rFonts w:ascii="Bookman Old Style" w:hAnsi="Bookman Old Style"/>
          <w:sz w:val="24"/>
          <w:szCs w:val="24"/>
        </w:rPr>
        <w:lastRenderedPageBreak/>
        <w:tab/>
      </w:r>
      <w:r w:rsidRPr="00720EA9">
        <w:rPr>
          <w:rFonts w:ascii="Bookman Old Style" w:hAnsi="Bookman Old Style"/>
          <w:sz w:val="24"/>
          <w:szCs w:val="24"/>
        </w:rPr>
        <w:tab/>
      </w:r>
      <w:r w:rsidRPr="00720EA9">
        <w:rPr>
          <w:rFonts w:ascii="Bookman Old Style" w:hAnsi="Bookman Old Style"/>
          <w:sz w:val="24"/>
          <w:szCs w:val="24"/>
        </w:rPr>
        <w:tab/>
      </w:r>
      <w:r w:rsidR="0096428F" w:rsidRPr="00720EA9">
        <w:rPr>
          <w:rFonts w:ascii="Bookman Old Style" w:hAnsi="Bookman Old Style"/>
          <w:sz w:val="24"/>
          <w:szCs w:val="24"/>
        </w:rPr>
        <w:t xml:space="preserve">Mr. </w:t>
      </w:r>
      <w:r w:rsidR="0070599B">
        <w:rPr>
          <w:rFonts w:ascii="Bookman Old Style" w:hAnsi="Bookman Old Style"/>
          <w:sz w:val="24"/>
          <w:szCs w:val="24"/>
        </w:rPr>
        <w:t>F. Elizabeth</w:t>
      </w:r>
      <w:r w:rsidR="00BB1800">
        <w:rPr>
          <w:rFonts w:ascii="Bookman Old Style" w:hAnsi="Bookman Old Style"/>
          <w:sz w:val="24"/>
          <w:szCs w:val="24"/>
        </w:rPr>
        <w:t xml:space="preserve"> for the Defendant</w:t>
      </w:r>
    </w:p>
    <w:p w:rsidR="00BB1800" w:rsidRDefault="00BB1800" w:rsidP="00BB1800">
      <w:pPr>
        <w:rPr>
          <w:rFonts w:ascii="Bookman Old Style" w:hAnsi="Bookman Old Style"/>
          <w:sz w:val="24"/>
          <w:szCs w:val="24"/>
        </w:rPr>
      </w:pPr>
    </w:p>
    <w:p w:rsidR="00E6492F" w:rsidRPr="00720EA9" w:rsidRDefault="00BB1800" w:rsidP="006578C2">
      <w:pPr>
        <w:spacing w:before="120" w:after="240"/>
        <w:rPr>
          <w:rFonts w:ascii="Bookman Old Style" w:hAnsi="Bookman Old Style"/>
          <w:b/>
          <w:sz w:val="24"/>
          <w:szCs w:val="24"/>
        </w:rPr>
      </w:pPr>
      <w:r>
        <w:rPr>
          <w:rFonts w:ascii="Bookman Old Style" w:hAnsi="Bookman Old Style"/>
          <w:sz w:val="24"/>
          <w:szCs w:val="24"/>
        </w:rPr>
        <w:t>De</w:t>
      </w:r>
      <w:r w:rsidR="00E6492F" w:rsidRPr="00720EA9">
        <w:rPr>
          <w:rFonts w:ascii="Bookman Old Style" w:hAnsi="Bookman Old Style"/>
          <w:sz w:val="24"/>
          <w:szCs w:val="24"/>
        </w:rPr>
        <w:t>livered</w:t>
      </w:r>
      <w:r w:rsidR="00E0467F" w:rsidRPr="00720EA9">
        <w:rPr>
          <w:rFonts w:ascii="Bookman Old Style" w:hAnsi="Bookman Old Style"/>
          <w:sz w:val="24"/>
          <w:szCs w:val="24"/>
        </w:rPr>
        <w:t>:</w:t>
      </w:r>
      <w:r w:rsidR="00E0467F" w:rsidRPr="00720EA9">
        <w:rPr>
          <w:rFonts w:ascii="Bookman Old Style" w:hAnsi="Bookman Old Style"/>
          <w:sz w:val="24"/>
          <w:szCs w:val="24"/>
        </w:rPr>
        <w:tab/>
      </w:r>
      <w:r w:rsidR="00E0467F" w:rsidRPr="00720EA9">
        <w:rPr>
          <w:rFonts w:ascii="Bookman Old Style" w:hAnsi="Bookman Old Style"/>
          <w:sz w:val="24"/>
          <w:szCs w:val="24"/>
        </w:rPr>
        <w:tab/>
      </w:r>
      <w:r w:rsidR="0070599B">
        <w:rPr>
          <w:rFonts w:ascii="Bookman Old Style" w:hAnsi="Bookman Old Style"/>
          <w:sz w:val="24"/>
          <w:szCs w:val="24"/>
        </w:rPr>
        <w:t>29</w:t>
      </w:r>
      <w:r w:rsidR="0070599B" w:rsidRPr="0070599B">
        <w:rPr>
          <w:rFonts w:ascii="Bookman Old Style" w:hAnsi="Bookman Old Style"/>
          <w:sz w:val="24"/>
          <w:szCs w:val="24"/>
          <w:vertAlign w:val="superscript"/>
        </w:rPr>
        <w:t>th</w:t>
      </w:r>
      <w:r w:rsidR="0070599B">
        <w:rPr>
          <w:rFonts w:ascii="Bookman Old Style" w:hAnsi="Bookman Old Style"/>
          <w:sz w:val="24"/>
          <w:szCs w:val="24"/>
        </w:rPr>
        <w:t xml:space="preserve"> day </w:t>
      </w:r>
      <w:r w:rsidR="00720EA9">
        <w:rPr>
          <w:rFonts w:ascii="Bookman Old Style" w:hAnsi="Bookman Old Style"/>
          <w:sz w:val="24"/>
          <w:szCs w:val="24"/>
        </w:rPr>
        <w:t xml:space="preserve">of </w:t>
      </w:r>
      <w:r>
        <w:rPr>
          <w:rFonts w:ascii="Bookman Old Style" w:hAnsi="Bookman Old Style"/>
          <w:sz w:val="24"/>
          <w:szCs w:val="24"/>
        </w:rPr>
        <w:t>March 2016</w:t>
      </w:r>
    </w:p>
    <w:p w:rsidR="00D06A0F" w:rsidRPr="00720EA9" w:rsidRDefault="00D06A0F" w:rsidP="00E57D4D">
      <w:pPr>
        <w:pBdr>
          <w:top w:val="dotted" w:sz="4" w:space="1" w:color="auto"/>
          <w:bottom w:val="dotted" w:sz="4" w:space="1" w:color="auto"/>
        </w:pBdr>
        <w:jc w:val="center"/>
        <w:rPr>
          <w:rFonts w:ascii="Bookman Old Style" w:hAnsi="Bookman Old Style"/>
          <w:sz w:val="24"/>
          <w:szCs w:val="24"/>
          <w:highlight w:val="lightGray"/>
        </w:rPr>
      </w:pPr>
      <w:bookmarkStart w:id="6" w:name="Dropdown2"/>
    </w:p>
    <w:bookmarkStart w:id="7" w:name="Dropdown8"/>
    <w:bookmarkEnd w:id="6"/>
    <w:p w:rsidR="00C87FCA" w:rsidRDefault="00595A10" w:rsidP="00C87FCA">
      <w:pPr>
        <w:pBdr>
          <w:top w:val="dotted" w:sz="4" w:space="1" w:color="auto"/>
          <w:bottom w:val="dotted" w:sz="4" w:space="1" w:color="auto"/>
        </w:pBdr>
        <w:jc w:val="center"/>
        <w:rPr>
          <w:rFonts w:ascii="Bookman Old Style" w:hAnsi="Bookman Old Style"/>
          <w:b/>
          <w:sz w:val="24"/>
          <w:szCs w:val="24"/>
        </w:rPr>
      </w:pPr>
      <w:r w:rsidRPr="00720EA9">
        <w:rPr>
          <w:rFonts w:ascii="Bookman Old Style" w:hAnsi="Bookman Old Style"/>
          <w:b/>
          <w:sz w:val="24"/>
          <w:szCs w:val="24"/>
        </w:rPr>
        <w:fldChar w:fldCharType="begin">
          <w:ffData>
            <w:name w:val="Dropdown8"/>
            <w:enabled/>
            <w:calcOnExit w:val="0"/>
            <w:ddList>
              <w:result w:val="2"/>
              <w:listEntry w:val="JUDGMENT"/>
              <w:listEntry w:val="ORDER"/>
              <w:listEntry w:val="RULING"/>
              <w:listEntry w:val="JUDGMENT BY CONSENT"/>
            </w:ddList>
          </w:ffData>
        </w:fldChar>
      </w:r>
      <w:r w:rsidR="00A544D0" w:rsidRPr="00720EA9">
        <w:rPr>
          <w:rFonts w:ascii="Bookman Old Style" w:hAnsi="Bookman Old Style"/>
          <w:b/>
          <w:sz w:val="24"/>
          <w:szCs w:val="24"/>
        </w:rPr>
        <w:instrText xml:space="preserve"> FORMDROPDOWN </w:instrText>
      </w:r>
      <w:r w:rsidRPr="00720EA9">
        <w:rPr>
          <w:rFonts w:ascii="Bookman Old Style" w:hAnsi="Bookman Old Style"/>
          <w:b/>
          <w:sz w:val="24"/>
          <w:szCs w:val="24"/>
        </w:rPr>
      </w:r>
      <w:r w:rsidRPr="00720EA9">
        <w:rPr>
          <w:rFonts w:ascii="Bookman Old Style" w:hAnsi="Bookman Old Style"/>
          <w:b/>
          <w:sz w:val="24"/>
          <w:szCs w:val="24"/>
        </w:rPr>
        <w:fldChar w:fldCharType="end"/>
      </w:r>
      <w:bookmarkEnd w:id="7"/>
      <w:r w:rsidR="00BB1800">
        <w:rPr>
          <w:rFonts w:ascii="Bookman Old Style" w:hAnsi="Bookman Old Style"/>
          <w:b/>
          <w:sz w:val="24"/>
          <w:szCs w:val="24"/>
        </w:rPr>
        <w:t xml:space="preserve"> ON PLEA IN LIMINE LITIS</w:t>
      </w:r>
    </w:p>
    <w:p w:rsidR="001008BC" w:rsidRPr="00720EA9" w:rsidRDefault="001008BC" w:rsidP="001008BC">
      <w:pPr>
        <w:pStyle w:val="ListParagraph"/>
        <w:widowControl/>
        <w:autoSpaceDE/>
        <w:autoSpaceDN/>
        <w:adjustRightInd/>
        <w:spacing w:line="360" w:lineRule="auto"/>
        <w:ind w:left="0"/>
        <w:contextualSpacing w:val="0"/>
        <w:jc w:val="both"/>
        <w:rPr>
          <w:rFonts w:ascii="Bookman Old Style" w:hAnsi="Bookman Old Style"/>
          <w:b/>
          <w:sz w:val="24"/>
          <w:szCs w:val="24"/>
        </w:rPr>
      </w:pPr>
    </w:p>
    <w:p w:rsidR="00C87FCA" w:rsidRPr="00720EA9" w:rsidRDefault="00595A10" w:rsidP="00C87FCA">
      <w:pPr>
        <w:pStyle w:val="ListParagraph"/>
        <w:widowControl/>
        <w:autoSpaceDE/>
        <w:autoSpaceDN/>
        <w:adjustRightInd/>
        <w:spacing w:after="240" w:line="360" w:lineRule="auto"/>
        <w:ind w:left="0"/>
        <w:contextualSpacing w:val="0"/>
        <w:jc w:val="both"/>
        <w:rPr>
          <w:rFonts w:ascii="Bookman Old Style" w:hAnsi="Bookman Old Style"/>
          <w:b/>
          <w:sz w:val="24"/>
          <w:szCs w:val="24"/>
        </w:rPr>
      </w:pPr>
      <w:r w:rsidRPr="00720EA9">
        <w:rPr>
          <w:rFonts w:ascii="Bookman Old Style" w:hAnsi="Bookman Old Style"/>
          <w:b/>
          <w:sz w:val="24"/>
          <w:szCs w:val="24"/>
        </w:rPr>
        <w:fldChar w:fldCharType="begin">
          <w:ffData>
            <w:name w:val="Dropdown9"/>
            <w:enabled/>
            <w:calcOnExit w:val="0"/>
            <w:ddList>
              <w:result w:val="9"/>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8" w:name="Dropdown9"/>
      <w:r w:rsidR="001439BF" w:rsidRPr="00720EA9">
        <w:rPr>
          <w:rFonts w:ascii="Bookman Old Style" w:hAnsi="Bookman Old Style"/>
          <w:b/>
          <w:sz w:val="24"/>
          <w:szCs w:val="24"/>
        </w:rPr>
        <w:instrText xml:space="preserve"> FORMDROPDOWN </w:instrText>
      </w:r>
      <w:r w:rsidRPr="00720EA9">
        <w:rPr>
          <w:rFonts w:ascii="Bookman Old Style" w:hAnsi="Bookman Old Style"/>
          <w:b/>
          <w:sz w:val="24"/>
          <w:szCs w:val="24"/>
        </w:rPr>
      </w:r>
      <w:r w:rsidRPr="00720EA9">
        <w:rPr>
          <w:rFonts w:ascii="Bookman Old Style" w:hAnsi="Bookman Old Style"/>
          <w:b/>
          <w:sz w:val="24"/>
          <w:szCs w:val="24"/>
        </w:rPr>
        <w:fldChar w:fldCharType="end"/>
      </w:r>
      <w:bookmarkEnd w:id="8"/>
    </w:p>
    <w:p w:rsidR="001008BC" w:rsidRPr="00720EA9" w:rsidRDefault="001008BC" w:rsidP="00C87FCA">
      <w:pPr>
        <w:pStyle w:val="ListParagraph"/>
        <w:widowControl/>
        <w:autoSpaceDE/>
        <w:autoSpaceDN/>
        <w:adjustRightInd/>
        <w:spacing w:after="240" w:line="360" w:lineRule="auto"/>
        <w:ind w:left="0"/>
        <w:contextualSpacing w:val="0"/>
        <w:jc w:val="both"/>
        <w:rPr>
          <w:rFonts w:ascii="Bookman Old Style" w:hAnsi="Bookman Old Style"/>
          <w:b/>
          <w:sz w:val="24"/>
          <w:szCs w:val="24"/>
        </w:rPr>
        <w:sectPr w:rsidR="001008BC" w:rsidRPr="00720EA9" w:rsidSect="00EF2051">
          <w:type w:val="continuous"/>
          <w:pgSz w:w="12240" w:h="15840"/>
          <w:pgMar w:top="1440" w:right="1440" w:bottom="1440" w:left="1440" w:header="720" w:footer="720" w:gutter="0"/>
          <w:cols w:space="720"/>
          <w:docGrid w:linePitch="360"/>
        </w:sectPr>
      </w:pPr>
    </w:p>
    <w:p w:rsidR="0070599B" w:rsidRDefault="0070599B" w:rsidP="00453A09">
      <w:pPr>
        <w:pStyle w:val="JudgmentText"/>
        <w:rPr>
          <w:rFonts w:ascii="Bookman Old Style" w:hAnsi="Bookman Old Style"/>
        </w:rPr>
      </w:pPr>
      <w:r>
        <w:rPr>
          <w:rFonts w:ascii="Bookman Old Style" w:hAnsi="Bookman Old Style"/>
        </w:rPr>
        <w:lastRenderedPageBreak/>
        <w:t xml:space="preserve">This Ruling arises out of a plea in </w:t>
      </w:r>
      <w:proofErr w:type="spellStart"/>
      <w:r w:rsidRPr="00566C84">
        <w:rPr>
          <w:rFonts w:ascii="Bookman Old Style" w:hAnsi="Bookman Old Style"/>
          <w:i/>
        </w:rPr>
        <w:t>limine</w:t>
      </w:r>
      <w:proofErr w:type="spellEnd"/>
      <w:r w:rsidR="001B09D5" w:rsidRPr="00566C84">
        <w:rPr>
          <w:rFonts w:ascii="Bookman Old Style" w:hAnsi="Bookman Old Style"/>
          <w:i/>
        </w:rPr>
        <w:t xml:space="preserve"> </w:t>
      </w:r>
      <w:proofErr w:type="spellStart"/>
      <w:r w:rsidRPr="00566C84">
        <w:rPr>
          <w:rFonts w:ascii="Bookman Old Style" w:hAnsi="Bookman Old Style"/>
          <w:i/>
        </w:rPr>
        <w:t>litis</w:t>
      </w:r>
      <w:proofErr w:type="spellEnd"/>
      <w:r>
        <w:rPr>
          <w:rFonts w:ascii="Bookman Old Style" w:hAnsi="Bookman Old Style"/>
        </w:rPr>
        <w:t xml:space="preserve"> as raised by the Defendant as part of her Statement of Defence of the 4</w:t>
      </w:r>
      <w:r w:rsidRPr="0070599B">
        <w:rPr>
          <w:rFonts w:ascii="Bookman Old Style" w:hAnsi="Bookman Old Style"/>
          <w:vertAlign w:val="superscript"/>
        </w:rPr>
        <w:t>th</w:t>
      </w:r>
      <w:r>
        <w:rPr>
          <w:rFonts w:ascii="Bookman Old Style" w:hAnsi="Bookman Old Style"/>
        </w:rPr>
        <w:t xml:space="preserve"> day of Nov</w:t>
      </w:r>
      <w:r w:rsidR="00392303">
        <w:rPr>
          <w:rFonts w:ascii="Bookman Old Style" w:hAnsi="Bookman Old Style"/>
        </w:rPr>
        <w:t xml:space="preserve">ember 2015 to the effect that </w:t>
      </w:r>
      <w:r w:rsidR="00392303" w:rsidRPr="00392303">
        <w:rPr>
          <w:rFonts w:ascii="Bookman Old Style" w:hAnsi="Bookman Old Style"/>
          <w:i/>
        </w:rPr>
        <w:t>‘</w:t>
      </w:r>
      <w:r w:rsidRPr="00392303">
        <w:rPr>
          <w:rFonts w:ascii="Bookman Old Style" w:hAnsi="Bookman Old Style"/>
          <w:i/>
        </w:rPr>
        <w:t xml:space="preserve">firstly, the matter is prescribed in law; secondly that the matter is res judicata since the court has already adjudicated over it in Civil Side No. 227 of 2011; and thirdly, that the application is an abuse </w:t>
      </w:r>
      <w:r w:rsidR="00CE45F2">
        <w:rPr>
          <w:rFonts w:ascii="Bookman Old Style" w:hAnsi="Bookman Old Style"/>
          <w:i/>
        </w:rPr>
        <w:t>o</w:t>
      </w:r>
      <w:r w:rsidRPr="00392303">
        <w:rPr>
          <w:rFonts w:ascii="Bookman Old Style" w:hAnsi="Bookman Old Style"/>
          <w:i/>
        </w:rPr>
        <w:t>f the process of the court as the plaintiffs had knowledge of this matter well within the prescription period and retained an</w:t>
      </w:r>
      <w:r w:rsidR="00392303" w:rsidRPr="00392303">
        <w:rPr>
          <w:rFonts w:ascii="Bookman Old Style" w:hAnsi="Bookman Old Style"/>
          <w:i/>
        </w:rPr>
        <w:t xml:space="preserve"> attorney, namely Mr. Clifford A</w:t>
      </w:r>
      <w:r w:rsidRPr="00392303">
        <w:rPr>
          <w:rFonts w:ascii="Bookman Old Style" w:hAnsi="Bookman Old Style"/>
          <w:i/>
        </w:rPr>
        <w:t>ndre to defend the same in Civil Side No. 227 of 2011 which ended on the 13</w:t>
      </w:r>
      <w:r w:rsidRPr="00392303">
        <w:rPr>
          <w:rFonts w:ascii="Bookman Old Style" w:hAnsi="Bookman Old Style"/>
          <w:i/>
          <w:vertAlign w:val="superscript"/>
        </w:rPr>
        <w:t>th</w:t>
      </w:r>
      <w:r w:rsidR="00392303" w:rsidRPr="00392303">
        <w:rPr>
          <w:rFonts w:ascii="Bookman Old Style" w:hAnsi="Bookman Old Style"/>
          <w:i/>
        </w:rPr>
        <w:t xml:space="preserve"> day of August 2014’</w:t>
      </w:r>
      <w:r>
        <w:rPr>
          <w:rFonts w:ascii="Bookman Old Style" w:hAnsi="Bookman Old Style"/>
        </w:rPr>
        <w:t>.</w:t>
      </w:r>
    </w:p>
    <w:p w:rsidR="0070599B" w:rsidRDefault="0070599B" w:rsidP="00453A09">
      <w:pPr>
        <w:pStyle w:val="JudgmentText"/>
        <w:rPr>
          <w:rFonts w:ascii="Bookman Old Style" w:hAnsi="Bookman Old Style"/>
        </w:rPr>
      </w:pPr>
      <w:r>
        <w:rPr>
          <w:rFonts w:ascii="Bookman Old Style" w:hAnsi="Bookman Old Style"/>
        </w:rPr>
        <w:t>Albeit raising the threefold points of law, the Defendant chose by way of written submissions of the 30</w:t>
      </w:r>
      <w:r w:rsidRPr="0070599B">
        <w:rPr>
          <w:rFonts w:ascii="Bookman Old Style" w:hAnsi="Bookman Old Style"/>
          <w:vertAlign w:val="superscript"/>
        </w:rPr>
        <w:t>th</w:t>
      </w:r>
      <w:r>
        <w:rPr>
          <w:rFonts w:ascii="Bookman Old Style" w:hAnsi="Bookman Old Style"/>
        </w:rPr>
        <w:t xml:space="preserve"> day of December 2015</w:t>
      </w:r>
      <w:r w:rsidR="00DE30C3">
        <w:rPr>
          <w:rFonts w:ascii="Bookman Old Style" w:hAnsi="Bookman Old Style"/>
        </w:rPr>
        <w:t xml:space="preserve"> to argue only </w:t>
      </w:r>
      <w:r w:rsidR="00392303">
        <w:rPr>
          <w:rFonts w:ascii="Bookman Old Style" w:hAnsi="Bookman Old Style"/>
        </w:rPr>
        <w:t xml:space="preserve">as to </w:t>
      </w:r>
      <w:r w:rsidR="00DE30C3">
        <w:rPr>
          <w:rFonts w:ascii="Bookman Old Style" w:hAnsi="Bookman Old Style"/>
        </w:rPr>
        <w:t>the first plea</w:t>
      </w:r>
      <w:r>
        <w:rPr>
          <w:rFonts w:ascii="Bookman Old Style" w:hAnsi="Bookman Old Style"/>
        </w:rPr>
        <w:t xml:space="preserve"> in </w:t>
      </w:r>
      <w:proofErr w:type="spellStart"/>
      <w:r w:rsidRPr="00566C84">
        <w:rPr>
          <w:rFonts w:ascii="Bookman Old Style" w:hAnsi="Bookman Old Style"/>
          <w:i/>
        </w:rPr>
        <w:t>limine</w:t>
      </w:r>
      <w:proofErr w:type="spellEnd"/>
      <w:r w:rsidR="001B09D5" w:rsidRPr="00566C84">
        <w:rPr>
          <w:rFonts w:ascii="Bookman Old Style" w:hAnsi="Bookman Old Style"/>
          <w:i/>
        </w:rPr>
        <w:t xml:space="preserve"> </w:t>
      </w:r>
      <w:proofErr w:type="spellStart"/>
      <w:r w:rsidRPr="00566C84">
        <w:rPr>
          <w:rFonts w:ascii="Bookman Old Style" w:hAnsi="Bookman Old Style"/>
          <w:i/>
        </w:rPr>
        <w:t>litis</w:t>
      </w:r>
      <w:proofErr w:type="spellEnd"/>
      <w:r w:rsidR="001B09D5">
        <w:rPr>
          <w:rFonts w:ascii="Bookman Old Style" w:hAnsi="Bookman Old Style"/>
        </w:rPr>
        <w:t xml:space="preserve"> </w:t>
      </w:r>
      <w:r w:rsidR="00DE30C3">
        <w:rPr>
          <w:rFonts w:ascii="Bookman Old Style" w:hAnsi="Bookman Old Style"/>
        </w:rPr>
        <w:t xml:space="preserve">on the ground that it sufficiently and substantially disposes of the matter without the need to argue the second and third plea in </w:t>
      </w:r>
      <w:proofErr w:type="spellStart"/>
      <w:r w:rsidR="00DE30C3" w:rsidRPr="00566C84">
        <w:rPr>
          <w:rFonts w:ascii="Bookman Old Style" w:hAnsi="Bookman Old Style"/>
          <w:i/>
        </w:rPr>
        <w:t>limine</w:t>
      </w:r>
      <w:proofErr w:type="spellEnd"/>
      <w:r w:rsidR="001B09D5" w:rsidRPr="00566C84">
        <w:rPr>
          <w:rFonts w:ascii="Bookman Old Style" w:hAnsi="Bookman Old Style"/>
          <w:i/>
        </w:rPr>
        <w:t xml:space="preserve"> </w:t>
      </w:r>
      <w:proofErr w:type="spellStart"/>
      <w:r w:rsidR="00DE30C3" w:rsidRPr="00566C84">
        <w:rPr>
          <w:rFonts w:ascii="Bookman Old Style" w:hAnsi="Bookman Old Style"/>
          <w:i/>
        </w:rPr>
        <w:t>lit</w:t>
      </w:r>
      <w:r w:rsidR="001B09D5" w:rsidRPr="00566C84">
        <w:rPr>
          <w:rFonts w:ascii="Bookman Old Style" w:hAnsi="Bookman Old Style"/>
          <w:i/>
        </w:rPr>
        <w:t>i</w:t>
      </w:r>
      <w:r w:rsidR="00DE30C3" w:rsidRPr="00566C84">
        <w:rPr>
          <w:rFonts w:ascii="Bookman Old Style" w:hAnsi="Bookman Old Style"/>
          <w:i/>
        </w:rPr>
        <w:t>s</w:t>
      </w:r>
      <w:proofErr w:type="spellEnd"/>
      <w:r w:rsidR="00DE30C3">
        <w:rPr>
          <w:rFonts w:ascii="Bookman Old Style" w:hAnsi="Bookman Old Style"/>
        </w:rPr>
        <w:t xml:space="preserve"> as raised. However, the Defendant reserved the right to argue the latter points of law at the final stage in the event that the defendant is no successful on the first point of law. </w:t>
      </w:r>
    </w:p>
    <w:p w:rsidR="00DE30C3" w:rsidRDefault="00DE30C3" w:rsidP="00453A09">
      <w:pPr>
        <w:pStyle w:val="JudgmentText"/>
        <w:rPr>
          <w:rFonts w:ascii="Bookman Old Style" w:hAnsi="Bookman Old Style"/>
        </w:rPr>
      </w:pPr>
      <w:r>
        <w:rPr>
          <w:rFonts w:ascii="Bookman Old Style" w:hAnsi="Bookman Old Style"/>
        </w:rPr>
        <w:t>Learned Counsel for the Plaintiffs Mr. M. Vidot on his part also filed written submissions of the on the 22</w:t>
      </w:r>
      <w:r w:rsidRPr="00DE30C3">
        <w:rPr>
          <w:rFonts w:ascii="Bookman Old Style" w:hAnsi="Bookman Old Style"/>
          <w:vertAlign w:val="superscript"/>
        </w:rPr>
        <w:t>nd</w:t>
      </w:r>
      <w:r>
        <w:rPr>
          <w:rFonts w:ascii="Bookman Old Style" w:hAnsi="Bookman Old Style"/>
        </w:rPr>
        <w:t xml:space="preserve"> day of February 2016 strenuously objecting to the first plea in </w:t>
      </w:r>
      <w:proofErr w:type="spellStart"/>
      <w:r w:rsidRPr="00566C84">
        <w:rPr>
          <w:rFonts w:ascii="Bookman Old Style" w:hAnsi="Bookman Old Style"/>
          <w:i/>
        </w:rPr>
        <w:t>limine</w:t>
      </w:r>
      <w:proofErr w:type="spellEnd"/>
      <w:r w:rsidR="001B09D5" w:rsidRPr="00566C84">
        <w:rPr>
          <w:rFonts w:ascii="Bookman Old Style" w:hAnsi="Bookman Old Style"/>
          <w:i/>
        </w:rPr>
        <w:t xml:space="preserve"> </w:t>
      </w:r>
      <w:proofErr w:type="spellStart"/>
      <w:r w:rsidR="00CE45F2" w:rsidRPr="00566C84">
        <w:rPr>
          <w:rFonts w:ascii="Bookman Old Style" w:hAnsi="Bookman Old Style"/>
          <w:i/>
        </w:rPr>
        <w:t>litis</w:t>
      </w:r>
      <w:proofErr w:type="spellEnd"/>
      <w:r w:rsidR="00CE45F2">
        <w:rPr>
          <w:rFonts w:ascii="Bookman Old Style" w:hAnsi="Bookman Old Style"/>
        </w:rPr>
        <w:t xml:space="preserve"> as raised </w:t>
      </w:r>
      <w:r>
        <w:rPr>
          <w:rFonts w:ascii="Bookman Old Style" w:hAnsi="Bookman Old Style"/>
        </w:rPr>
        <w:t xml:space="preserve">and of which contents has been duly considered for the purpose of this Ruling. </w:t>
      </w:r>
    </w:p>
    <w:p w:rsidR="008A0212" w:rsidRDefault="008A0212" w:rsidP="00453A09">
      <w:pPr>
        <w:pStyle w:val="JudgmentText"/>
        <w:rPr>
          <w:rFonts w:ascii="Bookman Old Style" w:hAnsi="Bookman Old Style"/>
        </w:rPr>
      </w:pPr>
      <w:r>
        <w:rPr>
          <w:rFonts w:ascii="Bookman Old Style" w:hAnsi="Bookman Old Style"/>
        </w:rPr>
        <w:t>In order to properly understand and adjudicate over the point of law as raised, it is crucial to rehearse a brief history of the events giving rise to the main cause of action as follows.</w:t>
      </w:r>
    </w:p>
    <w:p w:rsidR="00DE30C3" w:rsidRPr="00392303" w:rsidRDefault="00DE30C3" w:rsidP="00453A09">
      <w:pPr>
        <w:pStyle w:val="JudgmentText"/>
        <w:rPr>
          <w:rFonts w:ascii="Bookman Old Style" w:hAnsi="Bookman Old Style"/>
          <w:b/>
        </w:rPr>
      </w:pPr>
      <w:r>
        <w:rPr>
          <w:rFonts w:ascii="Bookman Old Style" w:hAnsi="Bookman Old Style"/>
        </w:rPr>
        <w:t>The main cause of action in this matter as per plaint of the 30</w:t>
      </w:r>
      <w:r w:rsidRPr="00DE30C3">
        <w:rPr>
          <w:rFonts w:ascii="Bookman Old Style" w:hAnsi="Bookman Old Style"/>
          <w:vertAlign w:val="superscript"/>
        </w:rPr>
        <w:t>th</w:t>
      </w:r>
      <w:r>
        <w:rPr>
          <w:rFonts w:ascii="Bookman Old Style" w:hAnsi="Bookman Old Style"/>
        </w:rPr>
        <w:t xml:space="preserve"> day of June 2015 and filed on the 3</w:t>
      </w:r>
      <w:r w:rsidRPr="00DE30C3">
        <w:rPr>
          <w:rFonts w:ascii="Bookman Old Style" w:hAnsi="Bookman Old Style"/>
          <w:vertAlign w:val="superscript"/>
        </w:rPr>
        <w:t>rd</w:t>
      </w:r>
      <w:r>
        <w:rPr>
          <w:rFonts w:ascii="Bookman Old Style" w:hAnsi="Bookman Old Style"/>
        </w:rPr>
        <w:t xml:space="preserve"> day of July 2015 at the Registry </w:t>
      </w:r>
      <w:r w:rsidR="00910588">
        <w:rPr>
          <w:rFonts w:ascii="Bookman Old Style" w:hAnsi="Bookman Old Style"/>
        </w:rPr>
        <w:t xml:space="preserve">of the Supreme Court pertains to </w:t>
      </w:r>
      <w:r w:rsidR="00910588" w:rsidRPr="00910588">
        <w:rPr>
          <w:rFonts w:ascii="Bookman Old Style" w:hAnsi="Bookman Old Style"/>
        </w:rPr>
        <w:t xml:space="preserve">the plaintiffs being the legitimate children </w:t>
      </w:r>
      <w:r w:rsidR="00910588" w:rsidRPr="00910588">
        <w:rPr>
          <w:rFonts w:ascii="Bookman Old Style" w:hAnsi="Bookman Old Style"/>
        </w:rPr>
        <w:lastRenderedPageBreak/>
        <w:t xml:space="preserve">and reserved heirs of the late Jean </w:t>
      </w:r>
      <w:proofErr w:type="spellStart"/>
      <w:r w:rsidR="00910588" w:rsidRPr="00910588">
        <w:rPr>
          <w:rFonts w:ascii="Bookman Old Style" w:hAnsi="Bookman Old Style"/>
        </w:rPr>
        <w:t>Nourrice</w:t>
      </w:r>
      <w:proofErr w:type="spellEnd"/>
      <w:r w:rsidR="00CE45F2">
        <w:rPr>
          <w:rFonts w:ascii="Bookman Old Style" w:hAnsi="Bookman Old Style"/>
        </w:rPr>
        <w:t>,</w:t>
      </w:r>
      <w:r w:rsidR="00910588" w:rsidRPr="00910588">
        <w:rPr>
          <w:rFonts w:ascii="Bookman Old Style" w:hAnsi="Bookman Old Style"/>
        </w:rPr>
        <w:t xml:space="preserve"> deceased</w:t>
      </w:r>
      <w:r w:rsidR="00392303">
        <w:rPr>
          <w:rFonts w:ascii="Bookman Old Style" w:hAnsi="Bookman Old Style"/>
        </w:rPr>
        <w:t>,</w:t>
      </w:r>
      <w:r w:rsidR="001B09D5">
        <w:rPr>
          <w:rFonts w:ascii="Bookman Old Style" w:hAnsi="Bookman Old Style"/>
        </w:rPr>
        <w:t xml:space="preserve"> </w:t>
      </w:r>
      <w:r w:rsidR="00910588" w:rsidRPr="00392303">
        <w:rPr>
          <w:rFonts w:ascii="Bookman Old Style" w:hAnsi="Bookman Old Style"/>
          <w:b/>
        </w:rPr>
        <w:t>who passed away on the 20</w:t>
      </w:r>
      <w:r w:rsidR="00910588" w:rsidRPr="00392303">
        <w:rPr>
          <w:rFonts w:ascii="Bookman Old Style" w:hAnsi="Bookman Old Style"/>
          <w:b/>
          <w:vertAlign w:val="superscript"/>
        </w:rPr>
        <w:t>th</w:t>
      </w:r>
      <w:r w:rsidR="00910588" w:rsidRPr="00392303">
        <w:rPr>
          <w:rFonts w:ascii="Bookman Old Style" w:hAnsi="Bookman Old Style"/>
          <w:b/>
        </w:rPr>
        <w:t xml:space="preserve"> day of September 2009. </w:t>
      </w:r>
      <w:r w:rsidR="00392303">
        <w:rPr>
          <w:rFonts w:ascii="Bookman Old Style" w:hAnsi="Bookman Old Style"/>
        </w:rPr>
        <w:t>(Emphasis is mine).</w:t>
      </w:r>
    </w:p>
    <w:p w:rsidR="00910588" w:rsidRDefault="00910588" w:rsidP="00453A09">
      <w:pPr>
        <w:pStyle w:val="JudgmentText"/>
        <w:rPr>
          <w:rFonts w:ascii="Bookman Old Style" w:hAnsi="Bookman Old Style"/>
        </w:rPr>
      </w:pPr>
      <w:r>
        <w:rPr>
          <w:rFonts w:ascii="Bookman Old Style" w:hAnsi="Bookman Old Style"/>
        </w:rPr>
        <w:t>The defendant</w:t>
      </w:r>
      <w:r w:rsidR="00392303">
        <w:rPr>
          <w:rFonts w:ascii="Bookman Old Style" w:hAnsi="Bookman Old Style"/>
        </w:rPr>
        <w:t xml:space="preserve"> is the sole legatee under the Last W</w:t>
      </w:r>
      <w:r>
        <w:rPr>
          <w:rFonts w:ascii="Bookman Old Style" w:hAnsi="Bookman Old Style"/>
        </w:rPr>
        <w:t xml:space="preserve">ill and </w:t>
      </w:r>
      <w:r w:rsidR="00392303">
        <w:rPr>
          <w:rFonts w:ascii="Bookman Old Style" w:hAnsi="Bookman Old Style"/>
        </w:rPr>
        <w:t>T</w:t>
      </w:r>
      <w:r>
        <w:rPr>
          <w:rFonts w:ascii="Bookman Old Style" w:hAnsi="Bookman Old Style"/>
        </w:rPr>
        <w:t>estament of the deceased drawn up before Notary Public Frank Ally of Victoria on the 20</w:t>
      </w:r>
      <w:r w:rsidRPr="00910588">
        <w:rPr>
          <w:rFonts w:ascii="Bookman Old Style" w:hAnsi="Bookman Old Style"/>
          <w:vertAlign w:val="superscript"/>
        </w:rPr>
        <w:t>th</w:t>
      </w:r>
      <w:r>
        <w:rPr>
          <w:rFonts w:ascii="Bookman Old Style" w:hAnsi="Bookman Old Style"/>
        </w:rPr>
        <w:t xml:space="preserve"> day of June 2006 and duly registered on the 14</w:t>
      </w:r>
      <w:r w:rsidRPr="00910588">
        <w:rPr>
          <w:rFonts w:ascii="Bookman Old Style" w:hAnsi="Bookman Old Style"/>
          <w:vertAlign w:val="superscript"/>
        </w:rPr>
        <w:t>th</w:t>
      </w:r>
      <w:r>
        <w:rPr>
          <w:rFonts w:ascii="Bookman Old Style" w:hAnsi="Bookman Old Style"/>
        </w:rPr>
        <w:t xml:space="preserve"> day of May 2010 and transcribed in Volume 85 No. 120 at the Mortgage and Registration Office, Victoria. In the said </w:t>
      </w:r>
      <w:r w:rsidR="00392303">
        <w:rPr>
          <w:rFonts w:ascii="Bookman Old Style" w:hAnsi="Bookman Old Style"/>
        </w:rPr>
        <w:t>W</w:t>
      </w:r>
      <w:r>
        <w:rPr>
          <w:rFonts w:ascii="Bookman Old Style" w:hAnsi="Bookman Old Style"/>
        </w:rPr>
        <w:t>ill</w:t>
      </w:r>
      <w:r w:rsidR="00392303">
        <w:rPr>
          <w:rFonts w:ascii="Bookman Old Style" w:hAnsi="Bookman Old Style"/>
        </w:rPr>
        <w:t>,</w:t>
      </w:r>
      <w:r>
        <w:rPr>
          <w:rFonts w:ascii="Bookman Old Style" w:hAnsi="Bookman Old Style"/>
        </w:rPr>
        <w:t xml:space="preserve"> the deceased left and bequeathed </w:t>
      </w:r>
      <w:r w:rsidR="00392303">
        <w:rPr>
          <w:rFonts w:ascii="Bookman Old Style" w:hAnsi="Bookman Old Style"/>
        </w:rPr>
        <w:t>all of his property to the D</w:t>
      </w:r>
      <w:r>
        <w:rPr>
          <w:rFonts w:ascii="Bookman Old Style" w:hAnsi="Bookman Old Style"/>
        </w:rPr>
        <w:t>efendant.</w:t>
      </w:r>
    </w:p>
    <w:p w:rsidR="00910588" w:rsidRDefault="00392303" w:rsidP="00453A09">
      <w:pPr>
        <w:pStyle w:val="JudgmentText"/>
        <w:rPr>
          <w:rFonts w:ascii="Bookman Old Style" w:hAnsi="Bookman Old Style"/>
        </w:rPr>
      </w:pPr>
      <w:r>
        <w:rPr>
          <w:rFonts w:ascii="Bookman Old Style" w:hAnsi="Bookman Old Style"/>
        </w:rPr>
        <w:t>The Plaintiffs aver in the P</w:t>
      </w:r>
      <w:r w:rsidR="00910588">
        <w:rPr>
          <w:rFonts w:ascii="Bookman Old Style" w:hAnsi="Bookman Old Style"/>
        </w:rPr>
        <w:t>laint tha</w:t>
      </w:r>
      <w:r>
        <w:rPr>
          <w:rFonts w:ascii="Bookman Old Style" w:hAnsi="Bookman Old Style"/>
        </w:rPr>
        <w:t>t they came to learn about the W</w:t>
      </w:r>
      <w:r w:rsidR="00910588">
        <w:rPr>
          <w:rFonts w:ascii="Bookman Old Style" w:hAnsi="Bookman Old Style"/>
        </w:rPr>
        <w:t xml:space="preserve">ill only </w:t>
      </w:r>
      <w:r>
        <w:rPr>
          <w:rFonts w:ascii="Bookman Old Style" w:hAnsi="Bookman Old Style"/>
        </w:rPr>
        <w:t>a</w:t>
      </w:r>
      <w:r w:rsidR="00910588">
        <w:rPr>
          <w:rFonts w:ascii="Bookman Old Style" w:hAnsi="Bookman Old Style"/>
        </w:rPr>
        <w:t>fter they were taking steps to have the immovable owned by the deceased transferred in their names more specifically immovable property situated in Seychelles, and more specifically land Title No. S. 3108.</w:t>
      </w:r>
    </w:p>
    <w:p w:rsidR="00910588" w:rsidRPr="00392303" w:rsidRDefault="00392303" w:rsidP="00453A09">
      <w:pPr>
        <w:pStyle w:val="JudgmentText"/>
        <w:rPr>
          <w:rFonts w:ascii="Bookman Old Style" w:hAnsi="Bookman Old Style"/>
          <w:b/>
        </w:rPr>
      </w:pPr>
      <w:r>
        <w:rPr>
          <w:rFonts w:ascii="Bookman Old Style" w:hAnsi="Bookman Old Style"/>
        </w:rPr>
        <w:t>The P</w:t>
      </w:r>
      <w:r w:rsidR="00910588">
        <w:rPr>
          <w:rFonts w:ascii="Bookman Old Style" w:hAnsi="Bookman Old Style"/>
        </w:rPr>
        <w:t>lainti</w:t>
      </w:r>
      <w:r>
        <w:rPr>
          <w:rFonts w:ascii="Bookman Old Style" w:hAnsi="Bookman Old Style"/>
        </w:rPr>
        <w:t>ffs ‘</w:t>
      </w:r>
      <w:r w:rsidRPr="00392303">
        <w:rPr>
          <w:rFonts w:ascii="Bookman Old Style" w:hAnsi="Bookman Old Style"/>
          <w:b/>
        </w:rPr>
        <w:t>in the P</w:t>
      </w:r>
      <w:r w:rsidR="00B555E3" w:rsidRPr="00392303">
        <w:rPr>
          <w:rFonts w:ascii="Bookman Old Style" w:hAnsi="Bookman Old Style"/>
          <w:b/>
        </w:rPr>
        <w:t>laint</w:t>
      </w:r>
      <w:r w:rsidRPr="00392303">
        <w:rPr>
          <w:rFonts w:ascii="Bookman Old Style" w:hAnsi="Bookman Old Style"/>
          <w:b/>
        </w:rPr>
        <w:t>,</w:t>
      </w:r>
      <w:r w:rsidR="00B555E3" w:rsidRPr="00392303">
        <w:rPr>
          <w:rFonts w:ascii="Bookman Old Style" w:hAnsi="Bookman Old Style"/>
          <w:b/>
        </w:rPr>
        <w:t xml:space="preserve"> are</w:t>
      </w:r>
      <w:r w:rsidR="001B09D5">
        <w:rPr>
          <w:rFonts w:ascii="Bookman Old Style" w:hAnsi="Bookman Old Style"/>
          <w:b/>
        </w:rPr>
        <w:t xml:space="preserve"> </w:t>
      </w:r>
      <w:r w:rsidR="00B555E3" w:rsidRPr="00392303">
        <w:rPr>
          <w:rFonts w:ascii="Bookman Old Style" w:hAnsi="Bookman Old Style"/>
          <w:b/>
        </w:rPr>
        <w:t>alle</w:t>
      </w:r>
      <w:r w:rsidR="00910588" w:rsidRPr="00392303">
        <w:rPr>
          <w:rFonts w:ascii="Bookman Old Style" w:hAnsi="Bookman Old Style"/>
          <w:b/>
        </w:rPr>
        <w:t xml:space="preserve">ging </w:t>
      </w:r>
      <w:r w:rsidRPr="00392303">
        <w:rPr>
          <w:rFonts w:ascii="Bookman Old Style" w:hAnsi="Bookman Old Style"/>
          <w:b/>
        </w:rPr>
        <w:t>that the W</w:t>
      </w:r>
      <w:r w:rsidR="00B555E3" w:rsidRPr="00392303">
        <w:rPr>
          <w:rFonts w:ascii="Bookman Old Style" w:hAnsi="Bookman Old Style"/>
          <w:b/>
        </w:rPr>
        <w:t>ill was obtained by way of fraud and or fraudulent means and further, that they are entitled to the entire estate of the deceased or at least to the reserved portions as legitimate heirs of the deceased.</w:t>
      </w:r>
      <w:r>
        <w:rPr>
          <w:rFonts w:ascii="Bookman Old Style" w:hAnsi="Bookman Old Style"/>
          <w:b/>
        </w:rPr>
        <w:t xml:space="preserve">’ </w:t>
      </w:r>
      <w:r>
        <w:rPr>
          <w:rFonts w:ascii="Bookman Old Style" w:hAnsi="Bookman Old Style"/>
        </w:rPr>
        <w:t>(Emphasis is mine).</w:t>
      </w:r>
    </w:p>
    <w:p w:rsidR="00DE30C3" w:rsidRDefault="008A0212" w:rsidP="00B56523">
      <w:pPr>
        <w:pStyle w:val="JudgmentText"/>
        <w:numPr>
          <w:ilvl w:val="0"/>
          <w:numId w:val="0"/>
        </w:numPr>
        <w:ind w:left="720" w:hanging="720"/>
        <w:rPr>
          <w:rFonts w:ascii="Bookman Old Style" w:hAnsi="Bookman Old Style"/>
        </w:rPr>
      </w:pPr>
      <w:r>
        <w:rPr>
          <w:rFonts w:ascii="Bookman Old Style" w:hAnsi="Bookman Old Style"/>
        </w:rPr>
        <w:t>[9</w:t>
      </w:r>
      <w:r w:rsidR="00B555E3">
        <w:rPr>
          <w:rFonts w:ascii="Bookman Old Style" w:hAnsi="Bookman Old Style"/>
        </w:rPr>
        <w:t>]</w:t>
      </w:r>
      <w:r w:rsidR="00B555E3">
        <w:rPr>
          <w:rFonts w:ascii="Bookman Old Style" w:hAnsi="Bookman Old Style"/>
        </w:rPr>
        <w:tab/>
      </w:r>
      <w:r w:rsidR="00392303">
        <w:rPr>
          <w:rFonts w:ascii="Bookman Old Style" w:hAnsi="Bookman Old Style"/>
        </w:rPr>
        <w:t>The P</w:t>
      </w:r>
      <w:r w:rsidR="00B555E3" w:rsidRPr="00B555E3">
        <w:rPr>
          <w:rFonts w:ascii="Bookman Old Style" w:hAnsi="Bookman Old Style"/>
        </w:rPr>
        <w:t xml:space="preserve">laintiffs </w:t>
      </w:r>
      <w:r w:rsidR="00294F2E" w:rsidRPr="00294F2E">
        <w:rPr>
          <w:rFonts w:ascii="Bookman Old Style" w:hAnsi="Bookman Old Style"/>
          <w:b/>
        </w:rPr>
        <w:t>‘</w:t>
      </w:r>
      <w:r w:rsidR="00B555E3" w:rsidRPr="00294F2E">
        <w:rPr>
          <w:rFonts w:ascii="Bookman Old Style" w:hAnsi="Bookman Old Style"/>
          <w:b/>
        </w:rPr>
        <w:t>further aver that the disposition of the entire est</w:t>
      </w:r>
      <w:r w:rsidR="003741C0" w:rsidRPr="00294F2E">
        <w:rPr>
          <w:rFonts w:ascii="Bookman Old Style" w:hAnsi="Bookman Old Style"/>
          <w:b/>
        </w:rPr>
        <w:t xml:space="preserve">ate </w:t>
      </w:r>
      <w:r w:rsidR="00B555E3" w:rsidRPr="00294F2E">
        <w:rPr>
          <w:rFonts w:ascii="Bookman Old Style" w:hAnsi="Bookman Old Style"/>
          <w:b/>
        </w:rPr>
        <w:t xml:space="preserve">of the deceased to the </w:t>
      </w:r>
      <w:r w:rsidR="00392303" w:rsidRPr="00294F2E">
        <w:rPr>
          <w:rFonts w:ascii="Bookman Old Style" w:hAnsi="Bookman Old Style"/>
          <w:b/>
        </w:rPr>
        <w:t>D</w:t>
      </w:r>
      <w:r w:rsidR="00B555E3" w:rsidRPr="00294F2E">
        <w:rPr>
          <w:rFonts w:ascii="Bookman Old Style" w:hAnsi="Bookman Old Style"/>
          <w:b/>
        </w:rPr>
        <w:t>efendant exceeds the disposable portion of the</w:t>
      </w:r>
      <w:r w:rsidR="00392303" w:rsidRPr="00294F2E">
        <w:rPr>
          <w:rFonts w:ascii="Bookman Old Style" w:hAnsi="Bookman Old Style"/>
          <w:b/>
        </w:rPr>
        <w:t xml:space="preserve"> D</w:t>
      </w:r>
      <w:r w:rsidR="00B555E3" w:rsidRPr="00294F2E">
        <w:rPr>
          <w:rFonts w:ascii="Bookman Old Style" w:hAnsi="Bookman Old Style"/>
          <w:b/>
        </w:rPr>
        <w:t>efendant’s share in the deceased succession and should be reduced and redistributed in accordance with the laws of succession.</w:t>
      </w:r>
      <w:r w:rsidR="00294F2E" w:rsidRPr="00294F2E">
        <w:rPr>
          <w:rFonts w:ascii="Bookman Old Style" w:hAnsi="Bookman Old Style"/>
          <w:b/>
        </w:rPr>
        <w:t>’</w:t>
      </w:r>
      <w:r w:rsidR="00294F2E">
        <w:rPr>
          <w:rFonts w:ascii="Bookman Old Style" w:hAnsi="Bookman Old Style"/>
        </w:rPr>
        <w:t xml:space="preserve"> (Emphasis is mine).</w:t>
      </w:r>
    </w:p>
    <w:p w:rsidR="00B555E3" w:rsidRDefault="008A0212" w:rsidP="00B56523">
      <w:pPr>
        <w:pStyle w:val="JudgmentText"/>
        <w:numPr>
          <w:ilvl w:val="0"/>
          <w:numId w:val="0"/>
        </w:numPr>
        <w:ind w:left="720" w:hanging="720"/>
        <w:rPr>
          <w:rFonts w:ascii="Bookman Old Style" w:hAnsi="Bookman Old Style"/>
        </w:rPr>
      </w:pPr>
      <w:r>
        <w:rPr>
          <w:rFonts w:ascii="Bookman Old Style" w:hAnsi="Bookman Old Style"/>
        </w:rPr>
        <w:t>[10</w:t>
      </w:r>
      <w:r w:rsidR="00B555E3">
        <w:rPr>
          <w:rFonts w:ascii="Bookman Old Style" w:hAnsi="Bookman Old Style"/>
        </w:rPr>
        <w:t>]</w:t>
      </w:r>
      <w:r w:rsidR="00B555E3">
        <w:rPr>
          <w:rFonts w:ascii="Bookman Old Style" w:hAnsi="Bookman Old Style"/>
        </w:rPr>
        <w:tab/>
        <w:t xml:space="preserve">In furtherance to the above averments of the </w:t>
      </w:r>
      <w:r w:rsidR="00392303">
        <w:rPr>
          <w:rFonts w:ascii="Bookman Old Style" w:hAnsi="Bookman Old Style"/>
        </w:rPr>
        <w:t>P</w:t>
      </w:r>
      <w:r w:rsidR="00B555E3">
        <w:rPr>
          <w:rFonts w:ascii="Bookman Old Style" w:hAnsi="Bookman Old Style"/>
        </w:rPr>
        <w:t>l</w:t>
      </w:r>
      <w:r w:rsidR="003741C0">
        <w:rPr>
          <w:rFonts w:ascii="Bookman Old Style" w:hAnsi="Bookman Old Style"/>
        </w:rPr>
        <w:t xml:space="preserve">aint, </w:t>
      </w:r>
      <w:r w:rsidR="00294F2E" w:rsidRPr="00294F2E">
        <w:rPr>
          <w:rFonts w:ascii="Bookman Old Style" w:hAnsi="Bookman Old Style"/>
          <w:b/>
        </w:rPr>
        <w:t>‘</w:t>
      </w:r>
      <w:r w:rsidR="003741C0" w:rsidRPr="00294F2E">
        <w:rPr>
          <w:rFonts w:ascii="Bookman Old Style" w:hAnsi="Bookman Old Style"/>
          <w:b/>
        </w:rPr>
        <w:t xml:space="preserve">the </w:t>
      </w:r>
      <w:r w:rsidR="00294F2E" w:rsidRPr="00294F2E">
        <w:rPr>
          <w:rFonts w:ascii="Bookman Old Style" w:hAnsi="Bookman Old Style"/>
          <w:b/>
        </w:rPr>
        <w:t>P</w:t>
      </w:r>
      <w:r w:rsidR="003741C0" w:rsidRPr="00294F2E">
        <w:rPr>
          <w:rFonts w:ascii="Bookman Old Style" w:hAnsi="Bookman Old Style"/>
          <w:b/>
        </w:rPr>
        <w:t>la</w:t>
      </w:r>
      <w:r w:rsidR="00B555E3" w:rsidRPr="00294F2E">
        <w:rPr>
          <w:rFonts w:ascii="Bookman Old Style" w:hAnsi="Bookman Old Style"/>
          <w:b/>
        </w:rPr>
        <w:t xml:space="preserve">intiffs move the Court in the main case to declare that the </w:t>
      </w:r>
      <w:r w:rsidR="00392303" w:rsidRPr="00294F2E">
        <w:rPr>
          <w:rFonts w:ascii="Bookman Old Style" w:hAnsi="Bookman Old Style"/>
          <w:b/>
        </w:rPr>
        <w:t>L</w:t>
      </w:r>
      <w:r w:rsidR="003741C0" w:rsidRPr="00294F2E">
        <w:rPr>
          <w:rFonts w:ascii="Bookman Old Style" w:hAnsi="Bookman Old Style"/>
          <w:b/>
        </w:rPr>
        <w:t>a</w:t>
      </w:r>
      <w:r w:rsidR="00392303" w:rsidRPr="00294F2E">
        <w:rPr>
          <w:rFonts w:ascii="Bookman Old Style" w:hAnsi="Bookman Old Style"/>
          <w:b/>
        </w:rPr>
        <w:t>st Will and T</w:t>
      </w:r>
      <w:r w:rsidR="00B555E3" w:rsidRPr="00294F2E">
        <w:rPr>
          <w:rFonts w:ascii="Bookman Old Style" w:hAnsi="Bookman Old Style"/>
          <w:b/>
        </w:rPr>
        <w:t>estament of the dec</w:t>
      </w:r>
      <w:r w:rsidR="003741C0" w:rsidRPr="00294F2E">
        <w:rPr>
          <w:rFonts w:ascii="Bookman Old Style" w:hAnsi="Bookman Old Style"/>
          <w:b/>
        </w:rPr>
        <w:t>eased was fraudu</w:t>
      </w:r>
      <w:r w:rsidR="00B555E3" w:rsidRPr="00294F2E">
        <w:rPr>
          <w:rFonts w:ascii="Bookman Old Style" w:hAnsi="Bookman Old Style"/>
          <w:b/>
        </w:rPr>
        <w:t>lently obtained</w:t>
      </w:r>
      <w:r w:rsidR="003741C0" w:rsidRPr="00294F2E">
        <w:rPr>
          <w:rFonts w:ascii="Bookman Old Style" w:hAnsi="Bookman Old Style"/>
          <w:b/>
        </w:rPr>
        <w:t xml:space="preserve"> and that they are the only legal heirs entitled to inherit in equal shares; or in the event of the Court holding that the </w:t>
      </w:r>
      <w:r w:rsidR="00392303" w:rsidRPr="00294F2E">
        <w:rPr>
          <w:rFonts w:ascii="Bookman Old Style" w:hAnsi="Bookman Old Style"/>
          <w:b/>
        </w:rPr>
        <w:t>Will and Last T</w:t>
      </w:r>
      <w:r w:rsidR="003741C0" w:rsidRPr="00294F2E">
        <w:rPr>
          <w:rFonts w:ascii="Bookman Old Style" w:hAnsi="Bookman Old Style"/>
          <w:b/>
        </w:rPr>
        <w:t xml:space="preserve">estament being </w:t>
      </w:r>
      <w:r w:rsidR="003741C0" w:rsidRPr="00294F2E">
        <w:rPr>
          <w:rFonts w:ascii="Bookman Old Style" w:hAnsi="Bookman Old Style"/>
          <w:b/>
        </w:rPr>
        <w:lastRenderedPageBreak/>
        <w:t xml:space="preserve">valid, to declare that the disposition </w:t>
      </w:r>
      <w:r w:rsidR="00392303" w:rsidRPr="00294F2E">
        <w:rPr>
          <w:rFonts w:ascii="Bookman Old Style" w:hAnsi="Bookman Old Style"/>
          <w:b/>
        </w:rPr>
        <w:t>in favour of the D</w:t>
      </w:r>
      <w:r w:rsidR="003741C0" w:rsidRPr="00294F2E">
        <w:rPr>
          <w:rFonts w:ascii="Bookman Old Style" w:hAnsi="Bookman Old Style"/>
          <w:b/>
        </w:rPr>
        <w:t xml:space="preserve">efendant is to be reduced for it far exceeds the disposable portion hence redistributed in accordance with the laws of succession and </w:t>
      </w:r>
      <w:r w:rsidR="00392303" w:rsidRPr="00294F2E">
        <w:rPr>
          <w:rFonts w:ascii="Bookman Old Style" w:hAnsi="Bookman Old Style"/>
          <w:b/>
        </w:rPr>
        <w:t>hence declare the P</w:t>
      </w:r>
      <w:r w:rsidR="003741C0" w:rsidRPr="00294F2E">
        <w:rPr>
          <w:rFonts w:ascii="Bookman Old Style" w:hAnsi="Bookman Old Style"/>
          <w:b/>
        </w:rPr>
        <w:t>laintiffs entitlement to the reserved portion</w:t>
      </w:r>
      <w:r w:rsidR="00392303" w:rsidRPr="00294F2E">
        <w:rPr>
          <w:rFonts w:ascii="Bookman Old Style" w:hAnsi="Bookman Old Style"/>
          <w:b/>
        </w:rPr>
        <w:t>s in equal shares and that the D</w:t>
      </w:r>
      <w:r w:rsidR="003741C0" w:rsidRPr="00294F2E">
        <w:rPr>
          <w:rFonts w:ascii="Bookman Old Style" w:hAnsi="Bookman Old Style"/>
          <w:b/>
        </w:rPr>
        <w:t>efendant is only entitled to the disposable portion.</w:t>
      </w:r>
      <w:r w:rsidR="00294F2E" w:rsidRPr="00294F2E">
        <w:rPr>
          <w:rFonts w:ascii="Bookman Old Style" w:hAnsi="Bookman Old Style"/>
          <w:b/>
        </w:rPr>
        <w:t>’</w:t>
      </w:r>
      <w:r w:rsidR="00294F2E">
        <w:rPr>
          <w:rFonts w:ascii="Bookman Old Style" w:hAnsi="Bookman Old Style"/>
        </w:rPr>
        <w:t>(Emphasis is mine).</w:t>
      </w:r>
    </w:p>
    <w:p w:rsidR="00B555E3" w:rsidRDefault="003741C0" w:rsidP="00B56523">
      <w:pPr>
        <w:pStyle w:val="JudgmentText"/>
        <w:numPr>
          <w:ilvl w:val="0"/>
          <w:numId w:val="0"/>
        </w:numPr>
        <w:ind w:left="720" w:hanging="720"/>
        <w:rPr>
          <w:rFonts w:ascii="Bookman Old Style" w:hAnsi="Bookman Old Style"/>
        </w:rPr>
      </w:pPr>
      <w:r>
        <w:rPr>
          <w:rFonts w:ascii="Bookman Old Style" w:hAnsi="Bookman Old Style"/>
        </w:rPr>
        <w:t>[10</w:t>
      </w:r>
      <w:r w:rsidR="00B555E3">
        <w:rPr>
          <w:rFonts w:ascii="Bookman Old Style" w:hAnsi="Bookman Old Style"/>
        </w:rPr>
        <w:t>]</w:t>
      </w:r>
      <w:r w:rsidR="00B555E3">
        <w:rPr>
          <w:rFonts w:ascii="Bookman Old Style" w:hAnsi="Bookman Old Style"/>
        </w:rPr>
        <w:tab/>
      </w:r>
      <w:r w:rsidR="00892EFA">
        <w:rPr>
          <w:rFonts w:ascii="Bookman Old Style" w:hAnsi="Bookman Old Style"/>
        </w:rPr>
        <w:t>The Defendant by way of S</w:t>
      </w:r>
      <w:r w:rsidR="008A0212">
        <w:rPr>
          <w:rFonts w:ascii="Bookman Old Style" w:hAnsi="Bookman Old Style"/>
        </w:rPr>
        <w:t>tatement of defence afore-mentioned, on the merits, vehement</w:t>
      </w:r>
      <w:r w:rsidR="00392303">
        <w:rPr>
          <w:rFonts w:ascii="Bookman Old Style" w:hAnsi="Bookman Old Style"/>
        </w:rPr>
        <w:t>ly denies the averments of the P</w:t>
      </w:r>
      <w:r w:rsidR="008A0212">
        <w:rPr>
          <w:rFonts w:ascii="Bookman Old Style" w:hAnsi="Bookman Old Style"/>
        </w:rPr>
        <w:t xml:space="preserve">laint and puts the </w:t>
      </w:r>
      <w:r w:rsidR="00392303">
        <w:rPr>
          <w:rFonts w:ascii="Bookman Old Style" w:hAnsi="Bookman Old Style"/>
        </w:rPr>
        <w:t>P</w:t>
      </w:r>
      <w:r w:rsidR="008A0212">
        <w:rPr>
          <w:rFonts w:ascii="Bookman Old Style" w:hAnsi="Bookman Old Style"/>
        </w:rPr>
        <w:t>laintiffs to the strict proof thereof and moves for dismissal of the claim with costs subject to the Ruling on three points of law as raised (Paragraphs 1 and 2 of this Ruling refers).</w:t>
      </w:r>
    </w:p>
    <w:p w:rsidR="008A0212" w:rsidRDefault="008A0212" w:rsidP="00B56523">
      <w:pPr>
        <w:pStyle w:val="JudgmentText"/>
        <w:numPr>
          <w:ilvl w:val="0"/>
          <w:numId w:val="0"/>
        </w:numPr>
        <w:ind w:left="720" w:hanging="720"/>
        <w:rPr>
          <w:rFonts w:ascii="Bookman Old Style" w:hAnsi="Bookman Old Style"/>
        </w:rPr>
      </w:pPr>
      <w:r>
        <w:rPr>
          <w:rFonts w:ascii="Bookman Old Style" w:hAnsi="Bookman Old Style"/>
        </w:rPr>
        <w:t>[11]</w:t>
      </w:r>
      <w:r>
        <w:rPr>
          <w:rFonts w:ascii="Bookman Old Style" w:hAnsi="Bookman Old Style"/>
        </w:rPr>
        <w:tab/>
      </w:r>
      <w:r w:rsidR="0084347B">
        <w:rPr>
          <w:rFonts w:ascii="Bookman Old Style" w:hAnsi="Bookman Old Style"/>
        </w:rPr>
        <w:t>Learned Counsel for the Defendant as above-enunciated, has pleaded prescription in this case subj</w:t>
      </w:r>
      <w:r w:rsidR="001B09D5">
        <w:rPr>
          <w:rFonts w:ascii="Bookman Old Style" w:hAnsi="Bookman Old Style"/>
        </w:rPr>
        <w:t>ect matter of this Ruling. The D</w:t>
      </w:r>
      <w:r w:rsidR="0084347B">
        <w:rPr>
          <w:rFonts w:ascii="Bookman Old Style" w:hAnsi="Bookman Old Style"/>
        </w:rPr>
        <w:t xml:space="preserve">efendant relies on </w:t>
      </w:r>
      <w:r w:rsidR="00C04F85">
        <w:rPr>
          <w:rFonts w:ascii="Bookman Old Style" w:hAnsi="Bookman Old Style"/>
        </w:rPr>
        <w:t>S</w:t>
      </w:r>
      <w:r w:rsidR="0084347B">
        <w:rPr>
          <w:rFonts w:ascii="Bookman Old Style" w:hAnsi="Bookman Old Style"/>
        </w:rPr>
        <w:t>ections 90 and 91 of the Seychelles Code of Civil Procedure as well as Article 2271 of the Civil Code</w:t>
      </w:r>
      <w:r w:rsidR="00CE45F2">
        <w:rPr>
          <w:rFonts w:ascii="Bookman Old Style" w:hAnsi="Bookman Old Style"/>
        </w:rPr>
        <w:t xml:space="preserve"> (hereinafter referred to as the “Code”)</w:t>
      </w:r>
      <w:r w:rsidR="0084347B">
        <w:rPr>
          <w:rFonts w:ascii="Bookman Old Style" w:hAnsi="Bookman Old Style"/>
        </w:rPr>
        <w:t>, which latter provision provides for a prescriptive period of five years.</w:t>
      </w:r>
    </w:p>
    <w:p w:rsidR="00C04F85" w:rsidRPr="00294F2E" w:rsidRDefault="00C04F85" w:rsidP="00B56523">
      <w:pPr>
        <w:pStyle w:val="JudgmentText"/>
        <w:numPr>
          <w:ilvl w:val="0"/>
          <w:numId w:val="0"/>
        </w:numPr>
        <w:ind w:left="720" w:hanging="720"/>
        <w:rPr>
          <w:rFonts w:ascii="Bookman Old Style" w:hAnsi="Bookman Old Style"/>
          <w:b/>
        </w:rPr>
      </w:pPr>
      <w:r>
        <w:rPr>
          <w:rFonts w:ascii="Bookman Old Style" w:hAnsi="Bookman Old Style"/>
        </w:rPr>
        <w:t>[12]</w:t>
      </w:r>
      <w:r>
        <w:rPr>
          <w:rFonts w:ascii="Bookman Old Style" w:hAnsi="Bookman Old Style"/>
        </w:rPr>
        <w:tab/>
        <w:t xml:space="preserve">Learned Counsel for the Defendant has referred the Court in support of its first plea in </w:t>
      </w:r>
      <w:proofErr w:type="spellStart"/>
      <w:r>
        <w:rPr>
          <w:rFonts w:ascii="Bookman Old Style" w:hAnsi="Bookman Old Style"/>
        </w:rPr>
        <w:t>limine</w:t>
      </w:r>
      <w:proofErr w:type="spellEnd"/>
      <w:r w:rsidR="001B09D5">
        <w:rPr>
          <w:rFonts w:ascii="Bookman Old Style" w:hAnsi="Bookman Old Style"/>
        </w:rPr>
        <w:t xml:space="preserve"> </w:t>
      </w:r>
      <w:proofErr w:type="spellStart"/>
      <w:r>
        <w:rPr>
          <w:rFonts w:ascii="Bookman Old Style" w:hAnsi="Bookman Old Style"/>
        </w:rPr>
        <w:t>litis</w:t>
      </w:r>
      <w:proofErr w:type="spellEnd"/>
      <w:r w:rsidR="00E030BA">
        <w:rPr>
          <w:rFonts w:ascii="Bookman Old Style" w:hAnsi="Bookman Old Style"/>
        </w:rPr>
        <w:t>,</w:t>
      </w:r>
      <w:r>
        <w:rPr>
          <w:rFonts w:ascii="Bookman Old Style" w:hAnsi="Bookman Old Style"/>
        </w:rPr>
        <w:t xml:space="preserve"> to the cases of </w:t>
      </w:r>
      <w:r w:rsidR="00294F2E" w:rsidRPr="00294F2E">
        <w:rPr>
          <w:rFonts w:ascii="Bookman Old Style" w:hAnsi="Bookman Old Style"/>
          <w:b/>
        </w:rPr>
        <w:t>(</w:t>
      </w:r>
      <w:proofErr w:type="spellStart"/>
      <w:r w:rsidRPr="00294F2E">
        <w:rPr>
          <w:rFonts w:ascii="Bookman Old Style" w:hAnsi="Bookman Old Style"/>
          <w:b/>
        </w:rPr>
        <w:t>Lorta</w:t>
      </w:r>
      <w:proofErr w:type="spellEnd"/>
      <w:r w:rsidR="001B09D5">
        <w:rPr>
          <w:rFonts w:ascii="Bookman Old Style" w:hAnsi="Bookman Old Style"/>
          <w:b/>
        </w:rPr>
        <w:t xml:space="preserve"> </w:t>
      </w:r>
      <w:proofErr w:type="spellStart"/>
      <w:r w:rsidRPr="00294F2E">
        <w:rPr>
          <w:rFonts w:ascii="Bookman Old Style" w:hAnsi="Bookman Old Style"/>
          <w:b/>
        </w:rPr>
        <w:t>Gayon</w:t>
      </w:r>
      <w:proofErr w:type="spellEnd"/>
      <w:r w:rsidRPr="00294F2E">
        <w:rPr>
          <w:rFonts w:ascii="Bookman Old Style" w:hAnsi="Bookman Old Style"/>
          <w:b/>
        </w:rPr>
        <w:t xml:space="preserve"> v/s Antoine Collie </w:t>
      </w:r>
      <w:r w:rsidR="00294F2E" w:rsidRPr="00294F2E">
        <w:rPr>
          <w:rFonts w:ascii="Bookman Old Style" w:hAnsi="Bookman Old Style"/>
          <w:b/>
        </w:rPr>
        <w:t>(</w:t>
      </w:r>
      <w:r w:rsidRPr="00294F2E">
        <w:rPr>
          <w:rFonts w:ascii="Bookman Old Style" w:hAnsi="Bookman Old Style"/>
          <w:b/>
        </w:rPr>
        <w:t>SCA 8/2001</w:t>
      </w:r>
      <w:r w:rsidR="00294F2E" w:rsidRPr="00294F2E">
        <w:rPr>
          <w:rFonts w:ascii="Bookman Old Style" w:hAnsi="Bookman Old Style"/>
          <w:b/>
        </w:rPr>
        <w:t>))</w:t>
      </w:r>
      <w:r w:rsidRPr="00294F2E">
        <w:rPr>
          <w:rFonts w:ascii="Bookman Old Style" w:hAnsi="Bookman Old Style"/>
          <w:b/>
        </w:rPr>
        <w:t xml:space="preserve">; </w:t>
      </w:r>
      <w:r w:rsidR="00294F2E" w:rsidRPr="00294F2E">
        <w:rPr>
          <w:rFonts w:ascii="Bookman Old Style" w:hAnsi="Bookman Old Style"/>
          <w:b/>
        </w:rPr>
        <w:t>(</w:t>
      </w:r>
      <w:proofErr w:type="spellStart"/>
      <w:r w:rsidRPr="00294F2E">
        <w:rPr>
          <w:rFonts w:ascii="Bookman Old Style" w:hAnsi="Bookman Old Style"/>
          <w:b/>
        </w:rPr>
        <w:t>Hoareau</w:t>
      </w:r>
      <w:proofErr w:type="spellEnd"/>
      <w:r w:rsidRPr="00294F2E">
        <w:rPr>
          <w:rFonts w:ascii="Bookman Old Style" w:hAnsi="Bookman Old Style"/>
          <w:b/>
        </w:rPr>
        <w:t xml:space="preserve"> v/s </w:t>
      </w:r>
      <w:proofErr w:type="spellStart"/>
      <w:r w:rsidRPr="00294F2E">
        <w:rPr>
          <w:rFonts w:ascii="Bookman Old Style" w:hAnsi="Bookman Old Style"/>
          <w:b/>
        </w:rPr>
        <w:t>Contoret</w:t>
      </w:r>
      <w:proofErr w:type="spellEnd"/>
      <w:r w:rsidR="00294F2E" w:rsidRPr="00294F2E">
        <w:rPr>
          <w:rFonts w:ascii="Bookman Old Style" w:hAnsi="Bookman Old Style"/>
          <w:b/>
        </w:rPr>
        <w:t>(19</w:t>
      </w:r>
      <w:r w:rsidRPr="00294F2E">
        <w:rPr>
          <w:rFonts w:ascii="Bookman Old Style" w:hAnsi="Bookman Old Style"/>
          <w:b/>
        </w:rPr>
        <w:t>84</w:t>
      </w:r>
      <w:r w:rsidR="00294F2E" w:rsidRPr="00294F2E">
        <w:rPr>
          <w:rFonts w:ascii="Bookman Old Style" w:hAnsi="Bookman Old Style"/>
          <w:b/>
        </w:rPr>
        <w:t>)</w:t>
      </w:r>
      <w:r w:rsidRPr="00294F2E">
        <w:rPr>
          <w:rFonts w:ascii="Bookman Old Style" w:hAnsi="Bookman Old Style"/>
          <w:b/>
        </w:rPr>
        <w:t xml:space="preserve"> SLR 151</w:t>
      </w:r>
      <w:r w:rsidR="00294F2E" w:rsidRPr="00294F2E">
        <w:rPr>
          <w:rFonts w:ascii="Bookman Old Style" w:hAnsi="Bookman Old Style"/>
          <w:b/>
        </w:rPr>
        <w:t>)</w:t>
      </w:r>
      <w:r w:rsidRPr="00294F2E">
        <w:rPr>
          <w:rFonts w:ascii="Bookman Old Style" w:hAnsi="Bookman Old Style"/>
          <w:b/>
        </w:rPr>
        <w:t xml:space="preserve">; </w:t>
      </w:r>
      <w:r w:rsidR="00294F2E" w:rsidRPr="00294F2E">
        <w:rPr>
          <w:rFonts w:ascii="Bookman Old Style" w:hAnsi="Bookman Old Style"/>
          <w:b/>
        </w:rPr>
        <w:t>(</w:t>
      </w:r>
      <w:proofErr w:type="spellStart"/>
      <w:r w:rsidRPr="00294F2E">
        <w:rPr>
          <w:rFonts w:ascii="Bookman Old Style" w:hAnsi="Bookman Old Style"/>
          <w:b/>
        </w:rPr>
        <w:t>Khany</w:t>
      </w:r>
      <w:proofErr w:type="spellEnd"/>
      <w:r w:rsidRPr="00294F2E">
        <w:rPr>
          <w:rFonts w:ascii="Bookman Old Style" w:hAnsi="Bookman Old Style"/>
          <w:b/>
        </w:rPr>
        <w:t xml:space="preserve"> v/s </w:t>
      </w:r>
      <w:proofErr w:type="spellStart"/>
      <w:r w:rsidRPr="00294F2E">
        <w:rPr>
          <w:rFonts w:ascii="Bookman Old Style" w:hAnsi="Bookman Old Style"/>
          <w:b/>
        </w:rPr>
        <w:t>Canie</w:t>
      </w:r>
      <w:proofErr w:type="spellEnd"/>
      <w:r w:rsidR="00294F2E" w:rsidRPr="00294F2E">
        <w:rPr>
          <w:rFonts w:ascii="Bookman Old Style" w:hAnsi="Bookman Old Style"/>
          <w:b/>
        </w:rPr>
        <w:t>(</w:t>
      </w:r>
      <w:r w:rsidRPr="00294F2E">
        <w:rPr>
          <w:rFonts w:ascii="Bookman Old Style" w:hAnsi="Bookman Old Style"/>
          <w:b/>
        </w:rPr>
        <w:t>1983</w:t>
      </w:r>
      <w:r w:rsidR="00294F2E" w:rsidRPr="00294F2E">
        <w:rPr>
          <w:rFonts w:ascii="Bookman Old Style" w:hAnsi="Bookman Old Style"/>
          <w:b/>
        </w:rPr>
        <w:t>)</w:t>
      </w:r>
      <w:r w:rsidRPr="00294F2E">
        <w:rPr>
          <w:rFonts w:ascii="Bookman Old Style" w:hAnsi="Bookman Old Style"/>
          <w:b/>
        </w:rPr>
        <w:t xml:space="preserve"> SLR 65</w:t>
      </w:r>
      <w:r w:rsidR="00294F2E" w:rsidRPr="00294F2E">
        <w:rPr>
          <w:rFonts w:ascii="Bookman Old Style" w:hAnsi="Bookman Old Style"/>
          <w:b/>
        </w:rPr>
        <w:t>)</w:t>
      </w:r>
      <w:r w:rsidRPr="00294F2E">
        <w:rPr>
          <w:rFonts w:ascii="Bookman Old Style" w:hAnsi="Bookman Old Style"/>
          <w:b/>
        </w:rPr>
        <w:t xml:space="preserve">; </w:t>
      </w:r>
      <w:r w:rsidR="00294F2E" w:rsidRPr="00294F2E">
        <w:rPr>
          <w:rFonts w:ascii="Bookman Old Style" w:hAnsi="Bookman Old Style"/>
          <w:b/>
        </w:rPr>
        <w:t>(</w:t>
      </w:r>
      <w:proofErr w:type="spellStart"/>
      <w:r w:rsidRPr="00294F2E">
        <w:rPr>
          <w:rFonts w:ascii="Bookman Old Style" w:hAnsi="Bookman Old Style"/>
          <w:b/>
        </w:rPr>
        <w:t>Savy</w:t>
      </w:r>
      <w:proofErr w:type="spellEnd"/>
      <w:r w:rsidRPr="00294F2E">
        <w:rPr>
          <w:rFonts w:ascii="Bookman Old Style" w:hAnsi="Bookman Old Style"/>
          <w:b/>
        </w:rPr>
        <w:t xml:space="preserve"> v/s </w:t>
      </w:r>
      <w:proofErr w:type="spellStart"/>
      <w:r w:rsidRPr="00294F2E">
        <w:rPr>
          <w:rFonts w:ascii="Bookman Old Style" w:hAnsi="Bookman Old Style"/>
          <w:b/>
        </w:rPr>
        <w:t>Rasool</w:t>
      </w:r>
      <w:proofErr w:type="spellEnd"/>
      <w:r w:rsidR="00294F2E" w:rsidRPr="00294F2E">
        <w:rPr>
          <w:rFonts w:ascii="Bookman Old Style" w:hAnsi="Bookman Old Style"/>
          <w:b/>
        </w:rPr>
        <w:t>(</w:t>
      </w:r>
      <w:r w:rsidRPr="00294F2E">
        <w:rPr>
          <w:rFonts w:ascii="Bookman Old Style" w:hAnsi="Bookman Old Style"/>
          <w:b/>
        </w:rPr>
        <w:t>1982</w:t>
      </w:r>
      <w:r w:rsidR="00294F2E" w:rsidRPr="00294F2E">
        <w:rPr>
          <w:rFonts w:ascii="Bookman Old Style" w:hAnsi="Bookman Old Style"/>
          <w:b/>
        </w:rPr>
        <w:t>)</w:t>
      </w:r>
      <w:r w:rsidRPr="00294F2E">
        <w:rPr>
          <w:rFonts w:ascii="Bookman Old Style" w:hAnsi="Bookman Old Style"/>
          <w:b/>
        </w:rPr>
        <w:t xml:space="preserve"> SLR 191</w:t>
      </w:r>
      <w:r w:rsidR="00294F2E" w:rsidRPr="00294F2E">
        <w:rPr>
          <w:rFonts w:ascii="Bookman Old Style" w:hAnsi="Bookman Old Style"/>
          <w:b/>
        </w:rPr>
        <w:t>)</w:t>
      </w:r>
      <w:r w:rsidRPr="00294F2E">
        <w:rPr>
          <w:rFonts w:ascii="Bookman Old Style" w:hAnsi="Bookman Old Style"/>
          <w:b/>
        </w:rPr>
        <w:t xml:space="preserve">; and </w:t>
      </w:r>
      <w:r w:rsidR="00294F2E" w:rsidRPr="00294F2E">
        <w:rPr>
          <w:rFonts w:ascii="Bookman Old Style" w:hAnsi="Bookman Old Style"/>
          <w:b/>
        </w:rPr>
        <w:t>(</w:t>
      </w:r>
      <w:proofErr w:type="spellStart"/>
      <w:r w:rsidRPr="00294F2E">
        <w:rPr>
          <w:rFonts w:ascii="Bookman Old Style" w:hAnsi="Bookman Old Style"/>
          <w:b/>
        </w:rPr>
        <w:t>Wilmont</w:t>
      </w:r>
      <w:proofErr w:type="spellEnd"/>
      <w:r w:rsidRPr="00294F2E">
        <w:rPr>
          <w:rFonts w:ascii="Bookman Old Style" w:hAnsi="Bookman Old Style"/>
          <w:b/>
        </w:rPr>
        <w:t xml:space="preserve"> v/s W&amp; C French (</w:t>
      </w:r>
      <w:proofErr w:type="spellStart"/>
      <w:r w:rsidRPr="00294F2E">
        <w:rPr>
          <w:rFonts w:ascii="Bookman Old Style" w:hAnsi="Bookman Old Style"/>
          <w:b/>
        </w:rPr>
        <w:t>Sey</w:t>
      </w:r>
      <w:proofErr w:type="spellEnd"/>
      <w:r w:rsidRPr="00294F2E">
        <w:rPr>
          <w:rFonts w:ascii="Bookman Old Style" w:hAnsi="Bookman Old Style"/>
          <w:b/>
        </w:rPr>
        <w:t xml:space="preserve">) Ltd </w:t>
      </w:r>
      <w:r w:rsidR="00294F2E" w:rsidRPr="00294F2E">
        <w:rPr>
          <w:rFonts w:ascii="Bookman Old Style" w:hAnsi="Bookman Old Style"/>
          <w:b/>
        </w:rPr>
        <w:t>(</w:t>
      </w:r>
      <w:r w:rsidRPr="00294F2E">
        <w:rPr>
          <w:rFonts w:ascii="Bookman Old Style" w:hAnsi="Bookman Old Style"/>
          <w:b/>
        </w:rPr>
        <w:t>1972-1973</w:t>
      </w:r>
      <w:r w:rsidR="00294F2E" w:rsidRPr="00294F2E">
        <w:rPr>
          <w:rFonts w:ascii="Bookman Old Style" w:hAnsi="Bookman Old Style"/>
          <w:b/>
        </w:rPr>
        <w:t>)</w:t>
      </w:r>
      <w:r w:rsidRPr="00294F2E">
        <w:rPr>
          <w:rFonts w:ascii="Bookman Old Style" w:hAnsi="Bookman Old Style"/>
          <w:b/>
        </w:rPr>
        <w:t xml:space="preserve"> SLR 144</w:t>
      </w:r>
      <w:r w:rsidR="00294F2E" w:rsidRPr="00294F2E">
        <w:rPr>
          <w:rFonts w:ascii="Bookman Old Style" w:hAnsi="Bookman Old Style"/>
          <w:b/>
        </w:rPr>
        <w:t>)</w:t>
      </w:r>
      <w:r w:rsidRPr="00294F2E">
        <w:rPr>
          <w:rFonts w:ascii="Bookman Old Style" w:hAnsi="Bookman Old Style"/>
          <w:b/>
        </w:rPr>
        <w:t>.</w:t>
      </w:r>
    </w:p>
    <w:p w:rsidR="00C04F85" w:rsidRDefault="00C04F85" w:rsidP="00B56523">
      <w:pPr>
        <w:pStyle w:val="JudgmentText"/>
        <w:numPr>
          <w:ilvl w:val="0"/>
          <w:numId w:val="0"/>
        </w:numPr>
        <w:ind w:left="720" w:hanging="720"/>
        <w:rPr>
          <w:rFonts w:ascii="Bookman Old Style" w:hAnsi="Bookman Old Style"/>
        </w:rPr>
      </w:pPr>
      <w:r>
        <w:rPr>
          <w:rFonts w:ascii="Bookman Old Style" w:hAnsi="Bookman Old Style"/>
        </w:rPr>
        <w:t>[13]</w:t>
      </w:r>
      <w:r>
        <w:rPr>
          <w:rFonts w:ascii="Bookman Old Style" w:hAnsi="Bookman Old Style"/>
        </w:rPr>
        <w:tab/>
        <w:t xml:space="preserve">Learned Counsel for the Plaintiffs on his part submitted in rebuttal </w:t>
      </w:r>
      <w:r w:rsidR="00F35DF7">
        <w:rPr>
          <w:rFonts w:ascii="Bookman Old Style" w:hAnsi="Bookman Old Style"/>
        </w:rPr>
        <w:t xml:space="preserve">in a gist, </w:t>
      </w:r>
      <w:r>
        <w:rPr>
          <w:rFonts w:ascii="Bookman Old Style" w:hAnsi="Bookman Old Style"/>
        </w:rPr>
        <w:t>that</w:t>
      </w:r>
      <w:r w:rsidR="00F35DF7">
        <w:rPr>
          <w:rFonts w:ascii="Bookman Old Style" w:hAnsi="Bookman Old Style"/>
        </w:rPr>
        <w:t xml:space="preserve">, firstly, </w:t>
      </w:r>
      <w:r>
        <w:rPr>
          <w:rFonts w:ascii="Bookman Old Style" w:hAnsi="Bookman Old Style"/>
        </w:rPr>
        <w:t xml:space="preserve">the case </w:t>
      </w:r>
      <w:r w:rsidR="00892EFA">
        <w:rPr>
          <w:rFonts w:ascii="Bookman Old Style" w:hAnsi="Bookman Old Style"/>
        </w:rPr>
        <w:t>pertains to the challenge of a Will and Last T</w:t>
      </w:r>
      <w:r>
        <w:rPr>
          <w:rFonts w:ascii="Bookman Old Style" w:hAnsi="Bookman Old Style"/>
        </w:rPr>
        <w:t>estament that denies the children, legal heirs of the donor, the right to inherit in favour of a third party being the defendan</w:t>
      </w:r>
      <w:r w:rsidR="00F35DF7">
        <w:rPr>
          <w:rFonts w:ascii="Bookman Old Style" w:hAnsi="Bookman Old Style"/>
        </w:rPr>
        <w:t>t. Secondly, that the will is being contested on the ground of fraud. Thirdly, that the succession of the deceased was never opened in the manner prescribed</w:t>
      </w:r>
      <w:r w:rsidR="00236D13">
        <w:rPr>
          <w:rFonts w:ascii="Bookman Old Style" w:hAnsi="Bookman Old Style"/>
        </w:rPr>
        <w:t xml:space="preserve"> </w:t>
      </w:r>
      <w:r w:rsidR="00236D13">
        <w:rPr>
          <w:rFonts w:ascii="Bookman Old Style" w:hAnsi="Bookman Old Style"/>
        </w:rPr>
        <w:lastRenderedPageBreak/>
        <w:t xml:space="preserve">under Article 718 of the </w:t>
      </w:r>
      <w:r w:rsidR="00F35DF7">
        <w:rPr>
          <w:rFonts w:ascii="Bookman Old Style" w:hAnsi="Bookman Old Style"/>
        </w:rPr>
        <w:t xml:space="preserve">Code and since there was </w:t>
      </w:r>
      <w:r w:rsidR="00236D13">
        <w:rPr>
          <w:rFonts w:ascii="Bookman Old Style" w:hAnsi="Bookman Old Style"/>
        </w:rPr>
        <w:t xml:space="preserve">no </w:t>
      </w:r>
      <w:r w:rsidR="00F35DF7">
        <w:rPr>
          <w:rFonts w:ascii="Bookman Old Style" w:hAnsi="Bookman Old Style"/>
        </w:rPr>
        <w:t>formal opening of</w:t>
      </w:r>
      <w:r w:rsidR="00236D13">
        <w:rPr>
          <w:rFonts w:ascii="Bookman Old Style" w:hAnsi="Bookman Old Style"/>
        </w:rPr>
        <w:t xml:space="preserve"> the succession, then only the D</w:t>
      </w:r>
      <w:r w:rsidR="00F35DF7">
        <w:rPr>
          <w:rFonts w:ascii="Bookman Old Style" w:hAnsi="Bookman Old Style"/>
        </w:rPr>
        <w:t>efendant had knowledge</w:t>
      </w:r>
      <w:r w:rsidR="00236D13">
        <w:rPr>
          <w:rFonts w:ascii="Bookman Old Style" w:hAnsi="Bookman Old Style"/>
        </w:rPr>
        <w:t xml:space="preserve"> of the alleged existence of a Will hence P</w:t>
      </w:r>
      <w:r w:rsidR="00F35DF7">
        <w:rPr>
          <w:rFonts w:ascii="Bookman Old Style" w:hAnsi="Bookman Old Style"/>
        </w:rPr>
        <w:t>laintiffs could not have ascertained their rights of inheritance with</w:t>
      </w:r>
      <w:r w:rsidR="00CE45F2">
        <w:rPr>
          <w:rFonts w:ascii="Bookman Old Style" w:hAnsi="Bookman Old Style"/>
        </w:rPr>
        <w:t>in five years and it was further</w:t>
      </w:r>
      <w:r w:rsidR="00F35DF7">
        <w:rPr>
          <w:rFonts w:ascii="Bookman Old Style" w:hAnsi="Bookman Old Style"/>
        </w:rPr>
        <w:t xml:space="preserve"> argued that in any event no limitation pe</w:t>
      </w:r>
      <w:r w:rsidR="00E030BA">
        <w:rPr>
          <w:rFonts w:ascii="Bookman Old Style" w:hAnsi="Bookman Old Style"/>
        </w:rPr>
        <w:t>riod is provided for in the</w:t>
      </w:r>
      <w:r w:rsidR="00F35DF7">
        <w:rPr>
          <w:rFonts w:ascii="Bookman Old Style" w:hAnsi="Bookman Old Style"/>
        </w:rPr>
        <w:t xml:space="preserve"> Code as to inheritance of an heir save in cases of illeg</w:t>
      </w:r>
      <w:r w:rsidR="00677629">
        <w:rPr>
          <w:rFonts w:ascii="Bookman Old Style" w:hAnsi="Bookman Old Style"/>
        </w:rPr>
        <w:t xml:space="preserve">itimate </w:t>
      </w:r>
      <w:r w:rsidR="00F35DF7">
        <w:rPr>
          <w:rFonts w:ascii="Bookman Old Style" w:hAnsi="Bookman Old Style"/>
        </w:rPr>
        <w:t>children.</w:t>
      </w:r>
    </w:p>
    <w:p w:rsidR="00F35DF7" w:rsidRDefault="00F35DF7" w:rsidP="00B56523">
      <w:pPr>
        <w:pStyle w:val="JudgmentText"/>
        <w:numPr>
          <w:ilvl w:val="0"/>
          <w:numId w:val="0"/>
        </w:numPr>
        <w:ind w:left="720" w:hanging="720"/>
        <w:rPr>
          <w:rFonts w:ascii="Bookman Old Style" w:hAnsi="Bookman Old Style"/>
        </w:rPr>
      </w:pPr>
      <w:r>
        <w:rPr>
          <w:rFonts w:ascii="Bookman Old Style" w:hAnsi="Bookman Old Style"/>
        </w:rPr>
        <w:t>[14]</w:t>
      </w:r>
      <w:r>
        <w:rPr>
          <w:rFonts w:ascii="Bookman Old Style" w:hAnsi="Bookman Old Style"/>
        </w:rPr>
        <w:tab/>
        <w:t>The Plaintiffs further, submitted that despite their objecting to the plea of res judicata, the matter in Civil Side 227/2011, which involved the same parties, w</w:t>
      </w:r>
      <w:r w:rsidR="00236D13">
        <w:rPr>
          <w:rFonts w:ascii="Bookman Old Style" w:hAnsi="Bookman Old Style"/>
        </w:rPr>
        <w:t>hereby the D</w:t>
      </w:r>
      <w:r w:rsidR="00677629">
        <w:rPr>
          <w:rFonts w:ascii="Bookman Old Style" w:hAnsi="Bookman Old Style"/>
        </w:rPr>
        <w:t xml:space="preserve">efendant sought to </w:t>
      </w:r>
      <w:r>
        <w:rPr>
          <w:rFonts w:ascii="Bookman Old Style" w:hAnsi="Bookman Old Style"/>
        </w:rPr>
        <w:t xml:space="preserve">declare the </w:t>
      </w:r>
      <w:r w:rsidR="00236D13">
        <w:rPr>
          <w:rFonts w:ascii="Bookman Old Style" w:hAnsi="Bookman Old Style"/>
        </w:rPr>
        <w:t>P</w:t>
      </w:r>
      <w:r w:rsidR="00677629">
        <w:rPr>
          <w:rFonts w:ascii="Bookman Old Style" w:hAnsi="Bookman Old Style"/>
        </w:rPr>
        <w:t>lainti</w:t>
      </w:r>
      <w:r>
        <w:rPr>
          <w:rFonts w:ascii="Bookman Old Style" w:hAnsi="Bookman Old Style"/>
        </w:rPr>
        <w:t>ffs not to be the legitimate children of the dec</w:t>
      </w:r>
      <w:r w:rsidR="00677629">
        <w:rPr>
          <w:rFonts w:ascii="Bookman Old Style" w:hAnsi="Bookman Old Style"/>
        </w:rPr>
        <w:t>e</w:t>
      </w:r>
      <w:r>
        <w:rPr>
          <w:rFonts w:ascii="Bookman Old Style" w:hAnsi="Bookman Old Style"/>
        </w:rPr>
        <w:t>ased</w:t>
      </w:r>
      <w:r w:rsidR="00677629">
        <w:rPr>
          <w:rFonts w:ascii="Bookman Old Style" w:hAnsi="Bookman Old Style"/>
        </w:rPr>
        <w:t xml:space="preserve"> effectively provided a break in prescription if indeed there is prescription. </w:t>
      </w:r>
    </w:p>
    <w:p w:rsidR="0084347B" w:rsidRDefault="00677629" w:rsidP="00B56523">
      <w:pPr>
        <w:pStyle w:val="JudgmentText"/>
        <w:numPr>
          <w:ilvl w:val="0"/>
          <w:numId w:val="0"/>
        </w:numPr>
        <w:ind w:left="720" w:hanging="720"/>
        <w:rPr>
          <w:rFonts w:ascii="Bookman Old Style" w:hAnsi="Bookman Old Style"/>
        </w:rPr>
      </w:pPr>
      <w:r>
        <w:rPr>
          <w:rFonts w:ascii="Bookman Old Style" w:hAnsi="Bookman Old Style"/>
        </w:rPr>
        <w:t>[15]</w:t>
      </w:r>
      <w:r>
        <w:rPr>
          <w:rFonts w:ascii="Bookman Old Style" w:hAnsi="Bookman Old Style"/>
        </w:rPr>
        <w:tab/>
      </w:r>
      <w:r w:rsidR="00294F2E">
        <w:rPr>
          <w:rFonts w:ascii="Bookman Old Style" w:hAnsi="Bookman Old Style"/>
        </w:rPr>
        <w:t xml:space="preserve">Now, in this case, prescription is being pleaded as a ground in </w:t>
      </w:r>
      <w:proofErr w:type="spellStart"/>
      <w:r w:rsidR="00294F2E" w:rsidRPr="00566C84">
        <w:rPr>
          <w:rFonts w:ascii="Bookman Old Style" w:hAnsi="Bookman Old Style"/>
          <w:i/>
        </w:rPr>
        <w:t>limine</w:t>
      </w:r>
      <w:proofErr w:type="spellEnd"/>
      <w:r w:rsidR="001B09D5" w:rsidRPr="00566C84">
        <w:rPr>
          <w:rFonts w:ascii="Bookman Old Style" w:hAnsi="Bookman Old Style"/>
          <w:i/>
        </w:rPr>
        <w:t xml:space="preserve"> </w:t>
      </w:r>
      <w:proofErr w:type="spellStart"/>
      <w:r w:rsidR="00294F2E" w:rsidRPr="00566C84">
        <w:rPr>
          <w:rFonts w:ascii="Bookman Old Style" w:hAnsi="Bookman Old Style"/>
          <w:i/>
        </w:rPr>
        <w:t>litis</w:t>
      </w:r>
      <w:proofErr w:type="spellEnd"/>
      <w:r w:rsidR="00294F2E">
        <w:rPr>
          <w:rFonts w:ascii="Bookman Old Style" w:hAnsi="Bookman Old Style"/>
        </w:rPr>
        <w:t xml:space="preserve"> by virtue of the provisions of Article 2271 of the Code on behalf of the Defendant.</w:t>
      </w:r>
    </w:p>
    <w:p w:rsidR="00294F2E" w:rsidRPr="00294F2E" w:rsidRDefault="00294F2E" w:rsidP="00B56523">
      <w:pPr>
        <w:pStyle w:val="JudgmentText"/>
        <w:numPr>
          <w:ilvl w:val="0"/>
          <w:numId w:val="0"/>
        </w:numPr>
        <w:ind w:left="720" w:hanging="720"/>
        <w:rPr>
          <w:rFonts w:ascii="Bookman Old Style" w:hAnsi="Bookman Old Style"/>
          <w:b/>
        </w:rPr>
      </w:pPr>
      <w:r>
        <w:rPr>
          <w:rFonts w:ascii="Bookman Old Style" w:hAnsi="Bookman Old Style"/>
        </w:rPr>
        <w:tab/>
      </w:r>
      <w:r w:rsidRPr="00294F2E">
        <w:rPr>
          <w:rFonts w:ascii="Bookman Old Style" w:hAnsi="Bookman Old Style"/>
          <w:b/>
        </w:rPr>
        <w:t>Article 2271 provides that:-</w:t>
      </w:r>
    </w:p>
    <w:p w:rsidR="00294F2E" w:rsidRPr="00294F2E" w:rsidRDefault="00294F2E" w:rsidP="00B56523">
      <w:pPr>
        <w:pStyle w:val="JudgmentText"/>
        <w:numPr>
          <w:ilvl w:val="0"/>
          <w:numId w:val="0"/>
        </w:numPr>
        <w:ind w:left="720" w:hanging="720"/>
        <w:rPr>
          <w:rFonts w:ascii="Bookman Old Style" w:hAnsi="Bookman Old Style"/>
          <w:b/>
        </w:rPr>
      </w:pPr>
      <w:r w:rsidRPr="00294F2E">
        <w:rPr>
          <w:rFonts w:ascii="Bookman Old Style" w:hAnsi="Bookman Old Style"/>
          <w:b/>
        </w:rPr>
        <w:tab/>
        <w:t>“All right</w:t>
      </w:r>
      <w:r w:rsidR="00C468CC">
        <w:rPr>
          <w:rFonts w:ascii="Bookman Old Style" w:hAnsi="Bookman Old Style"/>
          <w:b/>
        </w:rPr>
        <w:t>s</w:t>
      </w:r>
      <w:r w:rsidRPr="00294F2E">
        <w:rPr>
          <w:rFonts w:ascii="Bookman Old Style" w:hAnsi="Bookman Old Style"/>
          <w:b/>
        </w:rPr>
        <w:t xml:space="preserve"> of action shall be subject to prescription after a period of five years except as provided in articles 2262 and 2265 of this Code.”</w:t>
      </w:r>
    </w:p>
    <w:p w:rsidR="00294F2E" w:rsidRDefault="00294F2E" w:rsidP="00B56523">
      <w:pPr>
        <w:pStyle w:val="JudgmentText"/>
        <w:numPr>
          <w:ilvl w:val="0"/>
          <w:numId w:val="0"/>
        </w:numPr>
        <w:ind w:left="720" w:hanging="720"/>
        <w:rPr>
          <w:rFonts w:ascii="Bookman Old Style" w:hAnsi="Bookman Old Style"/>
          <w:i/>
        </w:rPr>
      </w:pPr>
      <w:r>
        <w:rPr>
          <w:rFonts w:ascii="Bookman Old Style" w:hAnsi="Bookman Old Style"/>
        </w:rPr>
        <w:t>[16]</w:t>
      </w:r>
      <w:r>
        <w:rPr>
          <w:rFonts w:ascii="Bookman Old Style" w:hAnsi="Bookman Old Style"/>
        </w:rPr>
        <w:tab/>
        <w:t xml:space="preserve">The latter mentioned Articles refer to The Prescription of Twenty Years and Ten Years respectively. The former being in all cases of </w:t>
      </w:r>
      <w:r w:rsidRPr="00294F2E">
        <w:rPr>
          <w:rFonts w:ascii="Bookman Old Style" w:hAnsi="Bookman Old Style"/>
          <w:i/>
        </w:rPr>
        <w:t xml:space="preserve">‘all real actions in respect of rights of ownership of land or other interests therein </w:t>
      </w:r>
      <w:r>
        <w:rPr>
          <w:rFonts w:ascii="Bookman Old Style" w:hAnsi="Bookman Old Style"/>
          <w:i/>
        </w:rPr>
        <w:t>whether the party</w:t>
      </w:r>
      <w:r w:rsidR="00943448">
        <w:rPr>
          <w:rFonts w:ascii="Bookman Old Style" w:hAnsi="Bookman Old Style"/>
          <w:i/>
        </w:rPr>
        <w:t xml:space="preserve"> claiming the benefit of such prescription can produce a title or not and whether such party is in good faith or not. </w:t>
      </w:r>
      <w:r w:rsidR="00943448" w:rsidRPr="00943448">
        <w:rPr>
          <w:rFonts w:ascii="Bookman Old Style" w:hAnsi="Bookman Old Style"/>
        </w:rPr>
        <w:t>In the latter respect</w:t>
      </w:r>
      <w:r w:rsidR="00943448">
        <w:rPr>
          <w:rFonts w:ascii="Bookman Old Style" w:hAnsi="Bookman Old Style"/>
          <w:i/>
        </w:rPr>
        <w:t>, ‘if the party claiming the benefit of such prescription produces a title which has been acquired for value and in good faith.”</w:t>
      </w:r>
    </w:p>
    <w:p w:rsidR="00943448" w:rsidRDefault="00943448" w:rsidP="00B56523">
      <w:pPr>
        <w:pStyle w:val="JudgmentText"/>
        <w:numPr>
          <w:ilvl w:val="0"/>
          <w:numId w:val="0"/>
        </w:numPr>
        <w:ind w:left="720" w:hanging="720"/>
        <w:rPr>
          <w:rFonts w:ascii="Bookman Old Style" w:hAnsi="Bookman Old Style"/>
        </w:rPr>
      </w:pPr>
      <w:r>
        <w:rPr>
          <w:rFonts w:ascii="Bookman Old Style" w:hAnsi="Bookman Old Style"/>
        </w:rPr>
        <w:t>[17]</w:t>
      </w:r>
      <w:r>
        <w:rPr>
          <w:rFonts w:ascii="Bookman Old Style" w:hAnsi="Bookman Old Style"/>
        </w:rPr>
        <w:tab/>
        <w:t>Now, this mater pertains to the challenge of A Will and Last Testament of the deceased by his children, legal heirs of the donor, the right to</w:t>
      </w:r>
      <w:r w:rsidR="00CE45F2">
        <w:rPr>
          <w:rFonts w:ascii="Bookman Old Style" w:hAnsi="Bookman Old Style"/>
        </w:rPr>
        <w:t xml:space="preserve"> inherit </w:t>
      </w:r>
      <w:r w:rsidR="00CE45F2">
        <w:rPr>
          <w:rFonts w:ascii="Bookman Old Style" w:hAnsi="Bookman Old Style"/>
        </w:rPr>
        <w:lastRenderedPageBreak/>
        <w:t>in favour of a third pa</w:t>
      </w:r>
      <w:r>
        <w:rPr>
          <w:rFonts w:ascii="Bookman Old Style" w:hAnsi="Bookman Old Style"/>
        </w:rPr>
        <w:t>rty, being the Defendant. The Plaintiffs claim is clearly laid out at paragraphs 5 to 9 for the purpose o</w:t>
      </w:r>
      <w:r w:rsidR="00236D13">
        <w:rPr>
          <w:rFonts w:ascii="Bookman Old Style" w:hAnsi="Bookman Old Style"/>
        </w:rPr>
        <w:t>f this R</w:t>
      </w:r>
      <w:r>
        <w:rPr>
          <w:rFonts w:ascii="Bookman Old Style" w:hAnsi="Bookman Old Style"/>
        </w:rPr>
        <w:t>uling (supra).</w:t>
      </w:r>
    </w:p>
    <w:p w:rsidR="00943448" w:rsidRDefault="00943448" w:rsidP="00B56523">
      <w:pPr>
        <w:pStyle w:val="JudgmentText"/>
        <w:numPr>
          <w:ilvl w:val="0"/>
          <w:numId w:val="0"/>
        </w:numPr>
        <w:ind w:left="720" w:hanging="720"/>
        <w:rPr>
          <w:rFonts w:ascii="Bookman Old Style" w:hAnsi="Bookman Old Style"/>
        </w:rPr>
      </w:pPr>
      <w:r>
        <w:rPr>
          <w:rFonts w:ascii="Bookman Old Style" w:hAnsi="Bookman Old Style"/>
        </w:rPr>
        <w:t>[18]</w:t>
      </w:r>
      <w:r>
        <w:rPr>
          <w:rFonts w:ascii="Bookman Old Style" w:hAnsi="Bookman Old Style"/>
        </w:rPr>
        <w:tab/>
        <w:t>The right of a</w:t>
      </w:r>
      <w:r w:rsidR="00236D13">
        <w:rPr>
          <w:rFonts w:ascii="Bookman Old Style" w:hAnsi="Bookman Old Style"/>
        </w:rPr>
        <w:t xml:space="preserve">ction in this case as clearly set out above, arises out </w:t>
      </w:r>
      <w:r>
        <w:rPr>
          <w:rFonts w:ascii="Bookman Old Style" w:hAnsi="Bookman Old Style"/>
        </w:rPr>
        <w:t xml:space="preserve">of a right to inherit accruing to the Plaintiffs, heirs, by virtue of the provisions of Article 718 (The opening of the </w:t>
      </w:r>
      <w:r w:rsidR="00C468CC">
        <w:rPr>
          <w:rFonts w:ascii="Bookman Old Style" w:hAnsi="Bookman Old Style"/>
        </w:rPr>
        <w:t xml:space="preserve">succession and </w:t>
      </w:r>
      <w:proofErr w:type="spellStart"/>
      <w:r w:rsidR="00C468CC">
        <w:rPr>
          <w:rFonts w:ascii="Bookman Old Style" w:hAnsi="Bookman Old Style"/>
        </w:rPr>
        <w:t>seisin</w:t>
      </w:r>
      <w:proofErr w:type="spellEnd"/>
      <w:r w:rsidR="00C468CC">
        <w:rPr>
          <w:rFonts w:ascii="Bookman Old Style" w:hAnsi="Bookman Old Style"/>
        </w:rPr>
        <w:t xml:space="preserve"> of heirs) as read with Article 731 of the Code (latter entitled The Various orders of succession).</w:t>
      </w:r>
    </w:p>
    <w:p w:rsidR="00C468CC" w:rsidRPr="00CE45F2" w:rsidRDefault="00C468CC" w:rsidP="00B56523">
      <w:pPr>
        <w:pStyle w:val="JudgmentText"/>
        <w:numPr>
          <w:ilvl w:val="0"/>
          <w:numId w:val="0"/>
        </w:numPr>
        <w:ind w:left="720" w:hanging="720"/>
        <w:rPr>
          <w:rFonts w:ascii="Bookman Old Style" w:hAnsi="Bookman Old Style"/>
          <w:b/>
        </w:rPr>
      </w:pPr>
      <w:r>
        <w:rPr>
          <w:rFonts w:ascii="Bookman Old Style" w:hAnsi="Bookman Old Style"/>
        </w:rPr>
        <w:t>[19]</w:t>
      </w:r>
      <w:r>
        <w:rPr>
          <w:rFonts w:ascii="Bookman Old Style" w:hAnsi="Bookman Old Style"/>
        </w:rPr>
        <w:tab/>
      </w:r>
      <w:r w:rsidRPr="00CE45F2">
        <w:rPr>
          <w:rFonts w:ascii="Bookman Old Style" w:hAnsi="Bookman Old Style"/>
          <w:b/>
        </w:rPr>
        <w:t>Article 718 provides that:-</w:t>
      </w:r>
    </w:p>
    <w:p w:rsidR="00C468CC" w:rsidRPr="00CE45F2" w:rsidRDefault="00C468CC" w:rsidP="00B56523">
      <w:pPr>
        <w:pStyle w:val="JudgmentText"/>
        <w:numPr>
          <w:ilvl w:val="0"/>
          <w:numId w:val="0"/>
        </w:numPr>
        <w:ind w:left="720" w:hanging="720"/>
        <w:rPr>
          <w:rFonts w:ascii="Bookman Old Style" w:hAnsi="Bookman Old Style"/>
          <w:b/>
        </w:rPr>
      </w:pPr>
      <w:r w:rsidRPr="00CE45F2">
        <w:rPr>
          <w:rFonts w:ascii="Bookman Old Style" w:hAnsi="Bookman Old Style"/>
          <w:b/>
        </w:rPr>
        <w:tab/>
        <w:t xml:space="preserve">“A succession shall open upon the death of a person. The succession shall open in the place where the deceased had his </w:t>
      </w:r>
      <w:proofErr w:type="spellStart"/>
      <w:r w:rsidRPr="00CE45F2">
        <w:rPr>
          <w:rFonts w:ascii="Bookman Old Style" w:hAnsi="Bookman Old Style"/>
          <w:b/>
        </w:rPr>
        <w:t>domicil</w:t>
      </w:r>
      <w:proofErr w:type="spellEnd"/>
      <w:r w:rsidRPr="00CE45F2">
        <w:rPr>
          <w:rFonts w:ascii="Bookman Old Style" w:hAnsi="Bookman Old Style"/>
          <w:b/>
        </w:rPr>
        <w:t xml:space="preserve">”. </w:t>
      </w:r>
    </w:p>
    <w:p w:rsidR="00C468CC" w:rsidRPr="00CE45F2" w:rsidRDefault="00C468CC" w:rsidP="00B56523">
      <w:pPr>
        <w:pStyle w:val="JudgmentText"/>
        <w:numPr>
          <w:ilvl w:val="0"/>
          <w:numId w:val="0"/>
        </w:numPr>
        <w:ind w:left="720" w:hanging="720"/>
        <w:rPr>
          <w:rFonts w:ascii="Bookman Old Style" w:hAnsi="Bookman Old Style"/>
          <w:i/>
        </w:rPr>
      </w:pPr>
      <w:r>
        <w:rPr>
          <w:rFonts w:ascii="Bookman Old Style" w:hAnsi="Bookman Old Style"/>
        </w:rPr>
        <w:t>[20]</w:t>
      </w:r>
      <w:r>
        <w:rPr>
          <w:rFonts w:ascii="Bookman Old Style" w:hAnsi="Bookman Old Style"/>
        </w:rPr>
        <w:tab/>
        <w:t>Now, it fo</w:t>
      </w:r>
      <w:r w:rsidR="00CE45F2">
        <w:rPr>
          <w:rFonts w:ascii="Bookman Old Style" w:hAnsi="Bookman Old Style"/>
        </w:rPr>
        <w:t>llows, that the right of the he</w:t>
      </w:r>
      <w:r>
        <w:rPr>
          <w:rFonts w:ascii="Bookman Old Style" w:hAnsi="Bookman Old Style"/>
        </w:rPr>
        <w:t>irs, plaintiffs would have accrued upon the opening of the succession more particularly the death of the deceased. In that respect, our provision of Code reflects the French Civil Code Articl</w:t>
      </w:r>
      <w:r w:rsidR="00CE45F2">
        <w:rPr>
          <w:rFonts w:ascii="Bookman Old Style" w:hAnsi="Bookman Old Style"/>
        </w:rPr>
        <w:t>e</w:t>
      </w:r>
      <w:r>
        <w:rPr>
          <w:rFonts w:ascii="Bookman Old Style" w:hAnsi="Bookman Old Style"/>
        </w:rPr>
        <w:t xml:space="preserve"> 78, to the effect that</w:t>
      </w:r>
      <w:r w:rsidR="0029379D">
        <w:rPr>
          <w:rFonts w:ascii="Bookman Old Style" w:hAnsi="Bookman Old Style"/>
        </w:rPr>
        <w:t>,</w:t>
      </w:r>
      <w:r w:rsidR="001B09D5">
        <w:rPr>
          <w:rFonts w:ascii="Bookman Old Style" w:hAnsi="Bookman Old Style"/>
        </w:rPr>
        <w:t xml:space="preserve"> </w:t>
      </w:r>
      <w:r w:rsidRPr="00CE45F2">
        <w:rPr>
          <w:rFonts w:ascii="Bookman Old Style" w:hAnsi="Bookman Old Style"/>
          <w:i/>
        </w:rPr>
        <w:t xml:space="preserve">‘Les successions </w:t>
      </w:r>
      <w:proofErr w:type="spellStart"/>
      <w:r w:rsidRPr="00CE45F2">
        <w:rPr>
          <w:rFonts w:ascii="Bookman Old Style" w:hAnsi="Bookman Old Style"/>
          <w:i/>
        </w:rPr>
        <w:t>s’ouvrent</w:t>
      </w:r>
      <w:proofErr w:type="spellEnd"/>
      <w:r w:rsidRPr="00CE45F2">
        <w:rPr>
          <w:rFonts w:ascii="Bookman Old Style" w:hAnsi="Bookman Old Style"/>
          <w:i/>
        </w:rPr>
        <w:t xml:space="preserve"> par la mort </w:t>
      </w:r>
      <w:proofErr w:type="spellStart"/>
      <w:r w:rsidRPr="00CE45F2">
        <w:rPr>
          <w:rFonts w:ascii="Bookman Old Style" w:hAnsi="Bookman Old Style"/>
          <w:i/>
        </w:rPr>
        <w:t>naturelle</w:t>
      </w:r>
      <w:proofErr w:type="spellEnd"/>
      <w:r w:rsidRPr="00CE45F2">
        <w:rPr>
          <w:rFonts w:ascii="Bookman Old Style" w:hAnsi="Bookman Old Style"/>
          <w:i/>
        </w:rPr>
        <w:t>’.</w:t>
      </w:r>
    </w:p>
    <w:p w:rsidR="00C468CC" w:rsidRDefault="00C468CC" w:rsidP="00B56523">
      <w:pPr>
        <w:pStyle w:val="JudgmentText"/>
        <w:numPr>
          <w:ilvl w:val="0"/>
          <w:numId w:val="0"/>
        </w:numPr>
        <w:ind w:left="720" w:hanging="720"/>
        <w:rPr>
          <w:rFonts w:ascii="Bookman Old Style" w:hAnsi="Bookman Old Style"/>
        </w:rPr>
      </w:pPr>
      <w:r>
        <w:rPr>
          <w:rFonts w:ascii="Bookman Old Style" w:hAnsi="Bookman Old Style"/>
        </w:rPr>
        <w:t>[21]</w:t>
      </w:r>
      <w:r>
        <w:rPr>
          <w:rFonts w:ascii="Bookman Old Style" w:hAnsi="Bookman Old Style"/>
        </w:rPr>
        <w:tab/>
        <w:t>In view of the nature of the action as above enunciated, it is obvious without need for any stretch of imagination, that the cause of action falls squarely within th</w:t>
      </w:r>
      <w:r w:rsidR="00CE45F2">
        <w:rPr>
          <w:rFonts w:ascii="Bookman Old Style" w:hAnsi="Bookman Old Style"/>
        </w:rPr>
        <w:t>e prescriptive period of five ye</w:t>
      </w:r>
      <w:r>
        <w:rPr>
          <w:rFonts w:ascii="Bookman Old Style" w:hAnsi="Bookman Old Style"/>
        </w:rPr>
        <w:t>ars as provided for by Article 2271 of the Code hence, th</w:t>
      </w:r>
      <w:r w:rsidR="00CE45F2">
        <w:rPr>
          <w:rFonts w:ascii="Bookman Old Style" w:hAnsi="Bookman Old Style"/>
        </w:rPr>
        <w:t>e prescriptive period of five ye</w:t>
      </w:r>
      <w:r w:rsidR="0029379D">
        <w:rPr>
          <w:rFonts w:ascii="Bookman Old Style" w:hAnsi="Bookman Old Style"/>
        </w:rPr>
        <w:t>ars to start running fro</w:t>
      </w:r>
      <w:r>
        <w:rPr>
          <w:rFonts w:ascii="Bookman Old Style" w:hAnsi="Bookman Old Style"/>
        </w:rPr>
        <w:t>m the death of the deceased.</w:t>
      </w:r>
    </w:p>
    <w:p w:rsidR="00C468CC" w:rsidRDefault="00C468CC" w:rsidP="00B56523">
      <w:pPr>
        <w:pStyle w:val="JudgmentText"/>
        <w:numPr>
          <w:ilvl w:val="0"/>
          <w:numId w:val="0"/>
        </w:numPr>
        <w:ind w:left="720" w:hanging="720"/>
        <w:rPr>
          <w:rFonts w:ascii="Bookman Old Style" w:hAnsi="Bookman Old Style"/>
        </w:rPr>
      </w:pPr>
      <w:r>
        <w:rPr>
          <w:rFonts w:ascii="Bookman Old Style" w:hAnsi="Bookman Old Style"/>
        </w:rPr>
        <w:t>[22]</w:t>
      </w:r>
      <w:r>
        <w:rPr>
          <w:rFonts w:ascii="Bookman Old Style" w:hAnsi="Bookman Old Style"/>
        </w:rPr>
        <w:tab/>
        <w:t>Support is also, further lent to</w:t>
      </w:r>
      <w:r w:rsidR="0029379D">
        <w:rPr>
          <w:rFonts w:ascii="Bookman Old Style" w:hAnsi="Bookman Old Style"/>
        </w:rPr>
        <w:t xml:space="preserve"> this finding, fro</w:t>
      </w:r>
      <w:r>
        <w:rPr>
          <w:rFonts w:ascii="Bookman Old Style" w:hAnsi="Bookman Old Style"/>
        </w:rPr>
        <w:t xml:space="preserve">m the ‘ratio </w:t>
      </w:r>
      <w:proofErr w:type="spellStart"/>
      <w:r>
        <w:rPr>
          <w:rFonts w:ascii="Bookman Old Style" w:hAnsi="Bookman Old Style"/>
        </w:rPr>
        <w:t>decidendi</w:t>
      </w:r>
      <w:proofErr w:type="spellEnd"/>
      <w:r>
        <w:rPr>
          <w:rFonts w:ascii="Bookman Old Style" w:hAnsi="Bookman Old Style"/>
        </w:rPr>
        <w:t xml:space="preserve">’ in the case of </w:t>
      </w:r>
      <w:r w:rsidRPr="004656A8">
        <w:rPr>
          <w:rFonts w:ascii="Bookman Old Style" w:hAnsi="Bookman Old Style"/>
          <w:b/>
        </w:rPr>
        <w:t>(</w:t>
      </w:r>
      <w:proofErr w:type="spellStart"/>
      <w:r w:rsidRPr="004656A8">
        <w:rPr>
          <w:rFonts w:ascii="Bookman Old Style" w:hAnsi="Bookman Old Style"/>
          <w:b/>
        </w:rPr>
        <w:t>Ther</w:t>
      </w:r>
      <w:r w:rsidR="004656A8" w:rsidRPr="004656A8">
        <w:rPr>
          <w:rFonts w:ascii="Bookman Old Style" w:hAnsi="Bookman Old Style"/>
          <w:b/>
        </w:rPr>
        <w:t>ese</w:t>
      </w:r>
      <w:r w:rsidRPr="004656A8">
        <w:rPr>
          <w:rFonts w:ascii="Bookman Old Style" w:hAnsi="Bookman Old Style"/>
          <w:b/>
        </w:rPr>
        <w:t>Hoareau</w:t>
      </w:r>
      <w:proofErr w:type="spellEnd"/>
      <w:r w:rsidRPr="004656A8">
        <w:rPr>
          <w:rFonts w:ascii="Bookman Old Style" w:hAnsi="Bookman Old Style"/>
          <w:b/>
        </w:rPr>
        <w:t xml:space="preserve"> v. Mrs Guy </w:t>
      </w:r>
      <w:proofErr w:type="spellStart"/>
      <w:r w:rsidRPr="004656A8">
        <w:rPr>
          <w:rFonts w:ascii="Bookman Old Style" w:hAnsi="Bookman Old Style"/>
          <w:b/>
        </w:rPr>
        <w:t>Contoret</w:t>
      </w:r>
      <w:proofErr w:type="spellEnd"/>
      <w:r w:rsidRPr="004656A8">
        <w:rPr>
          <w:rFonts w:ascii="Bookman Old Style" w:hAnsi="Bookman Old Style"/>
          <w:b/>
        </w:rPr>
        <w:t xml:space="preserve"> (Representing the Estate of Guy </w:t>
      </w:r>
      <w:proofErr w:type="spellStart"/>
      <w:r w:rsidRPr="004656A8">
        <w:rPr>
          <w:rFonts w:ascii="Bookman Old Style" w:hAnsi="Bookman Old Style"/>
          <w:b/>
        </w:rPr>
        <w:t>Contoret</w:t>
      </w:r>
      <w:proofErr w:type="spellEnd"/>
      <w:r w:rsidRPr="004656A8">
        <w:rPr>
          <w:rFonts w:ascii="Bookman Old Style" w:hAnsi="Bookman Old Style"/>
          <w:b/>
        </w:rPr>
        <w:t>) (1984) SLR 151)</w:t>
      </w:r>
      <w:r>
        <w:rPr>
          <w:rFonts w:ascii="Bookman Old Style" w:hAnsi="Bookman Old Style"/>
        </w:rPr>
        <w:t xml:space="preserve">, </w:t>
      </w:r>
      <w:r w:rsidR="004656A8">
        <w:rPr>
          <w:rFonts w:ascii="Bookman Old Style" w:hAnsi="Bookman Old Style"/>
        </w:rPr>
        <w:t>wherein which case</w:t>
      </w:r>
      <w:r>
        <w:rPr>
          <w:rFonts w:ascii="Bookman Old Style" w:hAnsi="Bookman Old Style"/>
        </w:rPr>
        <w:t xml:space="preserve">, Madeleine </w:t>
      </w:r>
      <w:proofErr w:type="spellStart"/>
      <w:r>
        <w:rPr>
          <w:rFonts w:ascii="Bookman Old Style" w:hAnsi="Bookman Old Style"/>
        </w:rPr>
        <w:t>Contoret</w:t>
      </w:r>
      <w:proofErr w:type="spellEnd"/>
      <w:r>
        <w:rPr>
          <w:rFonts w:ascii="Bookman Old Style" w:hAnsi="Bookman Old Style"/>
        </w:rPr>
        <w:t xml:space="preserve">, the mother of the plaintiff and the late Guy </w:t>
      </w:r>
      <w:proofErr w:type="spellStart"/>
      <w:r>
        <w:rPr>
          <w:rFonts w:ascii="Bookman Old Style" w:hAnsi="Bookman Old Style"/>
        </w:rPr>
        <w:t>Contoret</w:t>
      </w:r>
      <w:proofErr w:type="spellEnd"/>
      <w:r>
        <w:rPr>
          <w:rFonts w:ascii="Bookman Old Style" w:hAnsi="Bookman Old Style"/>
        </w:rPr>
        <w:t xml:space="preserve">, on May 1955 sold 2 portions of land to late Guy </w:t>
      </w:r>
      <w:proofErr w:type="spellStart"/>
      <w:r>
        <w:rPr>
          <w:rFonts w:ascii="Bookman Old Style" w:hAnsi="Bookman Old Style"/>
        </w:rPr>
        <w:t>Contoret</w:t>
      </w:r>
      <w:proofErr w:type="spellEnd"/>
      <w:r>
        <w:rPr>
          <w:rFonts w:ascii="Bookman Old Style" w:hAnsi="Bookman Old Style"/>
        </w:rPr>
        <w:t>. In an act</w:t>
      </w:r>
      <w:r w:rsidR="004656A8">
        <w:rPr>
          <w:rFonts w:ascii="Bookman Old Style" w:hAnsi="Bookman Old Style"/>
        </w:rPr>
        <w:t>ion filed before the death of M</w:t>
      </w:r>
      <w:r>
        <w:rPr>
          <w:rFonts w:ascii="Bookman Old Style" w:hAnsi="Bookman Old Style"/>
        </w:rPr>
        <w:t xml:space="preserve">adeleine </w:t>
      </w:r>
      <w:proofErr w:type="spellStart"/>
      <w:r>
        <w:rPr>
          <w:rFonts w:ascii="Bookman Old Style" w:hAnsi="Bookman Old Style"/>
        </w:rPr>
        <w:t>Contoret</w:t>
      </w:r>
      <w:proofErr w:type="spellEnd"/>
      <w:r w:rsidR="00097190">
        <w:rPr>
          <w:rFonts w:ascii="Bookman Old Style" w:hAnsi="Bookman Old Style"/>
        </w:rPr>
        <w:t xml:space="preserve"> this sale was held </w:t>
      </w:r>
      <w:r w:rsidR="004656A8">
        <w:rPr>
          <w:rFonts w:ascii="Bookman Old Style" w:hAnsi="Bookman Old Style"/>
        </w:rPr>
        <w:lastRenderedPageBreak/>
        <w:t xml:space="preserve">to be a </w:t>
      </w:r>
      <w:r w:rsidR="00097190">
        <w:rPr>
          <w:rFonts w:ascii="Bookman Old Style" w:hAnsi="Bookman Old Style"/>
        </w:rPr>
        <w:t xml:space="preserve">disguised donation made with the object of depriving the plaintiff and other heirs in their respective rights in Madeleine </w:t>
      </w:r>
      <w:proofErr w:type="spellStart"/>
      <w:r w:rsidR="00097190">
        <w:rPr>
          <w:rFonts w:ascii="Bookman Old Style" w:hAnsi="Bookman Old Style"/>
        </w:rPr>
        <w:t>Contoret’</w:t>
      </w:r>
      <w:r w:rsidR="004656A8">
        <w:rPr>
          <w:rFonts w:ascii="Bookman Old Style" w:hAnsi="Bookman Old Style"/>
        </w:rPr>
        <w:t>s</w:t>
      </w:r>
      <w:proofErr w:type="spellEnd"/>
      <w:r w:rsidR="004656A8">
        <w:rPr>
          <w:rFonts w:ascii="Bookman Old Style" w:hAnsi="Bookman Old Style"/>
        </w:rPr>
        <w:t xml:space="preserve"> succession. After</w:t>
      </w:r>
      <w:r w:rsidR="00097190">
        <w:rPr>
          <w:rFonts w:ascii="Bookman Old Style" w:hAnsi="Bookman Old Style"/>
        </w:rPr>
        <w:t xml:space="preserve"> h</w:t>
      </w:r>
      <w:r w:rsidR="004656A8">
        <w:rPr>
          <w:rFonts w:ascii="Bookman Old Style" w:hAnsi="Bookman Old Style"/>
        </w:rPr>
        <w:t xml:space="preserve">er death in 1976 the plaintiff </w:t>
      </w:r>
      <w:r w:rsidR="00097190">
        <w:rPr>
          <w:rFonts w:ascii="Bookman Old Style" w:hAnsi="Bookman Old Style"/>
        </w:rPr>
        <w:t xml:space="preserve">brought this action in 1984 for reduction of the disposition to the </w:t>
      </w:r>
      <w:r w:rsidR="004656A8">
        <w:rPr>
          <w:rFonts w:ascii="Bookman Old Style" w:hAnsi="Bookman Old Style"/>
        </w:rPr>
        <w:t>disposable portion. The defendant pleaded that the action was tim</w:t>
      </w:r>
      <w:r w:rsidR="00097190">
        <w:rPr>
          <w:rFonts w:ascii="Bookman Old Style" w:hAnsi="Bookman Old Style"/>
        </w:rPr>
        <w:t>e barred by prescription and the Court held that</w:t>
      </w:r>
      <w:r w:rsidR="00097190" w:rsidRPr="00AA2018">
        <w:rPr>
          <w:rFonts w:ascii="Bookman Old Style" w:hAnsi="Bookman Old Style"/>
          <w:b/>
        </w:rPr>
        <w:t>, “</w:t>
      </w:r>
      <w:r w:rsidR="004656A8" w:rsidRPr="00AA2018">
        <w:rPr>
          <w:rFonts w:ascii="Bookman Old Style" w:hAnsi="Bookman Old Style"/>
          <w:b/>
        </w:rPr>
        <w:t>all re</w:t>
      </w:r>
      <w:r w:rsidR="00097190" w:rsidRPr="00AA2018">
        <w:rPr>
          <w:rFonts w:ascii="Bookman Old Style" w:hAnsi="Bookman Old Style"/>
          <w:b/>
        </w:rPr>
        <w:t>al actions except in respect o</w:t>
      </w:r>
      <w:r w:rsidR="004656A8" w:rsidRPr="00AA2018">
        <w:rPr>
          <w:rFonts w:ascii="Bookman Old Style" w:hAnsi="Bookman Old Style"/>
          <w:b/>
        </w:rPr>
        <w:t>f ownership of land or other in</w:t>
      </w:r>
      <w:r w:rsidR="00097190" w:rsidRPr="00AA2018">
        <w:rPr>
          <w:rFonts w:ascii="Bookman Old Style" w:hAnsi="Bookman Old Style"/>
          <w:b/>
        </w:rPr>
        <w:t>ter</w:t>
      </w:r>
      <w:r w:rsidR="004656A8" w:rsidRPr="00AA2018">
        <w:rPr>
          <w:rFonts w:ascii="Bookman Old Style" w:hAnsi="Bookman Old Style"/>
          <w:b/>
        </w:rPr>
        <w:t>e</w:t>
      </w:r>
      <w:r w:rsidR="00097190" w:rsidRPr="00AA2018">
        <w:rPr>
          <w:rFonts w:ascii="Bookman Old Style" w:hAnsi="Bookman Old Style"/>
          <w:b/>
        </w:rPr>
        <w:t xml:space="preserve">sts therein were subject to prescription after a period of five years. That the action for reduction of the disposable portion was an action for recovery of compensation and therefore not an action in respect of rights of ownership in land hence the right of action arose on the death of Guy </w:t>
      </w:r>
      <w:proofErr w:type="spellStart"/>
      <w:r w:rsidR="00097190" w:rsidRPr="00AA2018">
        <w:rPr>
          <w:rFonts w:ascii="Bookman Old Style" w:hAnsi="Bookman Old Style"/>
          <w:b/>
        </w:rPr>
        <w:t>Contoret</w:t>
      </w:r>
      <w:proofErr w:type="spellEnd"/>
      <w:r w:rsidR="00097190" w:rsidRPr="00AA2018">
        <w:rPr>
          <w:rFonts w:ascii="Bookman Old Style" w:hAnsi="Bookman Old Style"/>
          <w:b/>
        </w:rPr>
        <w:t xml:space="preserve"> in 1976 and therefore </w:t>
      </w:r>
      <w:r w:rsidR="00AA2018">
        <w:rPr>
          <w:rFonts w:ascii="Bookman Old Style" w:hAnsi="Bookman Old Style"/>
          <w:b/>
        </w:rPr>
        <w:t xml:space="preserve">was </w:t>
      </w:r>
      <w:r w:rsidR="00097190" w:rsidRPr="00AA2018">
        <w:rPr>
          <w:rFonts w:ascii="Bookman Old Style" w:hAnsi="Bookman Old Style"/>
          <w:b/>
        </w:rPr>
        <w:t>time barred</w:t>
      </w:r>
      <w:r w:rsidR="00AA2018">
        <w:rPr>
          <w:rFonts w:ascii="Bookman Old Style" w:hAnsi="Bookman Old Style"/>
          <w:b/>
        </w:rPr>
        <w:t xml:space="preserve"> by prescription</w:t>
      </w:r>
      <w:r w:rsidR="00097190" w:rsidRPr="00AA2018">
        <w:rPr>
          <w:rFonts w:ascii="Bookman Old Style" w:hAnsi="Bookman Old Style"/>
          <w:b/>
        </w:rPr>
        <w:t>.”</w:t>
      </w:r>
      <w:r w:rsidR="00097190">
        <w:rPr>
          <w:rFonts w:ascii="Bookman Old Style" w:hAnsi="Bookman Old Style"/>
        </w:rPr>
        <w:t xml:space="preserve"> (Emphasis is mine).</w:t>
      </w:r>
    </w:p>
    <w:p w:rsidR="00097190" w:rsidRDefault="0029379D" w:rsidP="00B56523">
      <w:pPr>
        <w:pStyle w:val="JudgmentText"/>
        <w:numPr>
          <w:ilvl w:val="0"/>
          <w:numId w:val="0"/>
        </w:numPr>
        <w:ind w:left="720" w:hanging="720"/>
        <w:rPr>
          <w:rFonts w:ascii="Bookman Old Style" w:hAnsi="Bookman Old Style"/>
        </w:rPr>
      </w:pPr>
      <w:r>
        <w:rPr>
          <w:rFonts w:ascii="Bookman Old Style" w:hAnsi="Bookman Old Style"/>
        </w:rPr>
        <w:t>[23]</w:t>
      </w:r>
      <w:r>
        <w:rPr>
          <w:rFonts w:ascii="Bookman Old Style" w:hAnsi="Bookman Old Style"/>
        </w:rPr>
        <w:tab/>
        <w:t xml:space="preserve">Now, in this matter, </w:t>
      </w:r>
      <w:r w:rsidR="00097190">
        <w:rPr>
          <w:rFonts w:ascii="Bookman Old Style" w:hAnsi="Bookman Old Style"/>
        </w:rPr>
        <w:t>the deceased passed away admittedly on the 20</w:t>
      </w:r>
      <w:r w:rsidR="00097190" w:rsidRPr="00097190">
        <w:rPr>
          <w:rFonts w:ascii="Bookman Old Style" w:hAnsi="Bookman Old Style"/>
          <w:vertAlign w:val="superscript"/>
        </w:rPr>
        <w:t>th</w:t>
      </w:r>
      <w:r w:rsidR="00097190">
        <w:rPr>
          <w:rFonts w:ascii="Bookman Old Style" w:hAnsi="Bookman Old Style"/>
        </w:rPr>
        <w:t xml:space="preserve"> day of September 2009 and Plaint filed by the Plaintiffs was signed on the 30</w:t>
      </w:r>
      <w:r w:rsidR="00097190" w:rsidRPr="00097190">
        <w:rPr>
          <w:rFonts w:ascii="Bookman Old Style" w:hAnsi="Bookman Old Style"/>
          <w:vertAlign w:val="superscript"/>
        </w:rPr>
        <w:t>th</w:t>
      </w:r>
      <w:r w:rsidR="00097190">
        <w:rPr>
          <w:rFonts w:ascii="Bookman Old Style" w:hAnsi="Bookman Old Style"/>
        </w:rPr>
        <w:t xml:space="preserve"> day of June 2015 and filed at the Registry of the Supreme Court on the 3</w:t>
      </w:r>
      <w:r w:rsidR="00097190" w:rsidRPr="00097190">
        <w:rPr>
          <w:rFonts w:ascii="Bookman Old Style" w:hAnsi="Bookman Old Style"/>
          <w:vertAlign w:val="superscript"/>
        </w:rPr>
        <w:t>rd</w:t>
      </w:r>
      <w:r w:rsidR="00097190">
        <w:rPr>
          <w:rFonts w:ascii="Bookman Old Style" w:hAnsi="Bookman Old Style"/>
        </w:rPr>
        <w:t xml:space="preserve"> day of July 2015.</w:t>
      </w:r>
    </w:p>
    <w:p w:rsidR="00097190" w:rsidRDefault="00097190" w:rsidP="00B56523">
      <w:pPr>
        <w:pStyle w:val="JudgmentText"/>
        <w:numPr>
          <w:ilvl w:val="0"/>
          <w:numId w:val="0"/>
        </w:numPr>
        <w:ind w:left="720" w:hanging="720"/>
        <w:rPr>
          <w:rFonts w:ascii="Bookman Old Style" w:hAnsi="Bookman Old Style"/>
        </w:rPr>
      </w:pPr>
      <w:r>
        <w:rPr>
          <w:rFonts w:ascii="Bookman Old Style" w:hAnsi="Bookman Old Style"/>
        </w:rPr>
        <w:t>[24]</w:t>
      </w:r>
      <w:r>
        <w:rPr>
          <w:rFonts w:ascii="Bookman Old Style" w:hAnsi="Bookman Old Style"/>
        </w:rPr>
        <w:tab/>
        <w:t>The Plaint therefore has been filed around five years and six months after the opening of the succession as per the provisions of 781 of the Code (supra), and hence well beyond the five year prescription as provided for by Article 2271 of the Code.</w:t>
      </w:r>
    </w:p>
    <w:p w:rsidR="00DE30C3" w:rsidRDefault="00097190" w:rsidP="00DE30C3">
      <w:pPr>
        <w:pStyle w:val="JudgmentText"/>
        <w:numPr>
          <w:ilvl w:val="0"/>
          <w:numId w:val="0"/>
        </w:numPr>
        <w:ind w:left="720" w:hanging="720"/>
        <w:rPr>
          <w:rFonts w:ascii="Bookman Old Style" w:hAnsi="Bookman Old Style"/>
        </w:rPr>
      </w:pPr>
      <w:r>
        <w:rPr>
          <w:rFonts w:ascii="Bookman Old Style" w:hAnsi="Bookman Old Style"/>
        </w:rPr>
        <w:t>[25]</w:t>
      </w:r>
      <w:r>
        <w:rPr>
          <w:rFonts w:ascii="Bookman Old Style" w:hAnsi="Bookman Old Style"/>
        </w:rPr>
        <w:tab/>
        <w:t xml:space="preserve">Learned Counsel for the Plaintiffs </w:t>
      </w:r>
      <w:r w:rsidR="00BE30B1">
        <w:rPr>
          <w:rFonts w:ascii="Bookman Old Style" w:hAnsi="Bookman Old Style"/>
        </w:rPr>
        <w:t>further argued in his written submissions, that they recently became aware of the Will and that they laboured under the impression that they would by operation</w:t>
      </w:r>
      <w:r w:rsidR="00DA42C9">
        <w:rPr>
          <w:rFonts w:ascii="Bookman Old Style" w:hAnsi="Bookman Old Style"/>
        </w:rPr>
        <w:t xml:space="preserve"> of the law </w:t>
      </w:r>
      <w:r w:rsidR="00BE30B1">
        <w:rPr>
          <w:rFonts w:ascii="Bookman Old Style" w:hAnsi="Bookman Old Style"/>
        </w:rPr>
        <w:t>as to right of intestacy and inheritance as laid down in the C</w:t>
      </w:r>
      <w:r w:rsidR="00DA42C9">
        <w:rPr>
          <w:rFonts w:ascii="Bookman Old Style" w:hAnsi="Bookman Old Style"/>
        </w:rPr>
        <w:t xml:space="preserve">ode </w:t>
      </w:r>
      <w:r w:rsidR="00BE30B1">
        <w:rPr>
          <w:rFonts w:ascii="Bookman Old Style" w:hAnsi="Bookman Old Style"/>
        </w:rPr>
        <w:t>be entitled to the land title. That the existence of the Will came to fore when the defendan</w:t>
      </w:r>
      <w:r w:rsidR="00DA42C9">
        <w:rPr>
          <w:rFonts w:ascii="Bookman Old Style" w:hAnsi="Bookman Old Style"/>
        </w:rPr>
        <w:t>t instituted Civil Side CS 227 of</w:t>
      </w:r>
      <w:r w:rsidR="00BE30B1">
        <w:rPr>
          <w:rFonts w:ascii="Bookman Old Style" w:hAnsi="Bookman Old Style"/>
        </w:rPr>
        <w:t xml:space="preserve"> 2011. In the same </w:t>
      </w:r>
      <w:r w:rsidR="00DA42C9">
        <w:rPr>
          <w:rFonts w:ascii="Bookman Old Style" w:hAnsi="Bookman Old Style"/>
        </w:rPr>
        <w:t>breath</w:t>
      </w:r>
      <w:r w:rsidR="00BE30B1">
        <w:rPr>
          <w:rFonts w:ascii="Bookman Old Style" w:hAnsi="Bookman Old Style"/>
        </w:rPr>
        <w:t>, it was also further as</w:t>
      </w:r>
      <w:r w:rsidR="00DA42C9">
        <w:rPr>
          <w:rFonts w:ascii="Bookman Old Style" w:hAnsi="Bookman Old Style"/>
        </w:rPr>
        <w:t xml:space="preserve"> a</w:t>
      </w:r>
      <w:r w:rsidR="00BE30B1">
        <w:rPr>
          <w:rFonts w:ascii="Bookman Old Style" w:hAnsi="Bookman Old Style"/>
        </w:rPr>
        <w:t>rgued that despit</w:t>
      </w:r>
      <w:r w:rsidR="00DA42C9">
        <w:rPr>
          <w:rFonts w:ascii="Bookman Old Style" w:hAnsi="Bookman Old Style"/>
        </w:rPr>
        <w:t>e arguing against the plea of re</w:t>
      </w:r>
      <w:r w:rsidR="00BE30B1">
        <w:rPr>
          <w:rFonts w:ascii="Bookman Old Style" w:hAnsi="Bookman Old Style"/>
        </w:rPr>
        <w:t>sjudicata (which the defendant) chose to leave for</w:t>
      </w:r>
      <w:r w:rsidR="00DA42C9">
        <w:rPr>
          <w:rFonts w:ascii="Bookman Old Style" w:hAnsi="Bookman Old Style"/>
        </w:rPr>
        <w:t xml:space="preserve"> dete</w:t>
      </w:r>
      <w:r w:rsidR="00BE30B1">
        <w:rPr>
          <w:rFonts w:ascii="Bookman Old Style" w:hAnsi="Bookman Old Style"/>
        </w:rPr>
        <w:t>rminat</w:t>
      </w:r>
      <w:r w:rsidR="00DA42C9">
        <w:rPr>
          <w:rFonts w:ascii="Bookman Old Style" w:hAnsi="Bookman Old Style"/>
        </w:rPr>
        <w:t>i</w:t>
      </w:r>
      <w:r w:rsidR="00BE30B1">
        <w:rPr>
          <w:rFonts w:ascii="Bookman Old Style" w:hAnsi="Bookman Old Style"/>
        </w:rPr>
        <w:t xml:space="preserve">on of the Court at the conclusion of the case), whereby the defendant sought to </w:t>
      </w:r>
      <w:r w:rsidR="00BE30B1">
        <w:rPr>
          <w:rFonts w:ascii="Bookman Old Style" w:hAnsi="Bookman Old Style"/>
        </w:rPr>
        <w:lastRenderedPageBreak/>
        <w:t>declare the Plaintiffs not the c</w:t>
      </w:r>
      <w:r w:rsidR="00DA42C9">
        <w:rPr>
          <w:rFonts w:ascii="Bookman Old Style" w:hAnsi="Bookman Old Style"/>
        </w:rPr>
        <w:t xml:space="preserve">hildren of Emmanuel </w:t>
      </w:r>
      <w:proofErr w:type="spellStart"/>
      <w:r w:rsidR="00DA42C9">
        <w:rPr>
          <w:rFonts w:ascii="Bookman Old Style" w:hAnsi="Bookman Old Style"/>
        </w:rPr>
        <w:t>Nourrice</w:t>
      </w:r>
      <w:proofErr w:type="spellEnd"/>
      <w:r w:rsidR="00DA42C9">
        <w:rPr>
          <w:rFonts w:ascii="Bookman Old Style" w:hAnsi="Bookman Old Style"/>
        </w:rPr>
        <w:t xml:space="preserve"> effectively </w:t>
      </w:r>
      <w:r w:rsidR="00BE30B1">
        <w:rPr>
          <w:rFonts w:ascii="Bookman Old Style" w:hAnsi="Bookman Old Style"/>
        </w:rPr>
        <w:t>provided a break in prescription if indeed there is prescription.</w:t>
      </w:r>
    </w:p>
    <w:p w:rsidR="00BE30B1" w:rsidRDefault="00BE30B1" w:rsidP="00DE30C3">
      <w:pPr>
        <w:pStyle w:val="JudgmentText"/>
        <w:numPr>
          <w:ilvl w:val="0"/>
          <w:numId w:val="0"/>
        </w:numPr>
        <w:ind w:left="720" w:hanging="720"/>
        <w:rPr>
          <w:rFonts w:ascii="Bookman Old Style" w:hAnsi="Bookman Old Style"/>
        </w:rPr>
      </w:pPr>
      <w:r>
        <w:rPr>
          <w:rFonts w:ascii="Bookman Old Style" w:hAnsi="Bookman Old Style"/>
        </w:rPr>
        <w:t>[26]</w:t>
      </w:r>
      <w:r>
        <w:rPr>
          <w:rFonts w:ascii="Bookman Old Style" w:hAnsi="Bookman Old Style"/>
        </w:rPr>
        <w:tab/>
        <w:t>Now, in the latter respect, it is clea</w:t>
      </w:r>
      <w:r w:rsidR="00540974">
        <w:rPr>
          <w:rFonts w:ascii="Bookman Old Style" w:hAnsi="Bookman Old Style"/>
        </w:rPr>
        <w:t>r that the Code makes provision</w:t>
      </w:r>
      <w:r>
        <w:rPr>
          <w:rFonts w:ascii="Bookman Old Style" w:hAnsi="Bookman Old Style"/>
        </w:rPr>
        <w:t xml:space="preserve"> for exceptions to</w:t>
      </w:r>
      <w:r w:rsidR="00540974">
        <w:rPr>
          <w:rFonts w:ascii="Bookman Old Style" w:hAnsi="Bookman Old Style"/>
        </w:rPr>
        <w:t xml:space="preserve"> the </w:t>
      </w:r>
      <w:r>
        <w:rPr>
          <w:rFonts w:ascii="Bookman Old Style" w:hAnsi="Bookman Old Style"/>
        </w:rPr>
        <w:t>application of prescription as cited above and as borne out by the provisions of Articles 2251 to 2259 and the Plaintiffs do not in any way fall within those designated categories.</w:t>
      </w:r>
    </w:p>
    <w:p w:rsidR="00BE30B1" w:rsidRDefault="00BE30B1" w:rsidP="00DE30C3">
      <w:pPr>
        <w:pStyle w:val="JudgmentText"/>
        <w:numPr>
          <w:ilvl w:val="0"/>
          <w:numId w:val="0"/>
        </w:numPr>
        <w:ind w:left="720" w:hanging="720"/>
        <w:rPr>
          <w:rFonts w:ascii="Bookman Old Style" w:hAnsi="Bookman Old Style"/>
        </w:rPr>
      </w:pPr>
      <w:r>
        <w:rPr>
          <w:rFonts w:ascii="Bookman Old Style" w:hAnsi="Bookman Old Style"/>
        </w:rPr>
        <w:t>[27]</w:t>
      </w:r>
      <w:r w:rsidR="00DA42C9">
        <w:rPr>
          <w:rFonts w:ascii="Bookman Old Style" w:hAnsi="Bookman Old Style"/>
        </w:rPr>
        <w:tab/>
        <w:t>Further, since Learned Counsel</w:t>
      </w:r>
      <w:r>
        <w:rPr>
          <w:rFonts w:ascii="Bookman Old Style" w:hAnsi="Bookman Old Style"/>
        </w:rPr>
        <w:t xml:space="preserve"> for the Plaintiff raised the issue of interruption and albeit the reservation of the defendant on the consideration of the point of law raised vis-a vis the matter in Civil Side No. 227/20</w:t>
      </w:r>
      <w:r w:rsidR="00DA42C9">
        <w:rPr>
          <w:rFonts w:ascii="Bookman Old Style" w:hAnsi="Bookman Old Style"/>
        </w:rPr>
        <w:t xml:space="preserve">11, I deem it crucial at this stage </w:t>
      </w:r>
      <w:r>
        <w:rPr>
          <w:rFonts w:ascii="Bookman Old Style" w:hAnsi="Bookman Old Style"/>
        </w:rPr>
        <w:t>to clarify the legal position regarding this very issue on the grounds upon which prescription is interrupted or suspended and whether it is in any event or if at all applicable in the case of the Plaintiffs.</w:t>
      </w:r>
    </w:p>
    <w:p w:rsidR="00BE30B1" w:rsidRPr="00DA42C9" w:rsidRDefault="00BE30B1" w:rsidP="00DE30C3">
      <w:pPr>
        <w:pStyle w:val="JudgmentText"/>
        <w:numPr>
          <w:ilvl w:val="0"/>
          <w:numId w:val="0"/>
        </w:numPr>
        <w:ind w:left="720" w:hanging="720"/>
        <w:rPr>
          <w:rFonts w:ascii="Bookman Old Style" w:hAnsi="Bookman Old Style"/>
          <w:b/>
        </w:rPr>
      </w:pPr>
      <w:r>
        <w:rPr>
          <w:rFonts w:ascii="Bookman Old Style" w:hAnsi="Bookman Old Style"/>
        </w:rPr>
        <w:t>[28]</w:t>
      </w:r>
      <w:r>
        <w:rPr>
          <w:rFonts w:ascii="Bookman Old Style" w:hAnsi="Bookman Old Style"/>
        </w:rPr>
        <w:tab/>
        <w:t xml:space="preserve">Now, the relevant Article of the Code namely, </w:t>
      </w:r>
      <w:r w:rsidRPr="00DA42C9">
        <w:rPr>
          <w:rFonts w:ascii="Bookman Old Style" w:hAnsi="Bookman Old Style"/>
          <w:b/>
        </w:rPr>
        <w:t>Article 2242 reads thus:-</w:t>
      </w:r>
    </w:p>
    <w:p w:rsidR="00BE30B1" w:rsidRPr="00DA42C9" w:rsidRDefault="00BE30B1" w:rsidP="00DE30C3">
      <w:pPr>
        <w:pStyle w:val="JudgmentText"/>
        <w:numPr>
          <w:ilvl w:val="0"/>
          <w:numId w:val="0"/>
        </w:numPr>
        <w:ind w:left="720" w:hanging="720"/>
        <w:rPr>
          <w:rFonts w:ascii="Bookman Old Style" w:hAnsi="Bookman Old Style"/>
          <w:b/>
        </w:rPr>
      </w:pPr>
      <w:r w:rsidRPr="00DA42C9">
        <w:rPr>
          <w:rFonts w:ascii="Bookman Old Style" w:hAnsi="Bookman Old Style"/>
          <w:b/>
        </w:rPr>
        <w:tab/>
        <w:t>“Pres</w:t>
      </w:r>
      <w:r w:rsidR="00DA42C9" w:rsidRPr="00DA42C9">
        <w:rPr>
          <w:rFonts w:ascii="Bookman Old Style" w:hAnsi="Bookman Old Style"/>
          <w:b/>
        </w:rPr>
        <w:t>c</w:t>
      </w:r>
      <w:r w:rsidRPr="00DA42C9">
        <w:rPr>
          <w:rFonts w:ascii="Bookman Old Style" w:hAnsi="Bookman Old Style"/>
          <w:b/>
        </w:rPr>
        <w:t>ription may be interrupted</w:t>
      </w:r>
      <w:r w:rsidR="00A1079A" w:rsidRPr="00DA42C9">
        <w:rPr>
          <w:rFonts w:ascii="Bookman Old Style" w:hAnsi="Bookman Old Style"/>
          <w:b/>
        </w:rPr>
        <w:t xml:space="preserve"> either naturally or by a legal act.”</w:t>
      </w:r>
    </w:p>
    <w:p w:rsidR="00A1079A" w:rsidRPr="00DA42C9" w:rsidRDefault="00DA42C9" w:rsidP="00DE30C3">
      <w:pPr>
        <w:pStyle w:val="JudgmentText"/>
        <w:numPr>
          <w:ilvl w:val="0"/>
          <w:numId w:val="0"/>
        </w:numPr>
        <w:ind w:left="720" w:hanging="720"/>
        <w:rPr>
          <w:rFonts w:ascii="Bookman Old Style" w:hAnsi="Bookman Old Style"/>
          <w:b/>
        </w:rPr>
      </w:pPr>
      <w:r>
        <w:rPr>
          <w:rFonts w:ascii="Bookman Old Style" w:hAnsi="Bookman Old Style"/>
        </w:rPr>
        <w:t>[29]</w:t>
      </w:r>
      <w:r>
        <w:rPr>
          <w:rFonts w:ascii="Bookman Old Style" w:hAnsi="Bookman Old Style"/>
        </w:rPr>
        <w:tab/>
      </w:r>
      <w:r w:rsidRPr="00DA42C9">
        <w:rPr>
          <w:rFonts w:ascii="Bookman Old Style" w:hAnsi="Bookman Old Style"/>
          <w:b/>
        </w:rPr>
        <w:t>Article 2244 furthe</w:t>
      </w:r>
      <w:r w:rsidR="00A1079A" w:rsidRPr="00DA42C9">
        <w:rPr>
          <w:rFonts w:ascii="Bookman Old Style" w:hAnsi="Bookman Old Style"/>
          <w:b/>
        </w:rPr>
        <w:t>r provides that:-</w:t>
      </w:r>
    </w:p>
    <w:p w:rsidR="00A1079A" w:rsidRPr="00DA42C9" w:rsidRDefault="00A1079A" w:rsidP="00DE30C3">
      <w:pPr>
        <w:pStyle w:val="JudgmentText"/>
        <w:numPr>
          <w:ilvl w:val="0"/>
          <w:numId w:val="0"/>
        </w:numPr>
        <w:ind w:left="720" w:hanging="720"/>
        <w:rPr>
          <w:rFonts w:ascii="Bookman Old Style" w:hAnsi="Bookman Old Style"/>
          <w:b/>
        </w:rPr>
      </w:pPr>
      <w:r w:rsidRPr="00DA42C9">
        <w:rPr>
          <w:rFonts w:ascii="Bookman Old Style" w:hAnsi="Bookman Old Style"/>
          <w:b/>
        </w:rPr>
        <w:tab/>
        <w:t>“A writ of summons or a seizure served upon a person in the process of acquiring by prescription shall have the e</w:t>
      </w:r>
      <w:r w:rsidR="00DA42C9">
        <w:rPr>
          <w:rFonts w:ascii="Bookman Old Style" w:hAnsi="Bookman Old Style"/>
          <w:b/>
        </w:rPr>
        <w:t>ffect o</w:t>
      </w:r>
      <w:r w:rsidRPr="00DA42C9">
        <w:rPr>
          <w:rFonts w:ascii="Bookman Old Style" w:hAnsi="Bookman Old Style"/>
          <w:b/>
        </w:rPr>
        <w:t>f a legal interrupt</w:t>
      </w:r>
      <w:r w:rsidR="00DA42C9">
        <w:rPr>
          <w:rFonts w:ascii="Bookman Old Style" w:hAnsi="Bookman Old Style"/>
          <w:b/>
        </w:rPr>
        <w:t>i</w:t>
      </w:r>
      <w:r w:rsidRPr="00DA42C9">
        <w:rPr>
          <w:rFonts w:ascii="Bookman Old Style" w:hAnsi="Bookman Old Style"/>
          <w:b/>
        </w:rPr>
        <w:t>on of such prescription.”</w:t>
      </w:r>
    </w:p>
    <w:p w:rsidR="00A1079A" w:rsidRPr="00DA42C9" w:rsidRDefault="00A1079A" w:rsidP="00DE30C3">
      <w:pPr>
        <w:pStyle w:val="JudgmentText"/>
        <w:numPr>
          <w:ilvl w:val="0"/>
          <w:numId w:val="0"/>
        </w:numPr>
        <w:ind w:left="720" w:hanging="720"/>
        <w:rPr>
          <w:rFonts w:ascii="Bookman Old Style" w:hAnsi="Bookman Old Style"/>
          <w:b/>
        </w:rPr>
      </w:pPr>
      <w:r>
        <w:rPr>
          <w:rFonts w:ascii="Bookman Old Style" w:hAnsi="Bookman Old Style"/>
        </w:rPr>
        <w:t>[30]</w:t>
      </w:r>
      <w:r>
        <w:rPr>
          <w:rFonts w:ascii="Bookman Old Style" w:hAnsi="Bookman Old Style"/>
        </w:rPr>
        <w:tab/>
      </w:r>
      <w:r w:rsidRPr="00DA42C9">
        <w:rPr>
          <w:rFonts w:ascii="Bookman Old Style" w:hAnsi="Bookman Old Style"/>
          <w:b/>
        </w:rPr>
        <w:t>Article 2247 of the Code further provides that:-</w:t>
      </w:r>
    </w:p>
    <w:p w:rsidR="00A1079A" w:rsidRPr="00DA42C9" w:rsidRDefault="00A1079A" w:rsidP="00DA42C9">
      <w:pPr>
        <w:pStyle w:val="JudgmentText"/>
        <w:numPr>
          <w:ilvl w:val="0"/>
          <w:numId w:val="0"/>
        </w:numPr>
        <w:ind w:left="720" w:hanging="720"/>
        <w:rPr>
          <w:rFonts w:ascii="Bookman Old Style" w:hAnsi="Bookman Old Style"/>
          <w:b/>
        </w:rPr>
      </w:pPr>
      <w:r w:rsidRPr="00DA42C9">
        <w:rPr>
          <w:rFonts w:ascii="Bookman Old Style" w:hAnsi="Bookman Old Style"/>
          <w:b/>
        </w:rPr>
        <w:tab/>
        <w:t>“If the proceedings are dis</w:t>
      </w:r>
      <w:r w:rsidR="00DA42C9">
        <w:rPr>
          <w:rFonts w:ascii="Bookman Old Style" w:hAnsi="Bookman Old Style"/>
          <w:b/>
        </w:rPr>
        <w:t>missed owing to a formal defect. ……..</w:t>
      </w:r>
    </w:p>
    <w:p w:rsidR="00A1079A" w:rsidRPr="00DA42C9" w:rsidRDefault="00A1079A" w:rsidP="00DE30C3">
      <w:pPr>
        <w:pStyle w:val="JudgmentText"/>
        <w:numPr>
          <w:ilvl w:val="0"/>
          <w:numId w:val="0"/>
        </w:numPr>
        <w:ind w:left="720" w:hanging="720"/>
        <w:rPr>
          <w:rFonts w:ascii="Bookman Old Style" w:hAnsi="Bookman Old Style"/>
          <w:b/>
        </w:rPr>
      </w:pPr>
      <w:r w:rsidRPr="00DA42C9">
        <w:rPr>
          <w:rFonts w:ascii="Bookman Old Style" w:hAnsi="Bookman Old Style"/>
          <w:b/>
        </w:rPr>
        <w:tab/>
        <w:t xml:space="preserve">The Interruption shall be deemed not to have occurred.” </w:t>
      </w:r>
    </w:p>
    <w:p w:rsidR="00A1079A" w:rsidRDefault="00A1079A" w:rsidP="00DE30C3">
      <w:pPr>
        <w:pStyle w:val="JudgmentText"/>
        <w:numPr>
          <w:ilvl w:val="0"/>
          <w:numId w:val="0"/>
        </w:numPr>
        <w:ind w:left="720" w:hanging="720"/>
        <w:rPr>
          <w:rFonts w:ascii="Bookman Old Style" w:hAnsi="Bookman Old Style"/>
        </w:rPr>
      </w:pPr>
      <w:r>
        <w:rPr>
          <w:rFonts w:ascii="Bookman Old Style" w:hAnsi="Bookman Old Style"/>
        </w:rPr>
        <w:t>[31]</w:t>
      </w:r>
      <w:r>
        <w:rPr>
          <w:rFonts w:ascii="Bookman Old Style" w:hAnsi="Bookman Old Style"/>
        </w:rPr>
        <w:tab/>
        <w:t>Now, after a careful perusal of the proceedings in Civil No. 227/2011, it has become evident that the matter</w:t>
      </w:r>
      <w:r w:rsidR="00DA42C9">
        <w:rPr>
          <w:rFonts w:ascii="Bookman Old Style" w:hAnsi="Bookman Old Style"/>
        </w:rPr>
        <w:t xml:space="preserve"> as filed by the Defendant as aga</w:t>
      </w:r>
      <w:r>
        <w:rPr>
          <w:rFonts w:ascii="Bookman Old Style" w:hAnsi="Bookman Old Style"/>
        </w:rPr>
        <w:t>inst the Plaintiffs in the year</w:t>
      </w:r>
      <w:r w:rsidR="00DA42C9">
        <w:rPr>
          <w:rFonts w:ascii="Bookman Old Style" w:hAnsi="Bookman Old Style"/>
        </w:rPr>
        <w:t xml:space="preserve"> 2011 was called before the Lear</w:t>
      </w:r>
      <w:r>
        <w:rPr>
          <w:rFonts w:ascii="Bookman Old Style" w:hAnsi="Bookman Old Style"/>
        </w:rPr>
        <w:t xml:space="preserve">ned Judge D. </w:t>
      </w:r>
      <w:r>
        <w:rPr>
          <w:rFonts w:ascii="Bookman Old Style" w:hAnsi="Bookman Old Style"/>
        </w:rPr>
        <w:lastRenderedPageBreak/>
        <w:t>Kar</w:t>
      </w:r>
      <w:r w:rsidR="00DA42C9">
        <w:rPr>
          <w:rFonts w:ascii="Bookman Old Style" w:hAnsi="Bookman Old Style"/>
        </w:rPr>
        <w:t>u</w:t>
      </w:r>
      <w:r>
        <w:rPr>
          <w:rFonts w:ascii="Bookman Old Style" w:hAnsi="Bookman Old Style"/>
        </w:rPr>
        <w:t>nakaran on the 23</w:t>
      </w:r>
      <w:r w:rsidRPr="00A1079A">
        <w:rPr>
          <w:rFonts w:ascii="Bookman Old Style" w:hAnsi="Bookman Old Style"/>
          <w:vertAlign w:val="superscript"/>
        </w:rPr>
        <w:t>rd</w:t>
      </w:r>
      <w:r>
        <w:rPr>
          <w:rFonts w:ascii="Bookman Old Style" w:hAnsi="Bookman Old Style"/>
        </w:rPr>
        <w:t xml:space="preserve"> day of February 2012 a</w:t>
      </w:r>
      <w:r w:rsidR="0029379D">
        <w:rPr>
          <w:rFonts w:ascii="Bookman Old Style" w:hAnsi="Bookman Old Style"/>
        </w:rPr>
        <w:t>nd adjourned sine die. In</w:t>
      </w:r>
      <w:r w:rsidR="001B09D5">
        <w:rPr>
          <w:rFonts w:ascii="Bookman Old Style" w:hAnsi="Bookman Old Style"/>
        </w:rPr>
        <w:t xml:space="preserve"> </w:t>
      </w:r>
      <w:r w:rsidR="0029379D">
        <w:rPr>
          <w:rFonts w:ascii="Bookman Old Style" w:hAnsi="Bookman Old Style"/>
        </w:rPr>
        <w:t xml:space="preserve">fact, </w:t>
      </w:r>
      <w:r w:rsidR="00DA42C9">
        <w:rPr>
          <w:rFonts w:ascii="Bookman Old Style" w:hAnsi="Bookman Old Style"/>
        </w:rPr>
        <w:t xml:space="preserve"> Learned Couns</w:t>
      </w:r>
      <w:r>
        <w:rPr>
          <w:rFonts w:ascii="Bookman Old Style" w:hAnsi="Bookman Old Style"/>
        </w:rPr>
        <w:t>el for the Defendant undertook to file a p</w:t>
      </w:r>
      <w:bookmarkStart w:id="9" w:name="_GoBack"/>
      <w:bookmarkEnd w:id="9"/>
      <w:r>
        <w:rPr>
          <w:rFonts w:ascii="Bookman Old Style" w:hAnsi="Bookman Old Style"/>
        </w:rPr>
        <w:t>laint repl</w:t>
      </w:r>
      <w:r w:rsidR="00DA42C9">
        <w:rPr>
          <w:rFonts w:ascii="Bookman Old Style" w:hAnsi="Bookman Old Style"/>
        </w:rPr>
        <w:t xml:space="preserve">acing the original Application </w:t>
      </w:r>
      <w:r>
        <w:rPr>
          <w:rFonts w:ascii="Bookman Old Style" w:hAnsi="Bookman Old Style"/>
        </w:rPr>
        <w:t>made in the matter. Despi</w:t>
      </w:r>
      <w:r w:rsidR="00DA42C9">
        <w:rPr>
          <w:rFonts w:ascii="Bookman Old Style" w:hAnsi="Bookman Old Style"/>
        </w:rPr>
        <w:t xml:space="preserve">te an elapse of more than two years, the Defendant </w:t>
      </w:r>
      <w:r>
        <w:rPr>
          <w:rFonts w:ascii="Bookman Old Style" w:hAnsi="Bookman Old Style"/>
        </w:rPr>
        <w:t>had not rectified the procedural irregularity in that matter. Hence the</w:t>
      </w:r>
      <w:r w:rsidR="00DA42C9">
        <w:rPr>
          <w:rFonts w:ascii="Bookman Old Style" w:hAnsi="Bookman Old Style"/>
        </w:rPr>
        <w:t xml:space="preserve"> Learned </w:t>
      </w:r>
      <w:r>
        <w:rPr>
          <w:rFonts w:ascii="Bookman Old Style" w:hAnsi="Bookman Old Style"/>
        </w:rPr>
        <w:t>Judge found that:</w:t>
      </w:r>
    </w:p>
    <w:p w:rsidR="00A1079A" w:rsidRPr="00DA42C9" w:rsidRDefault="00A1079A" w:rsidP="00DE30C3">
      <w:pPr>
        <w:pStyle w:val="JudgmentText"/>
        <w:numPr>
          <w:ilvl w:val="0"/>
          <w:numId w:val="0"/>
        </w:numPr>
        <w:ind w:left="720" w:hanging="720"/>
        <w:rPr>
          <w:rFonts w:ascii="Bookman Old Style" w:hAnsi="Bookman Old Style"/>
          <w:b/>
        </w:rPr>
      </w:pPr>
      <w:r>
        <w:rPr>
          <w:rFonts w:ascii="Bookman Old Style" w:hAnsi="Bookman Old Style"/>
        </w:rPr>
        <w:tab/>
      </w:r>
      <w:r w:rsidRPr="00DA42C9">
        <w:rPr>
          <w:rFonts w:ascii="Bookman Old Style" w:hAnsi="Bookman Old Style"/>
          <w:b/>
        </w:rPr>
        <w:t>“In the circumstances, I f</w:t>
      </w:r>
      <w:r w:rsidR="00DA42C9">
        <w:rPr>
          <w:rFonts w:ascii="Bookman Old Style" w:hAnsi="Bookman Old Style"/>
          <w:b/>
        </w:rPr>
        <w:t>ind the application is not main</w:t>
      </w:r>
      <w:r w:rsidRPr="00DA42C9">
        <w:rPr>
          <w:rFonts w:ascii="Bookman Old Style" w:hAnsi="Bookman Old Style"/>
          <w:b/>
        </w:rPr>
        <w:t>tainable in law and so dismiss the same. I m</w:t>
      </w:r>
      <w:r w:rsidR="00DA42C9">
        <w:rPr>
          <w:rFonts w:ascii="Bookman Old Style" w:hAnsi="Bookman Old Style"/>
          <w:b/>
        </w:rPr>
        <w:t xml:space="preserve">ake no order as to costs. The Registry </w:t>
      </w:r>
      <w:r w:rsidRPr="00DA42C9">
        <w:rPr>
          <w:rFonts w:ascii="Bookman Old Style" w:hAnsi="Bookman Old Style"/>
          <w:b/>
        </w:rPr>
        <w:t xml:space="preserve">is </w:t>
      </w:r>
      <w:r w:rsidR="00DA42C9">
        <w:rPr>
          <w:rFonts w:ascii="Bookman Old Style" w:hAnsi="Bookman Old Style"/>
          <w:b/>
        </w:rPr>
        <w:t>directed to remove this case fro</w:t>
      </w:r>
      <w:r w:rsidRPr="00DA42C9">
        <w:rPr>
          <w:rFonts w:ascii="Bookman Old Style" w:hAnsi="Bookman Old Style"/>
          <w:b/>
        </w:rPr>
        <w:t>m pending list cases in the sy</w:t>
      </w:r>
      <w:r w:rsidR="00DA42C9">
        <w:rPr>
          <w:rFonts w:ascii="Bookman Old Style" w:hAnsi="Bookman Old Style"/>
          <w:b/>
        </w:rPr>
        <w:t>s</w:t>
      </w:r>
      <w:r w:rsidRPr="00DA42C9">
        <w:rPr>
          <w:rFonts w:ascii="Bookman Old Style" w:hAnsi="Bookman Old Style"/>
          <w:b/>
        </w:rPr>
        <w:t>tem.”</w:t>
      </w:r>
    </w:p>
    <w:p w:rsidR="00A1079A" w:rsidRDefault="00A1079A" w:rsidP="00DE30C3">
      <w:pPr>
        <w:pStyle w:val="JudgmentText"/>
        <w:numPr>
          <w:ilvl w:val="0"/>
          <w:numId w:val="0"/>
        </w:numPr>
        <w:ind w:left="720" w:hanging="720"/>
        <w:rPr>
          <w:rFonts w:ascii="Bookman Old Style" w:hAnsi="Bookman Old Style"/>
        </w:rPr>
      </w:pPr>
      <w:r>
        <w:rPr>
          <w:rFonts w:ascii="Bookman Old Style" w:hAnsi="Bookman Old Style"/>
        </w:rPr>
        <w:tab/>
        <w:t>That Order was made on the 13</w:t>
      </w:r>
      <w:r w:rsidRPr="00A1079A">
        <w:rPr>
          <w:rFonts w:ascii="Bookman Old Style" w:hAnsi="Bookman Old Style"/>
          <w:vertAlign w:val="superscript"/>
        </w:rPr>
        <w:t>th</w:t>
      </w:r>
      <w:r>
        <w:rPr>
          <w:rFonts w:ascii="Bookman Old Style" w:hAnsi="Bookman Old Style"/>
        </w:rPr>
        <w:t xml:space="preserve"> day of August 2014.</w:t>
      </w:r>
    </w:p>
    <w:p w:rsidR="00A1079A" w:rsidRDefault="00A1079A" w:rsidP="00DE30C3">
      <w:pPr>
        <w:pStyle w:val="JudgmentText"/>
        <w:numPr>
          <w:ilvl w:val="0"/>
          <w:numId w:val="0"/>
        </w:numPr>
        <w:ind w:left="720" w:hanging="720"/>
        <w:rPr>
          <w:rFonts w:ascii="Bookman Old Style" w:hAnsi="Bookman Old Style"/>
        </w:rPr>
      </w:pPr>
      <w:r>
        <w:rPr>
          <w:rFonts w:ascii="Bookman Old Style" w:hAnsi="Bookman Old Style"/>
        </w:rPr>
        <w:t>[32]</w:t>
      </w:r>
      <w:r>
        <w:rPr>
          <w:rFonts w:ascii="Bookman Old Style" w:hAnsi="Bookman Old Style"/>
        </w:rPr>
        <w:tab/>
        <w:t>Now, in</w:t>
      </w:r>
      <w:r w:rsidR="00CE45F2">
        <w:rPr>
          <w:rFonts w:ascii="Bookman Old Style" w:hAnsi="Bookman Old Style"/>
        </w:rPr>
        <w:t xml:space="preserve"> the light of the Order of the Lear</w:t>
      </w:r>
      <w:r>
        <w:rPr>
          <w:rFonts w:ascii="Bookman Old Style" w:hAnsi="Bookman Old Style"/>
        </w:rPr>
        <w:t>ned Judge of the ab</w:t>
      </w:r>
      <w:r w:rsidR="00CE45F2">
        <w:rPr>
          <w:rFonts w:ascii="Bookman Old Style" w:hAnsi="Bookman Old Style"/>
        </w:rPr>
        <w:t>o</w:t>
      </w:r>
      <w:r>
        <w:rPr>
          <w:rFonts w:ascii="Bookman Old Style" w:hAnsi="Bookman Old Style"/>
        </w:rPr>
        <w:t>ve-mentioned date a</w:t>
      </w:r>
      <w:r w:rsidR="00DA42C9">
        <w:rPr>
          <w:rFonts w:ascii="Bookman Old Style" w:hAnsi="Bookman Old Style"/>
        </w:rPr>
        <w:t>s</w:t>
      </w:r>
      <w:r>
        <w:rPr>
          <w:rFonts w:ascii="Bookman Old Style" w:hAnsi="Bookman Old Style"/>
        </w:rPr>
        <w:t xml:space="preserve"> read in the light of the provisions of Articles 2244 and</w:t>
      </w:r>
      <w:r w:rsidR="00CE45F2">
        <w:rPr>
          <w:rFonts w:ascii="Bookman Old Style" w:hAnsi="Bookman Old Style"/>
        </w:rPr>
        <w:t xml:space="preserve"> 2247 of the Code, it is clear t</w:t>
      </w:r>
      <w:r w:rsidR="00DA42C9">
        <w:rPr>
          <w:rFonts w:ascii="Bookman Old Style" w:hAnsi="Bookman Old Style"/>
        </w:rPr>
        <w:t xml:space="preserve">hat the arguments of Learned Counsel </w:t>
      </w:r>
      <w:r w:rsidR="00CE45F2">
        <w:rPr>
          <w:rFonts w:ascii="Bookman Old Style" w:hAnsi="Bookman Old Style"/>
        </w:rPr>
        <w:t>does not hol</w:t>
      </w:r>
      <w:r w:rsidR="00DA42C9">
        <w:rPr>
          <w:rFonts w:ascii="Bookman Old Style" w:hAnsi="Bookman Old Style"/>
        </w:rPr>
        <w:t>d good in the specific circumsta</w:t>
      </w:r>
      <w:r w:rsidR="00CE45F2">
        <w:rPr>
          <w:rFonts w:ascii="Bookman Old Style" w:hAnsi="Bookman Old Style"/>
        </w:rPr>
        <w:t>nces of this case.</w:t>
      </w:r>
    </w:p>
    <w:p w:rsidR="00CE45F2" w:rsidRDefault="00CE45F2" w:rsidP="00DE30C3">
      <w:pPr>
        <w:pStyle w:val="JudgmentText"/>
        <w:numPr>
          <w:ilvl w:val="0"/>
          <w:numId w:val="0"/>
        </w:numPr>
        <w:ind w:left="720" w:hanging="720"/>
        <w:rPr>
          <w:rFonts w:ascii="Bookman Old Style" w:hAnsi="Bookman Old Style"/>
        </w:rPr>
      </w:pPr>
      <w:r>
        <w:rPr>
          <w:rFonts w:ascii="Bookman Old Style" w:hAnsi="Bookman Old Style"/>
        </w:rPr>
        <w:t>[33]</w:t>
      </w:r>
      <w:r>
        <w:rPr>
          <w:rFonts w:ascii="Bookman Old Style" w:hAnsi="Bookman Old Style"/>
        </w:rPr>
        <w:tab/>
        <w:t>It follows, therefore, based on the analysis as per paragraphs 11 to 32 of this Ruling (supra), that the Plaint as filed by the Plaintiffs as ag</w:t>
      </w:r>
      <w:r w:rsidR="00DA42C9">
        <w:rPr>
          <w:rFonts w:ascii="Bookman Old Style" w:hAnsi="Bookman Old Style"/>
        </w:rPr>
        <w:t>a</w:t>
      </w:r>
      <w:r>
        <w:rPr>
          <w:rFonts w:ascii="Bookman Old Style" w:hAnsi="Bookman Old Style"/>
        </w:rPr>
        <w:t xml:space="preserve">inst the Defendant in this matter is time barred and dismissed accordingly. </w:t>
      </w:r>
    </w:p>
    <w:p w:rsidR="00CE45F2" w:rsidRDefault="00CE45F2" w:rsidP="00DE30C3">
      <w:pPr>
        <w:pStyle w:val="JudgmentText"/>
        <w:numPr>
          <w:ilvl w:val="0"/>
          <w:numId w:val="0"/>
        </w:numPr>
        <w:ind w:left="720" w:hanging="720"/>
        <w:rPr>
          <w:rFonts w:ascii="Bookman Old Style" w:hAnsi="Bookman Old Style"/>
        </w:rPr>
      </w:pPr>
    </w:p>
    <w:p w:rsidR="001E4ED8" w:rsidRPr="00720EA9" w:rsidRDefault="00294F2E" w:rsidP="001E4ED8">
      <w:pPr>
        <w:pStyle w:val="ListParagraph"/>
        <w:widowControl/>
        <w:autoSpaceDE/>
        <w:autoSpaceDN/>
        <w:adjustRightInd/>
        <w:spacing w:after="240" w:line="360" w:lineRule="auto"/>
        <w:ind w:left="0"/>
        <w:contextualSpacing w:val="0"/>
        <w:jc w:val="both"/>
        <w:rPr>
          <w:rFonts w:ascii="Bookman Old Style" w:hAnsi="Bookman Old Style"/>
          <w:sz w:val="24"/>
          <w:szCs w:val="24"/>
        </w:rPr>
      </w:pPr>
      <w:r>
        <w:rPr>
          <w:rFonts w:ascii="Bookman Old Style" w:hAnsi="Bookman Old Style"/>
          <w:sz w:val="24"/>
          <w:szCs w:val="24"/>
        </w:rPr>
        <w:t>S</w:t>
      </w:r>
      <w:r w:rsidR="001E4ED8" w:rsidRPr="00720EA9">
        <w:rPr>
          <w:rFonts w:ascii="Bookman Old Style" w:hAnsi="Bookman Old Style"/>
          <w:sz w:val="24"/>
          <w:szCs w:val="24"/>
        </w:rPr>
        <w:t xml:space="preserve">igned, </w:t>
      </w:r>
      <w:r w:rsidR="00E33F35" w:rsidRPr="00720EA9">
        <w:rPr>
          <w:rFonts w:ascii="Bookman Old Style" w:hAnsi="Bookman Old Style"/>
          <w:sz w:val="24"/>
          <w:szCs w:val="24"/>
        </w:rPr>
        <w:t xml:space="preserve">dated and delivered at Ile du Port </w:t>
      </w:r>
      <w:r w:rsidR="001E4ED8" w:rsidRPr="00720EA9">
        <w:rPr>
          <w:rFonts w:ascii="Bookman Old Style" w:hAnsi="Bookman Old Style"/>
          <w:sz w:val="24"/>
          <w:szCs w:val="24"/>
        </w:rPr>
        <w:t xml:space="preserve">on </w:t>
      </w:r>
      <w:bookmarkStart w:id="10" w:name="Text19"/>
      <w:r w:rsidR="00CE45F2">
        <w:rPr>
          <w:rFonts w:ascii="Bookman Old Style" w:hAnsi="Bookman Old Style"/>
          <w:sz w:val="24"/>
          <w:szCs w:val="24"/>
        </w:rPr>
        <w:t>29</w:t>
      </w:r>
      <w:r w:rsidR="0043118B" w:rsidRPr="0043118B">
        <w:rPr>
          <w:rFonts w:ascii="Bookman Old Style" w:hAnsi="Bookman Old Style"/>
          <w:sz w:val="24"/>
          <w:szCs w:val="24"/>
          <w:vertAlign w:val="superscript"/>
        </w:rPr>
        <w:t>th</w:t>
      </w:r>
      <w:bookmarkEnd w:id="10"/>
      <w:r w:rsidR="00546E79">
        <w:rPr>
          <w:rFonts w:ascii="Bookman Old Style" w:hAnsi="Bookman Old Style"/>
          <w:sz w:val="24"/>
          <w:szCs w:val="24"/>
        </w:rPr>
        <w:t xml:space="preserve">day of </w:t>
      </w:r>
      <w:r w:rsidR="0043118B">
        <w:rPr>
          <w:rFonts w:ascii="Bookman Old Style" w:hAnsi="Bookman Old Style"/>
          <w:sz w:val="24"/>
          <w:szCs w:val="24"/>
        </w:rPr>
        <w:t>March 2016.</w:t>
      </w:r>
    </w:p>
    <w:p w:rsidR="005C5493" w:rsidRPr="00720EA9" w:rsidRDefault="005C5493" w:rsidP="0006489F">
      <w:pPr>
        <w:pStyle w:val="ListParagraph"/>
        <w:widowControl/>
        <w:autoSpaceDE/>
        <w:autoSpaceDN/>
        <w:adjustRightInd/>
        <w:spacing w:line="360" w:lineRule="auto"/>
        <w:ind w:left="0"/>
        <w:contextualSpacing w:val="0"/>
        <w:jc w:val="both"/>
        <w:rPr>
          <w:rFonts w:ascii="Bookman Old Style" w:hAnsi="Bookman Old Style"/>
          <w:sz w:val="24"/>
          <w:szCs w:val="24"/>
        </w:rPr>
        <w:sectPr w:rsidR="005C5493" w:rsidRPr="00720EA9" w:rsidSect="00EF2051">
          <w:type w:val="continuous"/>
          <w:pgSz w:w="12240" w:h="15840"/>
          <w:pgMar w:top="1440" w:right="1440" w:bottom="1440" w:left="1440" w:header="720" w:footer="720" w:gutter="0"/>
          <w:cols w:space="720"/>
          <w:docGrid w:linePitch="360"/>
        </w:sectPr>
      </w:pPr>
    </w:p>
    <w:p w:rsidR="006C2C3A" w:rsidRDefault="006C2C3A"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6C2C3A" w:rsidRDefault="006C2C3A"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CE45F2" w:rsidRDefault="00CE45F2"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CE45F2" w:rsidRDefault="00CE45F2"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6C2C3A" w:rsidRPr="00720EA9" w:rsidRDefault="006C2C3A" w:rsidP="0006489F">
      <w:pPr>
        <w:pStyle w:val="ListParagraph"/>
        <w:widowControl/>
        <w:autoSpaceDE/>
        <w:autoSpaceDN/>
        <w:adjustRightInd/>
        <w:spacing w:after="120"/>
        <w:ind w:left="0"/>
        <w:contextualSpacing w:val="0"/>
        <w:jc w:val="both"/>
        <w:rPr>
          <w:rFonts w:ascii="Bookman Old Style" w:hAnsi="Bookman Old Style"/>
          <w:sz w:val="24"/>
          <w:szCs w:val="24"/>
        </w:rPr>
        <w:sectPr w:rsidR="006C2C3A" w:rsidRPr="00720EA9" w:rsidSect="00EF2051">
          <w:type w:val="continuous"/>
          <w:pgSz w:w="12240" w:h="15840"/>
          <w:pgMar w:top="1440" w:right="1440" w:bottom="1440" w:left="1440" w:header="720" w:footer="720" w:gutter="0"/>
          <w:cols w:space="720"/>
          <w:formProt w:val="0"/>
          <w:docGrid w:linePitch="360"/>
        </w:sectPr>
      </w:pPr>
    </w:p>
    <w:p w:rsidR="00E33F35" w:rsidRPr="00720EA9" w:rsidRDefault="00595A10" w:rsidP="0006489F">
      <w:pPr>
        <w:pStyle w:val="ListParagraph"/>
        <w:widowControl/>
        <w:autoSpaceDE/>
        <w:autoSpaceDN/>
        <w:adjustRightInd/>
        <w:ind w:left="0"/>
        <w:contextualSpacing w:val="0"/>
        <w:jc w:val="both"/>
        <w:rPr>
          <w:rFonts w:ascii="Bookman Old Style" w:hAnsi="Bookman Old Style"/>
          <w:sz w:val="24"/>
          <w:szCs w:val="24"/>
        </w:rPr>
      </w:pPr>
      <w:r w:rsidRPr="00720EA9">
        <w:rPr>
          <w:rFonts w:ascii="Bookman Old Style" w:hAnsi="Bookman Old Style"/>
          <w:sz w:val="24"/>
          <w:szCs w:val="24"/>
        </w:rPr>
        <w:lastRenderedPageBreak/>
        <w:fldChar w:fldCharType="begin">
          <w:ffData>
            <w:name w:val="Dropdown6"/>
            <w:enabled/>
            <w:calcOnExit w:val="0"/>
            <w:ddList>
              <w:result w:val="9"/>
              <w:listEntry w:val="F M S Egonda-Ntende"/>
              <w:listEntry w:val="D Karunakaran"/>
              <w:listEntry w:val="B Renaud"/>
              <w:listEntry w:val="M Burhan"/>
              <w:listEntry w:val="G Dodin"/>
              <w:listEntry w:val="F Robinson"/>
              <w:listEntry w:val="E De Silva"/>
              <w:listEntry w:val="C McKee"/>
              <w:listEntry w:val="Akiiki-Kiiza J"/>
              <w:listEntry w:val="Govinden J"/>
            </w:ddList>
          </w:ffData>
        </w:fldChar>
      </w:r>
      <w:bookmarkStart w:id="11" w:name="Dropdown6"/>
      <w:r w:rsidR="002474D4" w:rsidRPr="00720EA9">
        <w:rPr>
          <w:rFonts w:ascii="Bookman Old Style" w:hAnsi="Bookman Old Style"/>
          <w:sz w:val="24"/>
          <w:szCs w:val="24"/>
        </w:rPr>
        <w:instrText xml:space="preserve"> FORMDROPDOWN </w:instrText>
      </w:r>
      <w:r w:rsidRPr="00720EA9">
        <w:rPr>
          <w:rFonts w:ascii="Bookman Old Style" w:hAnsi="Bookman Old Style"/>
          <w:sz w:val="24"/>
          <w:szCs w:val="24"/>
        </w:rPr>
      </w:r>
      <w:r w:rsidRPr="00720EA9">
        <w:rPr>
          <w:rFonts w:ascii="Bookman Old Style" w:hAnsi="Bookman Old Style"/>
          <w:sz w:val="24"/>
          <w:szCs w:val="24"/>
        </w:rPr>
        <w:fldChar w:fldCharType="end"/>
      </w:r>
      <w:bookmarkEnd w:id="11"/>
    </w:p>
    <w:bookmarkStart w:id="12" w:name="Dropdown7"/>
    <w:p w:rsidR="009E05E5" w:rsidRPr="00720EA9" w:rsidRDefault="00595A10" w:rsidP="00E33F35">
      <w:pPr>
        <w:pStyle w:val="ListParagraph"/>
        <w:widowControl/>
        <w:autoSpaceDE/>
        <w:autoSpaceDN/>
        <w:adjustRightInd/>
        <w:ind w:left="0"/>
        <w:contextualSpacing w:val="0"/>
        <w:jc w:val="both"/>
        <w:rPr>
          <w:rFonts w:ascii="Bookman Old Style" w:hAnsi="Bookman Old Style"/>
          <w:b/>
          <w:sz w:val="24"/>
          <w:szCs w:val="24"/>
        </w:rPr>
      </w:pPr>
      <w:r w:rsidRPr="00720EA9">
        <w:rPr>
          <w:rFonts w:ascii="Bookman Old Style" w:hAnsi="Bookman Old Style"/>
          <w:b/>
          <w:sz w:val="24"/>
          <w:szCs w:val="24"/>
        </w:rPr>
        <w:fldChar w:fldCharType="begin">
          <w:ffData>
            <w:name w:val="Dropdown7"/>
            <w:enabled/>
            <w:calcOnExit w:val="0"/>
            <w:ddList>
              <w:result w:val="1"/>
              <w:listEntry w:val="Chief Justice"/>
              <w:listEntry w:val="Judge of the Supreme Court"/>
            </w:ddList>
          </w:ffData>
        </w:fldChar>
      </w:r>
      <w:r w:rsidR="00E41E94" w:rsidRPr="00720EA9">
        <w:rPr>
          <w:rFonts w:ascii="Bookman Old Style" w:hAnsi="Bookman Old Style"/>
          <w:b/>
          <w:sz w:val="24"/>
          <w:szCs w:val="24"/>
        </w:rPr>
        <w:instrText xml:space="preserve"> FORMDROPDOWN </w:instrText>
      </w:r>
      <w:r w:rsidRPr="00720EA9">
        <w:rPr>
          <w:rFonts w:ascii="Bookman Old Style" w:hAnsi="Bookman Old Style"/>
          <w:b/>
          <w:sz w:val="24"/>
          <w:szCs w:val="24"/>
        </w:rPr>
      </w:r>
      <w:r w:rsidRPr="00720EA9">
        <w:rPr>
          <w:rFonts w:ascii="Bookman Old Style" w:hAnsi="Bookman Old Style"/>
          <w:b/>
          <w:sz w:val="24"/>
          <w:szCs w:val="24"/>
        </w:rPr>
        <w:fldChar w:fldCharType="end"/>
      </w:r>
      <w:bookmarkEnd w:id="12"/>
      <w:r w:rsidRPr="00720EA9">
        <w:rPr>
          <w:rFonts w:ascii="Bookman Old Style" w:hAnsi="Bookman Old Style"/>
          <w:b/>
          <w:sz w:val="24"/>
          <w:szCs w:val="24"/>
        </w:rPr>
        <w:fldChar w:fldCharType="begin"/>
      </w:r>
      <w:r w:rsidRPr="00720EA9">
        <w:rPr>
          <w:rFonts w:ascii="Bookman Old Style" w:hAnsi="Bookman Old Style"/>
          <w:b/>
          <w:sz w:val="24"/>
          <w:szCs w:val="24"/>
        </w:rPr>
        <w:fldChar w:fldCharType="end"/>
      </w:r>
    </w:p>
    <w:sectPr w:rsidR="009E05E5" w:rsidRPr="00720EA9"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9D5" w:rsidRDefault="001B09D5" w:rsidP="00DB6D34">
      <w:r>
        <w:separator/>
      </w:r>
    </w:p>
  </w:endnote>
  <w:endnote w:type="continuationSeparator" w:id="1">
    <w:p w:rsidR="001B09D5" w:rsidRDefault="001B09D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D5" w:rsidRDefault="00595A10">
    <w:pPr>
      <w:pStyle w:val="Footer"/>
      <w:jc w:val="center"/>
    </w:pPr>
    <w:fldSimple w:instr=" PAGE   \* MERGEFORMAT ">
      <w:r w:rsidR="00566C8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9D5" w:rsidRDefault="001B09D5" w:rsidP="00DB6D34">
      <w:r>
        <w:separator/>
      </w:r>
    </w:p>
  </w:footnote>
  <w:footnote w:type="continuationSeparator" w:id="1">
    <w:p w:rsidR="001B09D5" w:rsidRDefault="001B09D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7E5650F"/>
    <w:multiLevelType w:val="hybridMultilevel"/>
    <w:tmpl w:val="80106548"/>
    <w:lvl w:ilvl="0" w:tplc="ED8EF3A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110BD6"/>
    <w:multiLevelType w:val="hybridMultilevel"/>
    <w:tmpl w:val="67A0FDA4"/>
    <w:lvl w:ilvl="0" w:tplc="7B0A9B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382D65"/>
    <w:multiLevelType w:val="hybridMultilevel"/>
    <w:tmpl w:val="832C9D04"/>
    <w:lvl w:ilvl="0" w:tplc="DC2ADB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C33AE"/>
    <w:multiLevelType w:val="hybridMultilevel"/>
    <w:tmpl w:val="C2DACE44"/>
    <w:lvl w:ilvl="0" w:tplc="C14C0F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E74820"/>
    <w:multiLevelType w:val="multilevel"/>
    <w:tmpl w:val="1CC89892"/>
    <w:numStyleLink w:val="Judgments"/>
  </w:abstractNum>
  <w:abstractNum w:abstractNumId="9">
    <w:nsid w:val="621F0986"/>
    <w:multiLevelType w:val="hybridMultilevel"/>
    <w:tmpl w:val="67F8FD66"/>
    <w:lvl w:ilvl="0" w:tplc="CD023D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8D70DF"/>
    <w:multiLevelType w:val="hybridMultilevel"/>
    <w:tmpl w:val="14AA228E"/>
    <w:lvl w:ilvl="0" w:tplc="70D4F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0"/>
  </w:num>
  <w:num w:numId="4">
    <w:abstractNumId w:val="4"/>
  </w:num>
  <w:num w:numId="5">
    <w:abstractNumId w:val="8"/>
  </w:num>
  <w:num w:numId="6">
    <w:abstractNumId w:val="3"/>
  </w:num>
  <w:num w:numId="7">
    <w:abstractNumId w:val="5"/>
  </w:num>
  <w:num w:numId="8">
    <w:abstractNumId w:val="1"/>
  </w:num>
  <w:num w:numId="9">
    <w:abstractNumId w:val="2"/>
  </w:num>
  <w:num w:numId="10">
    <w:abstractNumId w:val="9"/>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A573DD"/>
    <w:rsid w:val="00000320"/>
    <w:rsid w:val="000052F3"/>
    <w:rsid w:val="00005BEF"/>
    <w:rsid w:val="000253EB"/>
    <w:rsid w:val="00030C81"/>
    <w:rsid w:val="0006489F"/>
    <w:rsid w:val="0006512C"/>
    <w:rsid w:val="00067B0A"/>
    <w:rsid w:val="00075573"/>
    <w:rsid w:val="00091036"/>
    <w:rsid w:val="00092E24"/>
    <w:rsid w:val="00093374"/>
    <w:rsid w:val="00097190"/>
    <w:rsid w:val="000A10B8"/>
    <w:rsid w:val="000A179E"/>
    <w:rsid w:val="000D1DD3"/>
    <w:rsid w:val="000E39A5"/>
    <w:rsid w:val="000E7400"/>
    <w:rsid w:val="001008BC"/>
    <w:rsid w:val="00101D12"/>
    <w:rsid w:val="00104284"/>
    <w:rsid w:val="00117CBF"/>
    <w:rsid w:val="00126A10"/>
    <w:rsid w:val="001376AB"/>
    <w:rsid w:val="001439BF"/>
    <w:rsid w:val="00144612"/>
    <w:rsid w:val="001529B0"/>
    <w:rsid w:val="0016510C"/>
    <w:rsid w:val="00180158"/>
    <w:rsid w:val="001B09D5"/>
    <w:rsid w:val="001C7E8E"/>
    <w:rsid w:val="001D30F7"/>
    <w:rsid w:val="001E4ED8"/>
    <w:rsid w:val="0020244B"/>
    <w:rsid w:val="00223B5F"/>
    <w:rsid w:val="00231C17"/>
    <w:rsid w:val="00236AAC"/>
    <w:rsid w:val="00236D13"/>
    <w:rsid w:val="00242DF4"/>
    <w:rsid w:val="0024353F"/>
    <w:rsid w:val="002474D4"/>
    <w:rsid w:val="00261253"/>
    <w:rsid w:val="00290E14"/>
    <w:rsid w:val="0029379D"/>
    <w:rsid w:val="00294F2E"/>
    <w:rsid w:val="00296843"/>
    <w:rsid w:val="002A7376"/>
    <w:rsid w:val="002B2255"/>
    <w:rsid w:val="002B4478"/>
    <w:rsid w:val="002C7560"/>
    <w:rsid w:val="002D06AA"/>
    <w:rsid w:val="002D67FC"/>
    <w:rsid w:val="002E6963"/>
    <w:rsid w:val="002E6A47"/>
    <w:rsid w:val="002F40A1"/>
    <w:rsid w:val="002F4A1B"/>
    <w:rsid w:val="00301D88"/>
    <w:rsid w:val="00304E76"/>
    <w:rsid w:val="003100C3"/>
    <w:rsid w:val="0031329C"/>
    <w:rsid w:val="003647E7"/>
    <w:rsid w:val="003651F4"/>
    <w:rsid w:val="0037270D"/>
    <w:rsid w:val="003741C0"/>
    <w:rsid w:val="00377341"/>
    <w:rsid w:val="003820A5"/>
    <w:rsid w:val="003838CC"/>
    <w:rsid w:val="003862CB"/>
    <w:rsid w:val="0038700C"/>
    <w:rsid w:val="00390255"/>
    <w:rsid w:val="00392303"/>
    <w:rsid w:val="003B461C"/>
    <w:rsid w:val="003B4C19"/>
    <w:rsid w:val="003D58AA"/>
    <w:rsid w:val="003D7B97"/>
    <w:rsid w:val="003E2ABC"/>
    <w:rsid w:val="003F0F8D"/>
    <w:rsid w:val="004156B9"/>
    <w:rsid w:val="004162D0"/>
    <w:rsid w:val="0043118B"/>
    <w:rsid w:val="00445BFA"/>
    <w:rsid w:val="00452BB6"/>
    <w:rsid w:val="00453A09"/>
    <w:rsid w:val="00454FA6"/>
    <w:rsid w:val="0046133B"/>
    <w:rsid w:val="00464520"/>
    <w:rsid w:val="004656A8"/>
    <w:rsid w:val="00470F58"/>
    <w:rsid w:val="00476CAC"/>
    <w:rsid w:val="004A00A5"/>
    <w:rsid w:val="004B05AE"/>
    <w:rsid w:val="004B57B1"/>
    <w:rsid w:val="004C0BB3"/>
    <w:rsid w:val="004C3D80"/>
    <w:rsid w:val="004F3823"/>
    <w:rsid w:val="00514CB6"/>
    <w:rsid w:val="005207C8"/>
    <w:rsid w:val="005248A7"/>
    <w:rsid w:val="00527FDB"/>
    <w:rsid w:val="00530663"/>
    <w:rsid w:val="00540974"/>
    <w:rsid w:val="00546E79"/>
    <w:rsid w:val="0055036F"/>
    <w:rsid w:val="005514D6"/>
    <w:rsid w:val="0055241A"/>
    <w:rsid w:val="00552704"/>
    <w:rsid w:val="00554577"/>
    <w:rsid w:val="00566C84"/>
    <w:rsid w:val="00572AB3"/>
    <w:rsid w:val="00580531"/>
    <w:rsid w:val="005836AC"/>
    <w:rsid w:val="00584583"/>
    <w:rsid w:val="00594FAC"/>
    <w:rsid w:val="00595A10"/>
    <w:rsid w:val="005B7B62"/>
    <w:rsid w:val="005C157B"/>
    <w:rsid w:val="005C5493"/>
    <w:rsid w:val="005C5690"/>
    <w:rsid w:val="005E6ADF"/>
    <w:rsid w:val="005F5FB0"/>
    <w:rsid w:val="0060228F"/>
    <w:rsid w:val="00606587"/>
    <w:rsid w:val="00606EEA"/>
    <w:rsid w:val="00612AD5"/>
    <w:rsid w:val="006174DB"/>
    <w:rsid w:val="00626CEE"/>
    <w:rsid w:val="00631448"/>
    <w:rsid w:val="006349AC"/>
    <w:rsid w:val="0064023C"/>
    <w:rsid w:val="00654CAA"/>
    <w:rsid w:val="006578C2"/>
    <w:rsid w:val="00666D33"/>
    <w:rsid w:val="00677629"/>
    <w:rsid w:val="0068598F"/>
    <w:rsid w:val="00695110"/>
    <w:rsid w:val="006A58E4"/>
    <w:rsid w:val="006C2C3A"/>
    <w:rsid w:val="006C4389"/>
    <w:rsid w:val="006D36C9"/>
    <w:rsid w:val="006D5139"/>
    <w:rsid w:val="0070599B"/>
    <w:rsid w:val="0070785D"/>
    <w:rsid w:val="007175A6"/>
    <w:rsid w:val="00720EA9"/>
    <w:rsid w:val="00744508"/>
    <w:rsid w:val="007541BC"/>
    <w:rsid w:val="007728D0"/>
    <w:rsid w:val="00774B63"/>
    <w:rsid w:val="00785812"/>
    <w:rsid w:val="007A47DC"/>
    <w:rsid w:val="007B6178"/>
    <w:rsid w:val="007C2809"/>
    <w:rsid w:val="007D416E"/>
    <w:rsid w:val="00807411"/>
    <w:rsid w:val="0081329A"/>
    <w:rsid w:val="00813302"/>
    <w:rsid w:val="00814CF5"/>
    <w:rsid w:val="00816425"/>
    <w:rsid w:val="00821758"/>
    <w:rsid w:val="00823079"/>
    <w:rsid w:val="0083298A"/>
    <w:rsid w:val="00841387"/>
    <w:rsid w:val="0084347B"/>
    <w:rsid w:val="008472B3"/>
    <w:rsid w:val="008478D6"/>
    <w:rsid w:val="00857A7F"/>
    <w:rsid w:val="008602C0"/>
    <w:rsid w:val="00892EFA"/>
    <w:rsid w:val="008A0212"/>
    <w:rsid w:val="008A5208"/>
    <w:rsid w:val="008B75CE"/>
    <w:rsid w:val="008B773E"/>
    <w:rsid w:val="008B7D40"/>
    <w:rsid w:val="008C0FD6"/>
    <w:rsid w:val="008E1DB1"/>
    <w:rsid w:val="008E512C"/>
    <w:rsid w:val="008E7749"/>
    <w:rsid w:val="008E7F92"/>
    <w:rsid w:val="008F0C10"/>
    <w:rsid w:val="008F38F7"/>
    <w:rsid w:val="008F6E37"/>
    <w:rsid w:val="00902D3C"/>
    <w:rsid w:val="00910588"/>
    <w:rsid w:val="009106DC"/>
    <w:rsid w:val="00926D09"/>
    <w:rsid w:val="00927982"/>
    <w:rsid w:val="009336BA"/>
    <w:rsid w:val="00937FB4"/>
    <w:rsid w:val="0094087C"/>
    <w:rsid w:val="00943448"/>
    <w:rsid w:val="00951EC0"/>
    <w:rsid w:val="00955EF4"/>
    <w:rsid w:val="0096041D"/>
    <w:rsid w:val="0096428F"/>
    <w:rsid w:val="00972A62"/>
    <w:rsid w:val="0097460D"/>
    <w:rsid w:val="00981287"/>
    <w:rsid w:val="00983045"/>
    <w:rsid w:val="009927D3"/>
    <w:rsid w:val="009C437E"/>
    <w:rsid w:val="009E05E5"/>
    <w:rsid w:val="009E15F5"/>
    <w:rsid w:val="009F1B68"/>
    <w:rsid w:val="009F4DC4"/>
    <w:rsid w:val="00A1079A"/>
    <w:rsid w:val="00A11166"/>
    <w:rsid w:val="00A14038"/>
    <w:rsid w:val="00A1592D"/>
    <w:rsid w:val="00A42850"/>
    <w:rsid w:val="00A53837"/>
    <w:rsid w:val="00A544D0"/>
    <w:rsid w:val="00A54995"/>
    <w:rsid w:val="00A573DD"/>
    <w:rsid w:val="00A80E4E"/>
    <w:rsid w:val="00A852ED"/>
    <w:rsid w:val="00AA2018"/>
    <w:rsid w:val="00AC3885"/>
    <w:rsid w:val="00AD0BF3"/>
    <w:rsid w:val="00AD5D64"/>
    <w:rsid w:val="00AD75CD"/>
    <w:rsid w:val="00B00724"/>
    <w:rsid w:val="00B05D6E"/>
    <w:rsid w:val="00B119B1"/>
    <w:rsid w:val="00B14612"/>
    <w:rsid w:val="00B23E73"/>
    <w:rsid w:val="00B40898"/>
    <w:rsid w:val="00B4124C"/>
    <w:rsid w:val="00B4625E"/>
    <w:rsid w:val="00B555E3"/>
    <w:rsid w:val="00B56523"/>
    <w:rsid w:val="00B75AE2"/>
    <w:rsid w:val="00B9148E"/>
    <w:rsid w:val="00B94805"/>
    <w:rsid w:val="00BA6027"/>
    <w:rsid w:val="00BB1800"/>
    <w:rsid w:val="00BC1D95"/>
    <w:rsid w:val="00BD4287"/>
    <w:rsid w:val="00BD60D5"/>
    <w:rsid w:val="00BE1D00"/>
    <w:rsid w:val="00BE2691"/>
    <w:rsid w:val="00BE30B1"/>
    <w:rsid w:val="00BE3628"/>
    <w:rsid w:val="00BE424C"/>
    <w:rsid w:val="00BF5CC9"/>
    <w:rsid w:val="00C036A5"/>
    <w:rsid w:val="00C04F85"/>
    <w:rsid w:val="00C065A3"/>
    <w:rsid w:val="00C06A6A"/>
    <w:rsid w:val="00C14327"/>
    <w:rsid w:val="00C212FB"/>
    <w:rsid w:val="00C22967"/>
    <w:rsid w:val="00C35333"/>
    <w:rsid w:val="00C41821"/>
    <w:rsid w:val="00C468CC"/>
    <w:rsid w:val="00C529F4"/>
    <w:rsid w:val="00C55FDF"/>
    <w:rsid w:val="00C57205"/>
    <w:rsid w:val="00C5739F"/>
    <w:rsid w:val="00C75207"/>
    <w:rsid w:val="00C87FCA"/>
    <w:rsid w:val="00C95987"/>
    <w:rsid w:val="00CA1B0C"/>
    <w:rsid w:val="00CA7795"/>
    <w:rsid w:val="00CA7F40"/>
    <w:rsid w:val="00CB2C98"/>
    <w:rsid w:val="00CB31FB"/>
    <w:rsid w:val="00CB3C7E"/>
    <w:rsid w:val="00CC1101"/>
    <w:rsid w:val="00CC2A46"/>
    <w:rsid w:val="00CE45F2"/>
    <w:rsid w:val="00CE6414"/>
    <w:rsid w:val="00CF041D"/>
    <w:rsid w:val="00CF4041"/>
    <w:rsid w:val="00D03314"/>
    <w:rsid w:val="00D06A0F"/>
    <w:rsid w:val="00D10FA3"/>
    <w:rsid w:val="00D2345C"/>
    <w:rsid w:val="00D26133"/>
    <w:rsid w:val="00D31AB7"/>
    <w:rsid w:val="00D50CB6"/>
    <w:rsid w:val="00D82047"/>
    <w:rsid w:val="00DA351C"/>
    <w:rsid w:val="00DA42C9"/>
    <w:rsid w:val="00DB6D34"/>
    <w:rsid w:val="00DC3CA0"/>
    <w:rsid w:val="00DD4E02"/>
    <w:rsid w:val="00DE08C1"/>
    <w:rsid w:val="00DE2BE8"/>
    <w:rsid w:val="00DE30C3"/>
    <w:rsid w:val="00DE7747"/>
    <w:rsid w:val="00DF2970"/>
    <w:rsid w:val="00DF303A"/>
    <w:rsid w:val="00E030BA"/>
    <w:rsid w:val="00E0467F"/>
    <w:rsid w:val="00E0505F"/>
    <w:rsid w:val="00E07F07"/>
    <w:rsid w:val="00E30B60"/>
    <w:rsid w:val="00E33F35"/>
    <w:rsid w:val="00E35862"/>
    <w:rsid w:val="00E41E94"/>
    <w:rsid w:val="00E529FE"/>
    <w:rsid w:val="00E55C69"/>
    <w:rsid w:val="00E57D4D"/>
    <w:rsid w:val="00E6492F"/>
    <w:rsid w:val="00E65691"/>
    <w:rsid w:val="00E77C1F"/>
    <w:rsid w:val="00E80F85"/>
    <w:rsid w:val="00E91FA1"/>
    <w:rsid w:val="00E944E2"/>
    <w:rsid w:val="00EA6F17"/>
    <w:rsid w:val="00EC12D0"/>
    <w:rsid w:val="00EC2355"/>
    <w:rsid w:val="00EC6290"/>
    <w:rsid w:val="00ED76D9"/>
    <w:rsid w:val="00EE0DAA"/>
    <w:rsid w:val="00EF2051"/>
    <w:rsid w:val="00F00A19"/>
    <w:rsid w:val="00F23F09"/>
    <w:rsid w:val="00F34FB5"/>
    <w:rsid w:val="00F35DF7"/>
    <w:rsid w:val="00F3644F"/>
    <w:rsid w:val="00F40FF4"/>
    <w:rsid w:val="00F47FF3"/>
    <w:rsid w:val="00F804CC"/>
    <w:rsid w:val="00F82A83"/>
    <w:rsid w:val="00F83B3D"/>
    <w:rsid w:val="00FA1D82"/>
    <w:rsid w:val="00FB0AFB"/>
    <w:rsid w:val="00FB2453"/>
    <w:rsid w:val="00FB3807"/>
    <w:rsid w:val="00FB39BA"/>
    <w:rsid w:val="00FC61E3"/>
    <w:rsid w:val="00FC6823"/>
    <w:rsid w:val="00FD16BD"/>
    <w:rsid w:val="00FD4D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RULING%20CIVIL%20SIDE%20PLEA%20IN%20LIME%20LITIS%20MOHAN%20NAIDOO%20ANETTE%20ANDRE%20Civi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BF7D-300C-4A27-A850-20F8C359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RULING CIVIL SIDE PLEA IN LIME LITIS MOHAN NAIDOO ANETTE ANDRE Civil suits (CS,CC,CM) - not MA - plaintiff-defendant</Template>
  <TotalTime>15</TotalTime>
  <Pages>9</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govinden</dc:creator>
  <cp:lastModifiedBy>s.sanguignon</cp:lastModifiedBy>
  <cp:revision>5</cp:revision>
  <cp:lastPrinted>2016-03-31T04:58:00Z</cp:lastPrinted>
  <dcterms:created xsi:type="dcterms:W3CDTF">2016-03-30T06:51:00Z</dcterms:created>
  <dcterms:modified xsi:type="dcterms:W3CDTF">2016-04-19T10:53:00Z</dcterms:modified>
</cp:coreProperties>
</file>