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A645F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573DD">
        <w:rPr>
          <w:b/>
          <w:sz w:val="24"/>
          <w:szCs w:val="24"/>
        </w:rPr>
        <w:t> </w:t>
      </w:r>
      <w:r w:rsidR="00A573DD">
        <w:rPr>
          <w:b/>
          <w:sz w:val="24"/>
          <w:szCs w:val="24"/>
        </w:rPr>
        <w:t> </w:t>
      </w:r>
      <w:r w:rsidR="00A573DD">
        <w:rPr>
          <w:b/>
          <w:sz w:val="24"/>
          <w:szCs w:val="24"/>
        </w:rPr>
        <w:t> </w:t>
      </w:r>
      <w:r w:rsidR="00A573DD">
        <w:rPr>
          <w:b/>
          <w:sz w:val="24"/>
          <w:szCs w:val="24"/>
        </w:rPr>
        <w:t> </w:t>
      </w:r>
      <w:r w:rsidR="00A573DD">
        <w:rPr>
          <w:b/>
          <w:sz w:val="24"/>
          <w:szCs w:val="24"/>
        </w:rPr>
        <w:t> </w:t>
      </w:r>
      <w:r w:rsidRPr="0096251D">
        <w:rPr>
          <w:b/>
          <w:sz w:val="24"/>
          <w:szCs w:val="24"/>
        </w:rPr>
        <w:fldChar w:fldCharType="end"/>
      </w:r>
      <w:bookmarkEnd w:id="0"/>
    </w:p>
    <w:bookmarkStart w:id="1" w:name="Text42"/>
    <w:p w:rsidR="00F34FB5" w:rsidRPr="00B938BB" w:rsidRDefault="00A645F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573DD">
        <w:rPr>
          <w:i/>
          <w:sz w:val="24"/>
          <w:szCs w:val="24"/>
        </w:rPr>
        <w:t> </w:t>
      </w:r>
      <w:r w:rsidR="00A573DD">
        <w:rPr>
          <w:i/>
          <w:sz w:val="24"/>
          <w:szCs w:val="24"/>
        </w:rPr>
        <w:t> </w:t>
      </w:r>
      <w:r w:rsidR="00A573DD">
        <w:rPr>
          <w:i/>
          <w:sz w:val="24"/>
          <w:szCs w:val="24"/>
        </w:rPr>
        <w:t> </w:t>
      </w:r>
      <w:r w:rsidR="00A573DD">
        <w:rPr>
          <w:i/>
          <w:sz w:val="24"/>
          <w:szCs w:val="24"/>
        </w:rPr>
        <w:t> </w:t>
      </w:r>
      <w:r w:rsidR="00A573DD">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720EA9" w:rsidRDefault="00C55FDF" w:rsidP="00CA7795">
      <w:pPr>
        <w:jc w:val="center"/>
        <w:rPr>
          <w:rFonts w:ascii="Bookman Old Style" w:hAnsi="Bookman Old Style"/>
          <w:b/>
          <w:sz w:val="24"/>
          <w:szCs w:val="24"/>
        </w:rPr>
      </w:pPr>
      <w:r w:rsidRPr="00720EA9">
        <w:rPr>
          <w:rFonts w:ascii="Bookman Old Style" w:hAnsi="Bookman Old Style"/>
          <w:b/>
          <w:sz w:val="24"/>
          <w:szCs w:val="24"/>
        </w:rPr>
        <w:t>IN THE SUPREME COURT OF SEYCHELLES</w:t>
      </w:r>
    </w:p>
    <w:p w:rsidR="00C55FDF" w:rsidRPr="00720EA9" w:rsidRDefault="00C55FDF" w:rsidP="0006489F">
      <w:pPr>
        <w:spacing w:before="240"/>
        <w:jc w:val="center"/>
        <w:rPr>
          <w:rFonts w:ascii="Bookman Old Style" w:hAnsi="Bookman Old Style"/>
          <w:b/>
          <w:sz w:val="24"/>
          <w:szCs w:val="24"/>
        </w:rPr>
      </w:pPr>
      <w:r w:rsidRPr="00720EA9">
        <w:rPr>
          <w:rFonts w:ascii="Bookman Old Style" w:hAnsi="Bookman Old Style"/>
          <w:b/>
          <w:sz w:val="24"/>
          <w:szCs w:val="24"/>
        </w:rPr>
        <w:t>C</w:t>
      </w:r>
      <w:r w:rsidR="00B23E73" w:rsidRPr="00720EA9">
        <w:rPr>
          <w:rFonts w:ascii="Bookman Old Style" w:hAnsi="Bookman Old Style"/>
          <w:b/>
          <w:sz w:val="24"/>
          <w:szCs w:val="24"/>
        </w:rPr>
        <w:t xml:space="preserve">ivil </w:t>
      </w:r>
      <w:r w:rsidRPr="00720EA9">
        <w:rPr>
          <w:rFonts w:ascii="Bookman Old Style" w:hAnsi="Bookman Old Style"/>
          <w:b/>
          <w:sz w:val="24"/>
          <w:szCs w:val="24"/>
        </w:rPr>
        <w:t>S</w:t>
      </w:r>
      <w:r w:rsidR="00BF5CC9" w:rsidRPr="00720EA9">
        <w:rPr>
          <w:rFonts w:ascii="Bookman Old Style" w:hAnsi="Bookman Old Style"/>
          <w:b/>
          <w:sz w:val="24"/>
          <w:szCs w:val="24"/>
        </w:rPr>
        <w:t xml:space="preserve">ide: </w:t>
      </w:r>
      <w:bookmarkStart w:id="2" w:name="Dropdown10"/>
      <w:r w:rsidR="00A645F2" w:rsidRPr="00720EA9">
        <w:rPr>
          <w:rFonts w:ascii="Bookman Old Style" w:hAnsi="Bookman Old Style"/>
          <w:b/>
          <w:sz w:val="24"/>
          <w:szCs w:val="24"/>
        </w:rPr>
        <w:fldChar w:fldCharType="begin">
          <w:ffData>
            <w:name w:val="Dropdown10"/>
            <w:enabled/>
            <w:calcOnExit w:val="0"/>
            <w:ddList>
              <w:listEntry w:val="CS"/>
              <w:listEntry w:val="CC"/>
              <w:listEntry w:val="CM"/>
            </w:ddList>
          </w:ffData>
        </w:fldChar>
      </w:r>
      <w:r w:rsidR="00B40898" w:rsidRPr="00720EA9">
        <w:rPr>
          <w:rFonts w:ascii="Bookman Old Style" w:hAnsi="Bookman Old Style"/>
          <w:b/>
          <w:sz w:val="24"/>
          <w:szCs w:val="24"/>
        </w:rPr>
        <w:instrText xml:space="preserve"> FORMDROPDOWN </w:instrText>
      </w:r>
      <w:r w:rsidR="00A645F2" w:rsidRPr="00720EA9">
        <w:rPr>
          <w:rFonts w:ascii="Bookman Old Style" w:hAnsi="Bookman Old Style"/>
          <w:b/>
          <w:sz w:val="24"/>
          <w:szCs w:val="24"/>
        </w:rPr>
      </w:r>
      <w:r w:rsidR="00A645F2" w:rsidRPr="00720EA9">
        <w:rPr>
          <w:rFonts w:ascii="Bookman Old Style" w:hAnsi="Bookman Old Style"/>
          <w:b/>
          <w:sz w:val="24"/>
          <w:szCs w:val="24"/>
        </w:rPr>
        <w:fldChar w:fldCharType="end"/>
      </w:r>
      <w:bookmarkEnd w:id="2"/>
      <w:r w:rsidR="006A792C">
        <w:rPr>
          <w:rFonts w:ascii="Bookman Old Style" w:hAnsi="Bookman Old Style"/>
          <w:b/>
          <w:sz w:val="24"/>
          <w:szCs w:val="24"/>
        </w:rPr>
        <w:t xml:space="preserve"> </w:t>
      </w:r>
      <w:r w:rsidR="00970B08">
        <w:rPr>
          <w:rFonts w:ascii="Bookman Old Style" w:hAnsi="Bookman Old Style"/>
          <w:b/>
          <w:sz w:val="24"/>
          <w:szCs w:val="24"/>
        </w:rPr>
        <w:t>75</w:t>
      </w:r>
      <w:r w:rsidRPr="00720EA9">
        <w:rPr>
          <w:rFonts w:ascii="Bookman Old Style" w:hAnsi="Bookman Old Style"/>
          <w:b/>
          <w:sz w:val="24"/>
          <w:szCs w:val="24"/>
        </w:rPr>
        <w:t>/</w:t>
      </w:r>
      <w:r w:rsidR="00C87FCA" w:rsidRPr="00720EA9">
        <w:rPr>
          <w:rFonts w:ascii="Bookman Old Style" w:hAnsi="Bookman Old Style"/>
          <w:b/>
          <w:sz w:val="24"/>
          <w:szCs w:val="24"/>
        </w:rPr>
        <w:t>20</w:t>
      </w:r>
      <w:r w:rsidR="00970B08">
        <w:rPr>
          <w:rFonts w:ascii="Bookman Old Style" w:hAnsi="Bookman Old Style"/>
          <w:b/>
          <w:sz w:val="24"/>
          <w:szCs w:val="24"/>
        </w:rPr>
        <w:t>14</w:t>
      </w:r>
    </w:p>
    <w:p w:rsidR="00DB6D34" w:rsidRPr="00720EA9" w:rsidRDefault="00DB6D34" w:rsidP="003651F4">
      <w:pPr>
        <w:spacing w:before="240" w:after="160"/>
        <w:ind w:left="6480"/>
        <w:rPr>
          <w:rFonts w:ascii="Bookman Old Style" w:hAnsi="Bookman Old Style"/>
          <w:b/>
          <w:sz w:val="24"/>
          <w:szCs w:val="24"/>
        </w:rPr>
      </w:pPr>
      <w:r w:rsidRPr="00720EA9">
        <w:rPr>
          <w:rFonts w:ascii="Bookman Old Style" w:hAnsi="Bookman Old Style"/>
          <w:b/>
          <w:sz w:val="24"/>
          <w:szCs w:val="24"/>
        </w:rPr>
        <w:t>[201</w:t>
      </w:r>
      <w:r w:rsidR="00B36852">
        <w:rPr>
          <w:rFonts w:ascii="Bookman Old Style" w:hAnsi="Bookman Old Style"/>
          <w:b/>
          <w:sz w:val="24"/>
          <w:szCs w:val="24"/>
        </w:rPr>
        <w:t>6</w:t>
      </w:r>
      <w:r w:rsidR="00A645F2" w:rsidRPr="00720EA9">
        <w:rPr>
          <w:rFonts w:ascii="Bookman Old Style" w:hAnsi="Bookman Old Style"/>
          <w:b/>
          <w:sz w:val="24"/>
          <w:szCs w:val="24"/>
        </w:rPr>
        <w:fldChar w:fldCharType="begin"/>
      </w:r>
      <w:r w:rsidR="00A645F2" w:rsidRPr="00720EA9">
        <w:rPr>
          <w:rFonts w:ascii="Bookman Old Style" w:hAnsi="Bookman Old Style"/>
          <w:b/>
          <w:sz w:val="24"/>
          <w:szCs w:val="24"/>
        </w:rPr>
        <w:fldChar w:fldCharType="end"/>
      </w:r>
      <w:r w:rsidRPr="00720EA9">
        <w:rPr>
          <w:rFonts w:ascii="Bookman Old Style" w:hAnsi="Bookman Old Style"/>
          <w:b/>
          <w:sz w:val="24"/>
          <w:szCs w:val="24"/>
        </w:rPr>
        <w:t>] SCSC</w:t>
      </w:r>
      <w:r w:rsidR="00B93CD0">
        <w:rPr>
          <w:rFonts w:ascii="Bookman Old Style" w:hAnsi="Bookman Old Style"/>
          <w:b/>
          <w:sz w:val="24"/>
          <w:szCs w:val="24"/>
        </w:rPr>
        <w:t>243</w:t>
      </w:r>
    </w:p>
    <w:p w:rsidR="00C55FDF" w:rsidRPr="00720EA9" w:rsidRDefault="00C55FDF" w:rsidP="00E57D4D">
      <w:pPr>
        <w:pBdr>
          <w:bottom w:val="single" w:sz="4" w:space="5" w:color="auto"/>
        </w:pBdr>
        <w:jc w:val="center"/>
        <w:rPr>
          <w:rFonts w:ascii="Bookman Old Style" w:hAnsi="Bookman Old Style"/>
          <w:b/>
          <w:sz w:val="24"/>
          <w:szCs w:val="24"/>
        </w:rPr>
      </w:pPr>
    </w:p>
    <w:p w:rsidR="00612AD5" w:rsidRDefault="00612AD5" w:rsidP="0096428F">
      <w:pPr>
        <w:jc w:val="center"/>
        <w:rPr>
          <w:rFonts w:ascii="Bookman Old Style" w:hAnsi="Bookman Old Style"/>
          <w:sz w:val="24"/>
          <w:szCs w:val="24"/>
        </w:rPr>
      </w:pPr>
      <w:bookmarkStart w:id="3" w:name="Text20"/>
    </w:p>
    <w:p w:rsidR="0096428F" w:rsidRPr="00720EA9" w:rsidRDefault="00B23BB4" w:rsidP="00B40898">
      <w:pPr>
        <w:spacing w:after="240"/>
        <w:jc w:val="center"/>
        <w:rPr>
          <w:rFonts w:ascii="Bookman Old Style" w:hAnsi="Bookman Old Style"/>
          <w:b/>
          <w:sz w:val="24"/>
          <w:szCs w:val="24"/>
        </w:rPr>
      </w:pPr>
      <w:bookmarkStart w:id="4" w:name="Dropdown13"/>
      <w:bookmarkEnd w:id="3"/>
      <w:r>
        <w:rPr>
          <w:rFonts w:ascii="Bookman Old Style" w:hAnsi="Bookman Old Style"/>
          <w:b/>
          <w:sz w:val="24"/>
          <w:szCs w:val="24"/>
        </w:rPr>
        <w:t>GEMMA JOUBERT OF CASCADE, MAHE</w:t>
      </w:r>
    </w:p>
    <w:p w:rsidR="00B40898" w:rsidRPr="00720EA9" w:rsidRDefault="00A645F2" w:rsidP="00B40898">
      <w:pPr>
        <w:spacing w:after="240"/>
        <w:jc w:val="center"/>
        <w:rPr>
          <w:rFonts w:ascii="Bookman Old Style" w:hAnsi="Bookman Old Style"/>
          <w:sz w:val="24"/>
          <w:szCs w:val="24"/>
        </w:rPr>
        <w:sectPr w:rsidR="00B40898" w:rsidRPr="00720EA9" w:rsidSect="00F34FB5">
          <w:footerReference w:type="default" r:id="rId8"/>
          <w:type w:val="continuous"/>
          <w:pgSz w:w="12240" w:h="15840"/>
          <w:pgMar w:top="1080" w:right="1440" w:bottom="1440" w:left="1440" w:header="720" w:footer="720" w:gutter="0"/>
          <w:cols w:space="720"/>
          <w:docGrid w:linePitch="360"/>
        </w:sectPr>
      </w:pPr>
      <w:r w:rsidRPr="00720EA9">
        <w:rPr>
          <w:rFonts w:ascii="Bookman Old Style" w:hAnsi="Bookman Old Style"/>
          <w:sz w:val="24"/>
          <w:szCs w:val="24"/>
        </w:rPr>
        <w:fldChar w:fldCharType="begin">
          <w:ffData>
            <w:name w:val="Dropdown13"/>
            <w:enabled/>
            <w:calcOnExit w:val="0"/>
            <w:ddList>
              <w:listEntry w:val="Plaintiff"/>
              <w:listEntry w:val="First Plaintiff"/>
            </w:ddList>
          </w:ffData>
        </w:fldChar>
      </w:r>
      <w:r w:rsidR="00B40898"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4"/>
    </w:p>
    <w:p w:rsidR="00FB2453" w:rsidRPr="00720EA9" w:rsidRDefault="00FB2453" w:rsidP="00B40898">
      <w:pPr>
        <w:spacing w:before="120"/>
        <w:jc w:val="center"/>
        <w:rPr>
          <w:rFonts w:ascii="Bookman Old Style" w:hAnsi="Bookman Old Style"/>
          <w:sz w:val="24"/>
          <w:szCs w:val="24"/>
        </w:rPr>
      </w:pPr>
      <w:r w:rsidRPr="00720EA9">
        <w:rPr>
          <w:rFonts w:ascii="Bookman Old Style" w:hAnsi="Bookman Old Style"/>
          <w:sz w:val="24"/>
          <w:szCs w:val="24"/>
        </w:rPr>
        <w:lastRenderedPageBreak/>
        <w:t>versus</w:t>
      </w:r>
    </w:p>
    <w:p w:rsidR="00FB2453" w:rsidRDefault="00FB2453" w:rsidP="003862CB">
      <w:pPr>
        <w:jc w:val="center"/>
        <w:rPr>
          <w:rFonts w:ascii="Bookman Old Style" w:hAnsi="Bookman Old Style"/>
          <w:sz w:val="24"/>
          <w:szCs w:val="24"/>
        </w:rPr>
      </w:pPr>
    </w:p>
    <w:p w:rsidR="00B23BB4" w:rsidRPr="00B23BB4" w:rsidRDefault="00B23BB4" w:rsidP="00B23BB4">
      <w:pPr>
        <w:pStyle w:val="ListParagraph"/>
        <w:numPr>
          <w:ilvl w:val="0"/>
          <w:numId w:val="12"/>
        </w:numPr>
        <w:rPr>
          <w:rFonts w:ascii="Bookman Old Style" w:hAnsi="Bookman Old Style"/>
          <w:b/>
          <w:sz w:val="24"/>
          <w:szCs w:val="24"/>
        </w:rPr>
      </w:pPr>
      <w:r w:rsidRPr="00B23BB4">
        <w:rPr>
          <w:rFonts w:ascii="Bookman Old Style" w:hAnsi="Bookman Old Style"/>
          <w:b/>
          <w:sz w:val="24"/>
          <w:szCs w:val="24"/>
        </w:rPr>
        <w:t xml:space="preserve">DAVIDSON PHILOE OF MONT BUXTON, MAHE </w:t>
      </w:r>
    </w:p>
    <w:p w:rsidR="0096428F" w:rsidRPr="00B23BB4" w:rsidRDefault="0096428F" w:rsidP="00B23BB4">
      <w:pPr>
        <w:rPr>
          <w:rFonts w:ascii="Bookman Old Style" w:hAnsi="Bookman Old Style"/>
          <w:b/>
          <w:sz w:val="24"/>
          <w:szCs w:val="24"/>
        </w:rPr>
      </w:pPr>
    </w:p>
    <w:p w:rsidR="00B23BB4" w:rsidRDefault="00B23BB4" w:rsidP="00B23BB4">
      <w:pPr>
        <w:spacing w:after="240"/>
        <w:ind w:left="2880" w:firstLine="720"/>
        <w:rPr>
          <w:rFonts w:ascii="Bookman Old Style" w:hAnsi="Bookman Old Style"/>
          <w:sz w:val="24"/>
          <w:szCs w:val="24"/>
        </w:rPr>
      </w:pPr>
      <w:bookmarkStart w:id="5" w:name="Dropdown14"/>
      <w:r>
        <w:rPr>
          <w:rFonts w:ascii="Bookman Old Style" w:hAnsi="Bookman Old Style"/>
          <w:sz w:val="24"/>
          <w:szCs w:val="24"/>
        </w:rPr>
        <w:t>1</w:t>
      </w:r>
      <w:r w:rsidRPr="00B23BB4">
        <w:rPr>
          <w:rFonts w:ascii="Bookman Old Style" w:hAnsi="Bookman Old Style"/>
          <w:sz w:val="24"/>
          <w:szCs w:val="24"/>
          <w:vertAlign w:val="superscript"/>
        </w:rPr>
        <w:t>st</w:t>
      </w:r>
      <w:r w:rsidR="00A645F2" w:rsidRPr="00720EA9">
        <w:rPr>
          <w:rFonts w:ascii="Bookman Old Style" w:hAnsi="Bookman Old Style"/>
          <w:sz w:val="24"/>
          <w:szCs w:val="24"/>
        </w:rPr>
        <w:fldChar w:fldCharType="begin">
          <w:ffData>
            <w:name w:val="Dropdown14"/>
            <w:enabled/>
            <w:calcOnExit w:val="0"/>
            <w:ddList>
              <w:listEntry w:val="Defendant"/>
              <w:listEntry w:val="First Defendant"/>
            </w:ddList>
          </w:ffData>
        </w:fldChar>
      </w:r>
      <w:r w:rsidR="00B40898" w:rsidRPr="00720EA9">
        <w:rPr>
          <w:rFonts w:ascii="Bookman Old Style" w:hAnsi="Bookman Old Style"/>
          <w:sz w:val="24"/>
          <w:szCs w:val="24"/>
        </w:rPr>
        <w:instrText xml:space="preserve"> FORMDROPDOWN </w:instrText>
      </w:r>
      <w:r w:rsidR="00A645F2" w:rsidRPr="00720EA9">
        <w:rPr>
          <w:rFonts w:ascii="Bookman Old Style" w:hAnsi="Bookman Old Style"/>
          <w:sz w:val="24"/>
          <w:szCs w:val="24"/>
        </w:rPr>
      </w:r>
      <w:r w:rsidR="00A645F2" w:rsidRPr="00720EA9">
        <w:rPr>
          <w:rFonts w:ascii="Bookman Old Style" w:hAnsi="Bookman Old Style"/>
          <w:sz w:val="24"/>
          <w:szCs w:val="24"/>
        </w:rPr>
        <w:fldChar w:fldCharType="end"/>
      </w:r>
      <w:bookmarkEnd w:id="5"/>
    </w:p>
    <w:p w:rsidR="00B23BB4" w:rsidRPr="00B23BB4" w:rsidRDefault="00B23BB4" w:rsidP="00B23BB4">
      <w:pPr>
        <w:pStyle w:val="ListParagraph"/>
        <w:numPr>
          <w:ilvl w:val="0"/>
          <w:numId w:val="12"/>
        </w:numPr>
        <w:spacing w:after="240"/>
        <w:rPr>
          <w:rFonts w:ascii="Bookman Old Style" w:hAnsi="Bookman Old Style"/>
          <w:b/>
          <w:sz w:val="24"/>
          <w:szCs w:val="24"/>
        </w:rPr>
      </w:pPr>
      <w:r w:rsidRPr="00B23BB4">
        <w:rPr>
          <w:rFonts w:ascii="Bookman Old Style" w:hAnsi="Bookman Old Style"/>
          <w:b/>
          <w:sz w:val="24"/>
          <w:szCs w:val="24"/>
        </w:rPr>
        <w:t>DEVELOPMENT BANK OF SEYCHELLES OF VICTORIA, MAHE,</w:t>
      </w:r>
    </w:p>
    <w:p w:rsidR="00B23BB4" w:rsidRDefault="00B23BB4" w:rsidP="00B23BB4">
      <w:pPr>
        <w:spacing w:after="240"/>
        <w:ind w:left="360" w:firstLine="720"/>
        <w:rPr>
          <w:rFonts w:ascii="Bookman Old Style" w:hAnsi="Bookman Old Style"/>
          <w:b/>
          <w:sz w:val="24"/>
          <w:szCs w:val="24"/>
        </w:rPr>
      </w:pPr>
      <w:r w:rsidRPr="00B23BB4">
        <w:rPr>
          <w:rFonts w:ascii="Bookman Old Style" w:hAnsi="Bookman Old Style"/>
          <w:b/>
          <w:sz w:val="24"/>
          <w:szCs w:val="24"/>
        </w:rPr>
        <w:t>S</w:t>
      </w:r>
      <w:r>
        <w:rPr>
          <w:rFonts w:ascii="Bookman Old Style" w:hAnsi="Bookman Old Style"/>
          <w:b/>
          <w:sz w:val="24"/>
          <w:szCs w:val="24"/>
        </w:rPr>
        <w:t>EYCHELLE</w:t>
      </w:r>
      <w:r w:rsidRPr="00B23BB4">
        <w:rPr>
          <w:rFonts w:ascii="Bookman Old Style" w:hAnsi="Bookman Old Style"/>
          <w:b/>
          <w:sz w:val="24"/>
          <w:szCs w:val="24"/>
        </w:rPr>
        <w:t>S</w:t>
      </w:r>
    </w:p>
    <w:p w:rsidR="00B23BB4" w:rsidRPr="00B23BB4" w:rsidRDefault="00B23BB4" w:rsidP="00B23BB4">
      <w:pPr>
        <w:spacing w:after="240"/>
        <w:ind w:left="3600"/>
        <w:rPr>
          <w:rFonts w:ascii="Bookman Old Style" w:hAnsi="Bookman Old Style"/>
          <w:sz w:val="24"/>
          <w:szCs w:val="24"/>
        </w:rPr>
      </w:pPr>
      <w:r w:rsidRPr="00B23BB4">
        <w:rPr>
          <w:rFonts w:ascii="Bookman Old Style" w:hAnsi="Bookman Old Style"/>
          <w:sz w:val="24"/>
          <w:szCs w:val="24"/>
        </w:rPr>
        <w:t>2</w:t>
      </w:r>
      <w:r w:rsidRPr="00B23BB4">
        <w:rPr>
          <w:rFonts w:ascii="Bookman Old Style" w:hAnsi="Bookman Old Style"/>
          <w:sz w:val="24"/>
          <w:szCs w:val="24"/>
          <w:vertAlign w:val="superscript"/>
        </w:rPr>
        <w:t>nd</w:t>
      </w:r>
      <w:r w:rsidRPr="00B23BB4">
        <w:rPr>
          <w:rFonts w:ascii="Bookman Old Style" w:hAnsi="Bookman Old Style"/>
          <w:sz w:val="24"/>
          <w:szCs w:val="24"/>
        </w:rPr>
        <w:t xml:space="preserve"> Defendant </w:t>
      </w:r>
    </w:p>
    <w:p w:rsidR="00B23BB4" w:rsidRDefault="00B23BB4" w:rsidP="00B23BB4">
      <w:pPr>
        <w:pStyle w:val="ListParagraph"/>
        <w:numPr>
          <w:ilvl w:val="0"/>
          <w:numId w:val="12"/>
        </w:numPr>
        <w:spacing w:after="240"/>
        <w:rPr>
          <w:rFonts w:ascii="Bookman Old Style" w:hAnsi="Bookman Old Style"/>
          <w:b/>
          <w:sz w:val="24"/>
          <w:szCs w:val="24"/>
        </w:rPr>
      </w:pPr>
      <w:r>
        <w:rPr>
          <w:rFonts w:ascii="Bookman Old Style" w:hAnsi="Bookman Old Style"/>
          <w:b/>
          <w:sz w:val="24"/>
          <w:szCs w:val="24"/>
        </w:rPr>
        <w:t>SEYCHELLE</w:t>
      </w:r>
      <w:r w:rsidRPr="00B23BB4">
        <w:rPr>
          <w:rFonts w:ascii="Bookman Old Style" w:hAnsi="Bookman Old Style"/>
          <w:b/>
          <w:sz w:val="24"/>
          <w:szCs w:val="24"/>
        </w:rPr>
        <w:t>S LICENSING AUTHORITY OF VICTORIA, MAHE, SEYCHELLES</w:t>
      </w:r>
    </w:p>
    <w:p w:rsidR="00B23BB4" w:rsidRDefault="00B23BB4" w:rsidP="00B23BB4">
      <w:pPr>
        <w:pStyle w:val="ListParagraph"/>
        <w:spacing w:after="240"/>
        <w:ind w:left="3600"/>
        <w:rPr>
          <w:rFonts w:ascii="Bookman Old Style" w:hAnsi="Bookman Old Style"/>
          <w:sz w:val="24"/>
          <w:szCs w:val="24"/>
        </w:rPr>
      </w:pPr>
      <w:r w:rsidRPr="00B23BB4">
        <w:rPr>
          <w:rFonts w:ascii="Bookman Old Style" w:hAnsi="Bookman Old Style"/>
          <w:sz w:val="24"/>
          <w:szCs w:val="24"/>
        </w:rPr>
        <w:t>3</w:t>
      </w:r>
      <w:r w:rsidRPr="00B23BB4">
        <w:rPr>
          <w:rFonts w:ascii="Bookman Old Style" w:hAnsi="Bookman Old Style"/>
          <w:sz w:val="24"/>
          <w:szCs w:val="24"/>
          <w:vertAlign w:val="superscript"/>
        </w:rPr>
        <w:t>rd</w:t>
      </w:r>
      <w:r w:rsidRPr="00B23BB4">
        <w:rPr>
          <w:rFonts w:ascii="Bookman Old Style" w:hAnsi="Bookman Old Style"/>
          <w:sz w:val="24"/>
          <w:szCs w:val="24"/>
        </w:rPr>
        <w:t xml:space="preserve"> Defendant </w:t>
      </w:r>
    </w:p>
    <w:p w:rsidR="00B23BB4" w:rsidRPr="00B23BB4" w:rsidRDefault="00B23BB4" w:rsidP="00B23BB4">
      <w:pPr>
        <w:pStyle w:val="ListParagraph"/>
        <w:spacing w:after="240"/>
        <w:ind w:left="3600"/>
        <w:rPr>
          <w:rFonts w:ascii="Bookman Old Style" w:hAnsi="Bookman Old Style"/>
          <w:sz w:val="24"/>
          <w:szCs w:val="24"/>
        </w:rPr>
      </w:pPr>
    </w:p>
    <w:p w:rsidR="00B23BB4" w:rsidRDefault="00B23BB4" w:rsidP="006A792C">
      <w:pPr>
        <w:pStyle w:val="ListParagraph"/>
        <w:numPr>
          <w:ilvl w:val="0"/>
          <w:numId w:val="12"/>
        </w:numPr>
        <w:spacing w:after="240"/>
        <w:rPr>
          <w:rFonts w:ascii="Bookman Old Style" w:hAnsi="Bookman Old Style"/>
          <w:b/>
          <w:sz w:val="24"/>
          <w:szCs w:val="24"/>
        </w:rPr>
      </w:pPr>
      <w:r w:rsidRPr="00B23BB4">
        <w:rPr>
          <w:rFonts w:ascii="Bookman Old Style" w:hAnsi="Bookman Old Style"/>
          <w:b/>
          <w:sz w:val="24"/>
          <w:szCs w:val="24"/>
        </w:rPr>
        <w:t>REGISTRAR GENERAL OF INDEPENDENCE HOUSE, MAHE</w:t>
      </w:r>
    </w:p>
    <w:p w:rsidR="00B23BB4" w:rsidRPr="00B23BB4" w:rsidRDefault="00B23BB4" w:rsidP="00B23BB4">
      <w:pPr>
        <w:spacing w:after="240"/>
        <w:ind w:left="3600"/>
        <w:rPr>
          <w:rFonts w:ascii="Bookman Old Style" w:hAnsi="Bookman Old Style"/>
          <w:sz w:val="24"/>
          <w:szCs w:val="24"/>
        </w:rPr>
      </w:pPr>
      <w:r w:rsidRPr="00B23BB4">
        <w:rPr>
          <w:rFonts w:ascii="Bookman Old Style" w:hAnsi="Bookman Old Style"/>
          <w:sz w:val="24"/>
          <w:szCs w:val="24"/>
        </w:rPr>
        <w:t>4</w:t>
      </w:r>
      <w:r w:rsidRPr="00B23BB4">
        <w:rPr>
          <w:rFonts w:ascii="Bookman Old Style" w:hAnsi="Bookman Old Style"/>
          <w:sz w:val="24"/>
          <w:szCs w:val="24"/>
          <w:vertAlign w:val="superscript"/>
        </w:rPr>
        <w:t>th</w:t>
      </w:r>
      <w:r w:rsidRPr="00B23BB4">
        <w:rPr>
          <w:rFonts w:ascii="Bookman Old Style" w:hAnsi="Bookman Old Style"/>
          <w:sz w:val="24"/>
          <w:szCs w:val="24"/>
        </w:rPr>
        <w:t xml:space="preserve"> Defendant </w:t>
      </w:r>
    </w:p>
    <w:p w:rsidR="00B23BB4" w:rsidRPr="00B23BB4" w:rsidRDefault="00B23BB4" w:rsidP="00B23BB4">
      <w:pPr>
        <w:spacing w:after="240"/>
        <w:rPr>
          <w:rFonts w:ascii="Bookman Old Style" w:hAnsi="Bookman Old Style"/>
          <w:b/>
          <w:sz w:val="24"/>
          <w:szCs w:val="24"/>
        </w:rPr>
        <w:sectPr w:rsidR="00B23BB4" w:rsidRPr="00B23BB4" w:rsidSect="00EF2051">
          <w:type w:val="continuous"/>
          <w:pgSz w:w="12240" w:h="15840"/>
          <w:pgMar w:top="1440" w:right="1440" w:bottom="1440" w:left="1440" w:header="720" w:footer="720" w:gutter="0"/>
          <w:cols w:space="720"/>
          <w:docGrid w:linePitch="360"/>
        </w:sectPr>
      </w:pPr>
    </w:p>
    <w:p w:rsidR="00B119B1" w:rsidRPr="00720EA9" w:rsidRDefault="00B119B1" w:rsidP="00951EC0">
      <w:pPr>
        <w:jc w:val="center"/>
        <w:rPr>
          <w:rFonts w:ascii="Bookman Old Style" w:hAnsi="Bookman Old Style"/>
          <w:sz w:val="24"/>
          <w:szCs w:val="24"/>
        </w:rPr>
        <w:sectPr w:rsidR="00B119B1" w:rsidRPr="00720EA9" w:rsidSect="00EF2051">
          <w:type w:val="continuous"/>
          <w:pgSz w:w="12240" w:h="15840"/>
          <w:pgMar w:top="1440" w:right="1440" w:bottom="1440" w:left="1440" w:header="720" w:footer="720" w:gutter="0"/>
          <w:cols w:space="720"/>
          <w:formProt w:val="0"/>
          <w:docGrid w:linePitch="360"/>
        </w:sectPr>
      </w:pPr>
    </w:p>
    <w:p w:rsidR="00E0467F" w:rsidRPr="00720EA9" w:rsidRDefault="00E0467F" w:rsidP="00E57D4D">
      <w:pPr>
        <w:pBdr>
          <w:bottom w:val="single" w:sz="4" w:space="1" w:color="auto"/>
        </w:pBdr>
        <w:jc w:val="center"/>
        <w:rPr>
          <w:rFonts w:ascii="Bookman Old Style" w:hAnsi="Bookman Old Style"/>
          <w:sz w:val="24"/>
          <w:szCs w:val="24"/>
        </w:rPr>
      </w:pPr>
    </w:p>
    <w:p w:rsidR="00E0467F" w:rsidRPr="00720EA9" w:rsidRDefault="00E0467F" w:rsidP="00C22967">
      <w:pPr>
        <w:spacing w:before="240" w:after="120"/>
        <w:rPr>
          <w:rFonts w:ascii="Bookman Old Style" w:hAnsi="Bookman Old Style"/>
          <w:sz w:val="24"/>
          <w:szCs w:val="24"/>
        </w:rPr>
      </w:pPr>
      <w:r w:rsidRPr="00720EA9">
        <w:rPr>
          <w:rFonts w:ascii="Bookman Old Style" w:hAnsi="Bookman Old Style"/>
          <w:sz w:val="24"/>
          <w:szCs w:val="24"/>
        </w:rPr>
        <w:t>Hear</w:t>
      </w:r>
      <w:r w:rsidR="00E6492F" w:rsidRPr="00720EA9">
        <w:rPr>
          <w:rFonts w:ascii="Bookman Old Style" w:hAnsi="Bookman Old Style"/>
          <w:sz w:val="24"/>
          <w:szCs w:val="24"/>
        </w:rPr>
        <w:t>d</w:t>
      </w:r>
      <w:r w:rsidRPr="00720EA9">
        <w:rPr>
          <w:rFonts w:ascii="Bookman Old Style" w:hAnsi="Bookman Old Style"/>
          <w:sz w:val="24"/>
          <w:szCs w:val="24"/>
        </w:rPr>
        <w:t>:</w:t>
      </w:r>
      <w:r w:rsidR="00E6492F" w:rsidRPr="00720EA9">
        <w:rPr>
          <w:rFonts w:ascii="Bookman Old Style" w:hAnsi="Bookman Old Style"/>
          <w:sz w:val="24"/>
          <w:szCs w:val="24"/>
        </w:rPr>
        <w:tab/>
      </w:r>
      <w:r w:rsidRPr="00720EA9">
        <w:rPr>
          <w:rFonts w:ascii="Bookman Old Style" w:hAnsi="Bookman Old Style"/>
          <w:sz w:val="24"/>
          <w:szCs w:val="24"/>
        </w:rPr>
        <w:tab/>
      </w:r>
      <w:r w:rsidR="007A31D6">
        <w:rPr>
          <w:rFonts w:ascii="Bookman Old Style" w:hAnsi="Bookman Old Style"/>
          <w:sz w:val="24"/>
          <w:szCs w:val="24"/>
        </w:rPr>
        <w:t>3</w:t>
      </w:r>
      <w:r w:rsidR="007A31D6" w:rsidRPr="007A31D6">
        <w:rPr>
          <w:rFonts w:ascii="Bookman Old Style" w:hAnsi="Bookman Old Style"/>
          <w:sz w:val="24"/>
          <w:szCs w:val="24"/>
          <w:vertAlign w:val="superscript"/>
        </w:rPr>
        <w:t>rd</w:t>
      </w:r>
      <w:r w:rsidR="00B93CD0">
        <w:rPr>
          <w:rFonts w:ascii="Bookman Old Style" w:hAnsi="Bookman Old Style"/>
          <w:sz w:val="24"/>
          <w:szCs w:val="24"/>
          <w:vertAlign w:val="superscript"/>
        </w:rPr>
        <w:t xml:space="preserve"> </w:t>
      </w:r>
      <w:r w:rsidR="0096428F" w:rsidRPr="00720EA9">
        <w:rPr>
          <w:rFonts w:ascii="Bookman Old Style" w:hAnsi="Bookman Old Style"/>
          <w:sz w:val="24"/>
          <w:szCs w:val="24"/>
        </w:rPr>
        <w:t xml:space="preserve">day of </w:t>
      </w:r>
      <w:r w:rsidR="007A31D6">
        <w:rPr>
          <w:rFonts w:ascii="Bookman Old Style" w:hAnsi="Bookman Old Style"/>
          <w:sz w:val="24"/>
          <w:szCs w:val="24"/>
        </w:rPr>
        <w:t xml:space="preserve">February 2016. </w:t>
      </w:r>
    </w:p>
    <w:p w:rsidR="005F5FB0" w:rsidRPr="00720EA9" w:rsidRDefault="00E0467F" w:rsidP="009E05E5">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t>Counsel:</w:t>
      </w:r>
      <w:r w:rsidRPr="00720EA9">
        <w:rPr>
          <w:rFonts w:ascii="Bookman Old Style" w:hAnsi="Bookman Old Style"/>
          <w:sz w:val="24"/>
          <w:szCs w:val="24"/>
        </w:rPr>
        <w:tab/>
      </w:r>
      <w:r w:rsidRPr="00720EA9">
        <w:rPr>
          <w:rFonts w:ascii="Bookman Old Style" w:hAnsi="Bookman Old Style"/>
          <w:sz w:val="24"/>
          <w:szCs w:val="24"/>
        </w:rPr>
        <w:tab/>
      </w:r>
      <w:r w:rsidR="00564987">
        <w:rPr>
          <w:rFonts w:ascii="Bookman Old Style" w:hAnsi="Bookman Old Style"/>
          <w:sz w:val="24"/>
          <w:szCs w:val="24"/>
        </w:rPr>
        <w:t>Mr. C. Andre</w:t>
      </w:r>
      <w:r w:rsidR="006A792C">
        <w:rPr>
          <w:rFonts w:ascii="Bookman Old Style" w:hAnsi="Bookman Old Style"/>
          <w:sz w:val="24"/>
          <w:szCs w:val="24"/>
        </w:rPr>
        <w:t xml:space="preserve"> </w:t>
      </w:r>
      <w:r w:rsidR="00A645F2"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Appellant Lawyer full name"  \* MERGEFORMAT </w:instrText>
      </w:r>
      <w:r w:rsidR="00A645F2" w:rsidRPr="00720EA9">
        <w:rPr>
          <w:rFonts w:ascii="Bookman Old Style" w:hAnsi="Bookman Old Style"/>
          <w:sz w:val="24"/>
          <w:szCs w:val="24"/>
        </w:rPr>
        <w:fldChar w:fldCharType="end"/>
      </w:r>
      <w:r w:rsidR="00A645F2" w:rsidRPr="00720EA9">
        <w:rPr>
          <w:rFonts w:ascii="Bookman Old Style" w:hAnsi="Bookman Old Style"/>
          <w:sz w:val="24"/>
          <w:szCs w:val="24"/>
        </w:rPr>
        <w:fldChar w:fldCharType="begin"/>
      </w:r>
      <w:r w:rsidR="00A645F2" w:rsidRPr="00720EA9">
        <w:rPr>
          <w:rFonts w:ascii="Bookman Old Style" w:hAnsi="Bookman Old Style"/>
          <w:sz w:val="24"/>
          <w:szCs w:val="24"/>
        </w:rPr>
        <w:fldChar w:fldCharType="end"/>
      </w:r>
      <w:r w:rsidR="009E05E5" w:rsidRPr="00720EA9">
        <w:rPr>
          <w:rFonts w:ascii="Bookman Old Style" w:hAnsi="Bookman Old Style"/>
          <w:sz w:val="24"/>
          <w:szCs w:val="24"/>
        </w:rPr>
        <w:t xml:space="preserve">for </w:t>
      </w:r>
      <w:bookmarkStart w:id="6" w:name="Dropdown11"/>
      <w:r w:rsidR="006A792C">
        <w:rPr>
          <w:rFonts w:ascii="Bookman Old Style" w:hAnsi="Bookman Old Style"/>
          <w:sz w:val="24"/>
          <w:szCs w:val="24"/>
        </w:rPr>
        <w:t xml:space="preserve">the </w:t>
      </w:r>
      <w:r w:rsidR="00A645F2" w:rsidRPr="00720EA9">
        <w:rPr>
          <w:rFonts w:ascii="Bookman Old Style" w:hAnsi="Bookman Old Style"/>
          <w:sz w:val="24"/>
          <w:szCs w:val="24"/>
        </w:rPr>
        <w:fldChar w:fldCharType="begin">
          <w:ffData>
            <w:name w:val="Dropdown11"/>
            <w:enabled/>
            <w:calcOnExit w:val="0"/>
            <w:ddList>
              <w:listEntry w:val="plaintiff"/>
              <w:listEntry w:val="first plaintiff"/>
              <w:listEntry w:val="plaintiffs"/>
            </w:ddList>
          </w:ffData>
        </w:fldChar>
      </w:r>
      <w:r w:rsidR="00E07F07" w:rsidRPr="00720EA9">
        <w:rPr>
          <w:rFonts w:ascii="Bookman Old Style" w:hAnsi="Bookman Old Style"/>
          <w:sz w:val="24"/>
          <w:szCs w:val="24"/>
        </w:rPr>
        <w:instrText xml:space="preserve"> FORMDROPDOWN </w:instrText>
      </w:r>
      <w:r w:rsidR="00A645F2" w:rsidRPr="00720EA9">
        <w:rPr>
          <w:rFonts w:ascii="Bookman Old Style" w:hAnsi="Bookman Old Style"/>
          <w:sz w:val="24"/>
          <w:szCs w:val="24"/>
        </w:rPr>
      </w:r>
      <w:r w:rsidR="00A645F2" w:rsidRPr="00720EA9">
        <w:rPr>
          <w:rFonts w:ascii="Bookman Old Style" w:hAnsi="Bookman Old Style"/>
          <w:sz w:val="24"/>
          <w:szCs w:val="24"/>
        </w:rPr>
        <w:fldChar w:fldCharType="end"/>
      </w:r>
      <w:bookmarkEnd w:id="6"/>
    </w:p>
    <w:p w:rsidR="005F5FB0" w:rsidRPr="00720EA9" w:rsidRDefault="005F5FB0" w:rsidP="009E05E5">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A645F2" w:rsidRPr="00720EA9">
        <w:rPr>
          <w:rFonts w:ascii="Bookman Old Style" w:hAnsi="Bookman Old Style"/>
          <w:sz w:val="24"/>
          <w:szCs w:val="24"/>
        </w:rPr>
        <w:fldChar w:fldCharType="begin">
          <w:ffData>
            <w:name w:val="Text36"/>
            <w:enabled/>
            <w:calcOnExit w:val="0"/>
            <w:textInput/>
          </w:ffData>
        </w:fldChar>
      </w:r>
      <w:bookmarkStart w:id="7" w:name="Text36"/>
      <w:r w:rsidRPr="00720EA9">
        <w:rPr>
          <w:rFonts w:ascii="Bookman Old Style" w:hAnsi="Bookman Old Style"/>
          <w:sz w:val="24"/>
          <w:szCs w:val="24"/>
        </w:rPr>
        <w:instrText xml:space="preserve"> FORMTEXT </w:instrText>
      </w:r>
      <w:r w:rsidR="00A645F2" w:rsidRPr="00720EA9">
        <w:rPr>
          <w:rFonts w:ascii="Bookman Old Style" w:hAnsi="Bookman Old Style"/>
          <w:sz w:val="24"/>
          <w:szCs w:val="24"/>
        </w:rPr>
      </w:r>
      <w:r w:rsidR="00A645F2" w:rsidRPr="00720EA9">
        <w:rPr>
          <w:rFonts w:ascii="Bookman Old Style" w:hAnsi="Bookman Old Style"/>
          <w:sz w:val="24"/>
          <w:szCs w:val="24"/>
        </w:rPr>
        <w:fldChar w:fldCharType="separate"/>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00A645F2" w:rsidRPr="00720EA9">
        <w:rPr>
          <w:rFonts w:ascii="Bookman Old Style" w:hAnsi="Bookman Old Style"/>
          <w:sz w:val="24"/>
          <w:szCs w:val="24"/>
        </w:rPr>
        <w:fldChar w:fldCharType="end"/>
      </w:r>
      <w:bookmarkEnd w:id="7"/>
    </w:p>
    <w:p w:rsidR="005F5FB0" w:rsidRDefault="009E05E5" w:rsidP="00A53837">
      <w:pPr>
        <w:rPr>
          <w:rFonts w:ascii="Bookman Old Style" w:hAnsi="Bookman Old Style"/>
          <w:sz w:val="24"/>
          <w:szCs w:val="24"/>
        </w:r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96428F" w:rsidRPr="00720EA9">
        <w:rPr>
          <w:rFonts w:ascii="Bookman Old Style" w:hAnsi="Bookman Old Style"/>
          <w:sz w:val="24"/>
          <w:szCs w:val="24"/>
        </w:rPr>
        <w:t xml:space="preserve">Mr. </w:t>
      </w:r>
      <w:r w:rsidR="00564987">
        <w:rPr>
          <w:rFonts w:ascii="Bookman Old Style" w:hAnsi="Bookman Old Style"/>
          <w:sz w:val="24"/>
          <w:szCs w:val="24"/>
        </w:rPr>
        <w:t xml:space="preserve">F. Elizabeth </w:t>
      </w:r>
      <w:r w:rsidR="00A645F2"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Respondent Lawyer Full Name"  \* MERGEFORMAT </w:instrText>
      </w:r>
      <w:r w:rsidR="00A645F2" w:rsidRPr="00720EA9">
        <w:rPr>
          <w:rFonts w:ascii="Bookman Old Style" w:hAnsi="Bookman Old Style"/>
          <w:sz w:val="24"/>
          <w:szCs w:val="24"/>
        </w:rPr>
        <w:fldChar w:fldCharType="end"/>
      </w:r>
      <w:r w:rsidR="00A645F2" w:rsidRPr="00720EA9">
        <w:rPr>
          <w:rFonts w:ascii="Bookman Old Style" w:hAnsi="Bookman Old Style"/>
          <w:sz w:val="24"/>
          <w:szCs w:val="24"/>
        </w:rPr>
        <w:fldChar w:fldCharType="begin"/>
      </w:r>
      <w:r w:rsidR="00A645F2" w:rsidRPr="00720EA9">
        <w:rPr>
          <w:rFonts w:ascii="Bookman Old Style" w:hAnsi="Bookman Old Style"/>
          <w:sz w:val="24"/>
          <w:szCs w:val="24"/>
        </w:rPr>
        <w:fldChar w:fldCharType="end"/>
      </w:r>
      <w:r w:rsidRPr="00720EA9">
        <w:rPr>
          <w:rFonts w:ascii="Bookman Old Style" w:hAnsi="Bookman Old Style"/>
          <w:sz w:val="24"/>
          <w:szCs w:val="24"/>
        </w:rPr>
        <w:t xml:space="preserve">for </w:t>
      </w:r>
      <w:bookmarkStart w:id="8" w:name="Dropdown12"/>
      <w:r w:rsidR="00564987">
        <w:rPr>
          <w:rFonts w:ascii="Bookman Old Style" w:hAnsi="Bookman Old Style"/>
          <w:sz w:val="24"/>
          <w:szCs w:val="24"/>
        </w:rPr>
        <w:t>the 1</w:t>
      </w:r>
      <w:r w:rsidR="00564987" w:rsidRPr="00564987">
        <w:rPr>
          <w:rFonts w:ascii="Bookman Old Style" w:hAnsi="Bookman Old Style"/>
          <w:sz w:val="24"/>
          <w:szCs w:val="24"/>
          <w:vertAlign w:val="superscript"/>
        </w:rPr>
        <w:t>st</w:t>
      </w:r>
      <w:r w:rsidR="006A792C">
        <w:rPr>
          <w:rFonts w:ascii="Bookman Old Style" w:hAnsi="Bookman Old Style"/>
          <w:sz w:val="24"/>
          <w:szCs w:val="24"/>
          <w:vertAlign w:val="superscript"/>
        </w:rPr>
        <w:t xml:space="preserve"> </w:t>
      </w:r>
      <w:r w:rsidR="00A645F2" w:rsidRPr="00720EA9">
        <w:rPr>
          <w:rFonts w:ascii="Bookman Old Style" w:hAnsi="Bookman Old Style"/>
          <w:sz w:val="24"/>
          <w:szCs w:val="24"/>
        </w:rPr>
        <w:fldChar w:fldCharType="begin">
          <w:ffData>
            <w:name w:val="Dropdown12"/>
            <w:enabled/>
            <w:calcOnExit w:val="0"/>
            <w:ddList>
              <w:listEntry w:val="defendant"/>
              <w:listEntry w:val="first defendant"/>
              <w:listEntry w:val="defendants"/>
            </w:ddList>
          </w:ffData>
        </w:fldChar>
      </w:r>
      <w:r w:rsidR="00E07F07" w:rsidRPr="00720EA9">
        <w:rPr>
          <w:rFonts w:ascii="Bookman Old Style" w:hAnsi="Bookman Old Style"/>
          <w:sz w:val="24"/>
          <w:szCs w:val="24"/>
        </w:rPr>
        <w:instrText xml:space="preserve"> FORMDROPDOWN </w:instrText>
      </w:r>
      <w:r w:rsidR="00A645F2" w:rsidRPr="00720EA9">
        <w:rPr>
          <w:rFonts w:ascii="Bookman Old Style" w:hAnsi="Bookman Old Style"/>
          <w:sz w:val="24"/>
          <w:szCs w:val="24"/>
        </w:rPr>
      </w:r>
      <w:r w:rsidR="00A645F2" w:rsidRPr="00720EA9">
        <w:rPr>
          <w:rFonts w:ascii="Bookman Old Style" w:hAnsi="Bookman Old Style"/>
          <w:sz w:val="24"/>
          <w:szCs w:val="24"/>
        </w:rPr>
        <w:fldChar w:fldCharType="end"/>
      </w:r>
      <w:bookmarkEnd w:id="8"/>
    </w:p>
    <w:p w:rsidR="00564987" w:rsidRPr="00720EA9" w:rsidRDefault="00564987" w:rsidP="00A53837">
      <w:pPr>
        <w:rPr>
          <w:rFonts w:ascii="Bookman Old Style" w:hAnsi="Bookman Old Style"/>
          <w:sz w:val="24"/>
          <w:szCs w:val="24"/>
        </w:rPr>
        <w:sectPr w:rsidR="00564987" w:rsidRPr="00720EA9" w:rsidSect="00EF2051">
          <w:type w:val="continuous"/>
          <w:pgSz w:w="12240" w:h="15840"/>
          <w:pgMar w:top="1440" w:right="1440" w:bottom="1440" w:left="1440" w:header="720" w:footer="720" w:gutter="0"/>
          <w:cols w:space="720"/>
          <w:docGrid w:linePitch="360"/>
        </w:sect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Mrs. </w:t>
      </w:r>
      <w:proofErr w:type="spellStart"/>
      <w:r>
        <w:rPr>
          <w:rFonts w:ascii="Bookman Old Style" w:hAnsi="Bookman Old Style"/>
          <w:sz w:val="24"/>
          <w:szCs w:val="24"/>
        </w:rPr>
        <w:t>Burian</w:t>
      </w:r>
      <w:proofErr w:type="spellEnd"/>
      <w:r>
        <w:rPr>
          <w:rFonts w:ascii="Bookman Old Style" w:hAnsi="Bookman Old Style"/>
          <w:sz w:val="24"/>
          <w:szCs w:val="24"/>
        </w:rPr>
        <w:t xml:space="preserve"> for the 2</w:t>
      </w:r>
      <w:r w:rsidRPr="00564987">
        <w:rPr>
          <w:rFonts w:ascii="Bookman Old Style" w:hAnsi="Bookman Old Style"/>
          <w:sz w:val="24"/>
          <w:szCs w:val="24"/>
          <w:vertAlign w:val="superscript"/>
        </w:rPr>
        <w:t>nd</w:t>
      </w:r>
      <w:r w:rsidR="006A792C">
        <w:rPr>
          <w:rFonts w:ascii="Bookman Old Style" w:hAnsi="Bookman Old Style"/>
          <w:sz w:val="24"/>
          <w:szCs w:val="24"/>
        </w:rPr>
        <w:t xml:space="preserve"> D</w:t>
      </w:r>
      <w:r>
        <w:rPr>
          <w:rFonts w:ascii="Bookman Old Style" w:hAnsi="Bookman Old Style"/>
          <w:sz w:val="24"/>
          <w:szCs w:val="24"/>
        </w:rPr>
        <w:t xml:space="preserve">efendant </w:t>
      </w:r>
    </w:p>
    <w:p w:rsidR="005F5FB0" w:rsidRPr="00720EA9" w:rsidRDefault="00564987" w:rsidP="00A53837">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Pr>
          <w:rFonts w:ascii="Bookman Old Style" w:hAnsi="Bookman Old Style"/>
          <w:sz w:val="24"/>
          <w:szCs w:val="24"/>
        </w:rPr>
        <w:lastRenderedPageBreak/>
        <w:tab/>
      </w:r>
      <w:r>
        <w:rPr>
          <w:rFonts w:ascii="Bookman Old Style" w:hAnsi="Bookman Old Style"/>
          <w:sz w:val="24"/>
          <w:szCs w:val="24"/>
        </w:rPr>
        <w:tab/>
      </w:r>
      <w:r>
        <w:rPr>
          <w:rFonts w:ascii="Bookman Old Style" w:hAnsi="Bookman Old Style"/>
          <w:sz w:val="24"/>
          <w:szCs w:val="24"/>
        </w:rPr>
        <w:tab/>
        <w:t xml:space="preserve">Mr. </w:t>
      </w:r>
      <w:proofErr w:type="spellStart"/>
      <w:r>
        <w:rPr>
          <w:rFonts w:ascii="Bookman Old Style" w:hAnsi="Bookman Old Style"/>
          <w:sz w:val="24"/>
          <w:szCs w:val="24"/>
        </w:rPr>
        <w:t>Esparon</w:t>
      </w:r>
      <w:proofErr w:type="spellEnd"/>
      <w:r>
        <w:rPr>
          <w:rFonts w:ascii="Bookman Old Style" w:hAnsi="Bookman Old Style"/>
          <w:sz w:val="24"/>
          <w:szCs w:val="24"/>
        </w:rPr>
        <w:t xml:space="preserve"> for the 3</w:t>
      </w:r>
      <w:r w:rsidRPr="00564987">
        <w:rPr>
          <w:rFonts w:ascii="Bookman Old Style" w:hAnsi="Bookman Old Style"/>
          <w:sz w:val="24"/>
          <w:szCs w:val="24"/>
          <w:vertAlign w:val="superscript"/>
        </w:rPr>
        <w:t>rd</w:t>
      </w:r>
      <w:r>
        <w:rPr>
          <w:rFonts w:ascii="Bookman Old Style" w:hAnsi="Bookman Old Style"/>
          <w:sz w:val="24"/>
          <w:szCs w:val="24"/>
        </w:rPr>
        <w:t xml:space="preserve"> and 4</w:t>
      </w:r>
      <w:r w:rsidRPr="00564987">
        <w:rPr>
          <w:rFonts w:ascii="Bookman Old Style" w:hAnsi="Bookman Old Style"/>
          <w:sz w:val="24"/>
          <w:szCs w:val="24"/>
          <w:vertAlign w:val="superscript"/>
        </w:rPr>
        <w:t>th</w:t>
      </w:r>
      <w:r w:rsidR="006A792C">
        <w:rPr>
          <w:rFonts w:ascii="Bookman Old Style" w:hAnsi="Bookman Old Style"/>
          <w:sz w:val="24"/>
          <w:szCs w:val="24"/>
        </w:rPr>
        <w:t xml:space="preserve"> D</w:t>
      </w:r>
      <w:r>
        <w:rPr>
          <w:rFonts w:ascii="Bookman Old Style" w:hAnsi="Bookman Old Style"/>
          <w:sz w:val="24"/>
          <w:szCs w:val="24"/>
        </w:rPr>
        <w:t xml:space="preserve">efendants </w:t>
      </w:r>
      <w:r w:rsidR="005F5FB0" w:rsidRPr="00720EA9">
        <w:rPr>
          <w:rFonts w:ascii="Bookman Old Style" w:hAnsi="Bookman Old Style"/>
          <w:sz w:val="24"/>
          <w:szCs w:val="24"/>
        </w:rPr>
        <w:tab/>
      </w:r>
      <w:r w:rsidR="005F5FB0" w:rsidRPr="00720EA9">
        <w:rPr>
          <w:rFonts w:ascii="Bookman Old Style" w:hAnsi="Bookman Old Style"/>
          <w:sz w:val="24"/>
          <w:szCs w:val="24"/>
        </w:rPr>
        <w:tab/>
      </w:r>
      <w:r w:rsidR="005F5FB0" w:rsidRPr="00720EA9">
        <w:rPr>
          <w:rFonts w:ascii="Bookman Old Style" w:hAnsi="Bookman Old Style"/>
          <w:sz w:val="24"/>
          <w:szCs w:val="24"/>
        </w:rPr>
        <w:tab/>
      </w:r>
      <w:r w:rsidR="00A645F2" w:rsidRPr="00720EA9">
        <w:rPr>
          <w:rFonts w:ascii="Bookman Old Style" w:hAnsi="Bookman Old Style"/>
          <w:sz w:val="24"/>
          <w:szCs w:val="24"/>
        </w:rPr>
        <w:fldChar w:fldCharType="begin">
          <w:ffData>
            <w:name w:val="Text37"/>
            <w:enabled/>
            <w:calcOnExit w:val="0"/>
            <w:textInput/>
          </w:ffData>
        </w:fldChar>
      </w:r>
      <w:bookmarkStart w:id="9" w:name="Text37"/>
      <w:r w:rsidR="005F5FB0" w:rsidRPr="00720EA9">
        <w:rPr>
          <w:rFonts w:ascii="Bookman Old Style" w:hAnsi="Bookman Old Style"/>
          <w:sz w:val="24"/>
          <w:szCs w:val="24"/>
        </w:rPr>
        <w:instrText xml:space="preserve"> FORMTEXT </w:instrText>
      </w:r>
      <w:r w:rsidR="00A645F2" w:rsidRPr="00720EA9">
        <w:rPr>
          <w:rFonts w:ascii="Bookman Old Style" w:hAnsi="Bookman Old Style"/>
          <w:sz w:val="24"/>
          <w:szCs w:val="24"/>
        </w:rPr>
      </w:r>
      <w:r w:rsidR="00A645F2" w:rsidRPr="00720EA9">
        <w:rPr>
          <w:rFonts w:ascii="Bookman Old Style" w:hAnsi="Bookman Old Style"/>
          <w:sz w:val="24"/>
          <w:szCs w:val="24"/>
        </w:rPr>
        <w:fldChar w:fldCharType="separate"/>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A645F2" w:rsidRPr="00720EA9">
        <w:rPr>
          <w:rFonts w:ascii="Bookman Old Style" w:hAnsi="Bookman Old Style"/>
          <w:sz w:val="24"/>
          <w:szCs w:val="24"/>
        </w:rPr>
        <w:fldChar w:fldCharType="end"/>
      </w:r>
      <w:bookmarkEnd w:id="9"/>
    </w:p>
    <w:p w:rsidR="00E6492F" w:rsidRPr="00720EA9" w:rsidRDefault="00E6492F" w:rsidP="006578C2">
      <w:pPr>
        <w:spacing w:before="120" w:after="240"/>
        <w:rPr>
          <w:rFonts w:ascii="Bookman Old Style" w:hAnsi="Bookman Old Style"/>
          <w:b/>
          <w:sz w:val="24"/>
          <w:szCs w:val="24"/>
        </w:rPr>
      </w:pPr>
      <w:r w:rsidRPr="00720EA9">
        <w:rPr>
          <w:rFonts w:ascii="Bookman Old Style" w:hAnsi="Bookman Old Style"/>
          <w:sz w:val="24"/>
          <w:szCs w:val="24"/>
        </w:rPr>
        <w:lastRenderedPageBreak/>
        <w:t>Delivered</w:t>
      </w:r>
      <w:r w:rsidR="00E0467F" w:rsidRPr="00720EA9">
        <w:rPr>
          <w:rFonts w:ascii="Bookman Old Style" w:hAnsi="Bookman Old Style"/>
          <w:sz w:val="24"/>
          <w:szCs w:val="24"/>
        </w:rPr>
        <w:t>:</w:t>
      </w:r>
      <w:r w:rsidR="00E0467F" w:rsidRPr="00720EA9">
        <w:rPr>
          <w:rFonts w:ascii="Bookman Old Style" w:hAnsi="Bookman Old Style"/>
          <w:sz w:val="24"/>
          <w:szCs w:val="24"/>
        </w:rPr>
        <w:tab/>
      </w:r>
      <w:r w:rsidR="00E0467F" w:rsidRPr="00720EA9">
        <w:rPr>
          <w:rFonts w:ascii="Bookman Old Style" w:hAnsi="Bookman Old Style"/>
          <w:sz w:val="24"/>
          <w:szCs w:val="24"/>
        </w:rPr>
        <w:tab/>
      </w:r>
      <w:r w:rsidR="00B93CD0">
        <w:rPr>
          <w:rFonts w:ascii="Bookman Old Style" w:hAnsi="Bookman Old Style"/>
          <w:sz w:val="24"/>
          <w:szCs w:val="24"/>
        </w:rPr>
        <w:t>5</w:t>
      </w:r>
      <w:r w:rsidR="00B93CD0" w:rsidRPr="00B93CD0">
        <w:rPr>
          <w:rFonts w:ascii="Bookman Old Style" w:hAnsi="Bookman Old Style"/>
          <w:sz w:val="24"/>
          <w:szCs w:val="24"/>
          <w:vertAlign w:val="superscript"/>
        </w:rPr>
        <w:t>th</w:t>
      </w:r>
      <w:r w:rsidR="00B93CD0">
        <w:rPr>
          <w:rFonts w:ascii="Bookman Old Style" w:hAnsi="Bookman Old Style"/>
          <w:sz w:val="24"/>
          <w:szCs w:val="24"/>
        </w:rPr>
        <w:t xml:space="preserve"> </w:t>
      </w:r>
      <w:r w:rsidR="006A792C">
        <w:rPr>
          <w:rFonts w:ascii="Bookman Old Style" w:hAnsi="Bookman Old Style"/>
          <w:sz w:val="24"/>
          <w:szCs w:val="24"/>
          <w:vertAlign w:val="superscript"/>
        </w:rPr>
        <w:t xml:space="preserve"> </w:t>
      </w:r>
      <w:r w:rsidR="00720EA9">
        <w:rPr>
          <w:rFonts w:ascii="Bookman Old Style" w:hAnsi="Bookman Old Style"/>
          <w:sz w:val="24"/>
          <w:szCs w:val="24"/>
        </w:rPr>
        <w:t xml:space="preserve">day of </w:t>
      </w:r>
      <w:r w:rsidR="00B93CD0">
        <w:rPr>
          <w:rFonts w:ascii="Bookman Old Style" w:hAnsi="Bookman Old Style"/>
          <w:sz w:val="24"/>
          <w:szCs w:val="24"/>
        </w:rPr>
        <w:t xml:space="preserve">April </w:t>
      </w:r>
      <w:r w:rsidR="00725C5E">
        <w:rPr>
          <w:rFonts w:ascii="Bookman Old Style" w:hAnsi="Bookman Old Style"/>
          <w:sz w:val="24"/>
          <w:szCs w:val="24"/>
        </w:rPr>
        <w:t xml:space="preserve"> 2016</w:t>
      </w:r>
    </w:p>
    <w:p w:rsidR="00D06A0F" w:rsidRPr="00720EA9"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10" w:name="Dropdown2"/>
    </w:p>
    <w:bookmarkStart w:id="11" w:name="Dropdown8"/>
    <w:bookmarkEnd w:id="10"/>
    <w:p w:rsidR="00C87FCA" w:rsidRPr="00720EA9" w:rsidRDefault="00A645F2" w:rsidP="00C87FCA">
      <w:pPr>
        <w:pBdr>
          <w:top w:val="dotted" w:sz="4" w:space="1" w:color="auto"/>
          <w:bottom w:val="dotted" w:sz="4" w:space="1" w:color="auto"/>
        </w:pBdr>
        <w:jc w:val="center"/>
        <w:rPr>
          <w:rFonts w:ascii="Bookman Old Style" w:hAnsi="Bookman Old Style"/>
          <w:b/>
          <w:sz w:val="24"/>
          <w:szCs w:val="24"/>
        </w:rPr>
      </w:pPr>
      <w:r w:rsidRPr="00720EA9">
        <w:rPr>
          <w:rFonts w:ascii="Bookman Old Style" w:hAnsi="Bookman Old Style"/>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1"/>
    </w:p>
    <w:p w:rsidR="001008BC" w:rsidRPr="00720EA9"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720EA9"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720EA9" w:rsidRDefault="00A645F2"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2" w:name="Dropdown9"/>
      <w:r w:rsidR="001439BF"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2"/>
    </w:p>
    <w:p w:rsidR="001008BC" w:rsidRPr="00720EA9"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720EA9" w:rsidSect="00EF2051">
          <w:type w:val="continuous"/>
          <w:pgSz w:w="12240" w:h="15840"/>
          <w:pgMar w:top="1440" w:right="1440" w:bottom="1440" w:left="1440" w:header="720" w:footer="720" w:gutter="0"/>
          <w:cols w:space="720"/>
          <w:docGrid w:linePitch="360"/>
        </w:sectPr>
      </w:pPr>
    </w:p>
    <w:p w:rsidR="005248A7" w:rsidRPr="00720EA9" w:rsidRDefault="005248A7" w:rsidP="00B23BB4">
      <w:pPr>
        <w:pStyle w:val="JudgmentText"/>
        <w:numPr>
          <w:ilvl w:val="0"/>
          <w:numId w:val="11"/>
        </w:numPr>
        <w:rPr>
          <w:rFonts w:ascii="Bookman Old Style" w:hAnsi="Bookman Old Style"/>
        </w:rPr>
      </w:pPr>
      <w:r w:rsidRPr="00720EA9">
        <w:rPr>
          <w:rFonts w:ascii="Bookman Old Style" w:hAnsi="Bookman Old Style"/>
        </w:rPr>
        <w:lastRenderedPageBreak/>
        <w:t xml:space="preserve">The </w:t>
      </w:r>
      <w:r w:rsidR="00725C5E">
        <w:rPr>
          <w:rFonts w:ascii="Bookman Old Style" w:hAnsi="Bookman Old Style"/>
        </w:rPr>
        <w:t>3</w:t>
      </w:r>
      <w:r w:rsidR="00725C5E" w:rsidRPr="00725C5E">
        <w:rPr>
          <w:rFonts w:ascii="Bookman Old Style" w:hAnsi="Bookman Old Style"/>
          <w:vertAlign w:val="superscript"/>
        </w:rPr>
        <w:t>rd</w:t>
      </w:r>
      <w:r w:rsidR="00725C5E">
        <w:rPr>
          <w:rFonts w:ascii="Bookman Old Style" w:hAnsi="Bookman Old Style"/>
        </w:rPr>
        <w:t xml:space="preserve"> and 4</w:t>
      </w:r>
      <w:r w:rsidR="00725C5E" w:rsidRPr="00725C5E">
        <w:rPr>
          <w:rFonts w:ascii="Bookman Old Style" w:hAnsi="Bookman Old Style"/>
          <w:vertAlign w:val="superscript"/>
        </w:rPr>
        <w:t>th</w:t>
      </w:r>
      <w:r w:rsidR="00725C5E">
        <w:rPr>
          <w:rFonts w:ascii="Bookman Old Style" w:hAnsi="Bookman Old Style"/>
        </w:rPr>
        <w:t xml:space="preserve"> Defendants </w:t>
      </w:r>
      <w:r w:rsidR="00087F58">
        <w:rPr>
          <w:rFonts w:ascii="Bookman Old Style" w:hAnsi="Bookman Old Style"/>
        </w:rPr>
        <w:t>in this case have</w:t>
      </w:r>
      <w:r w:rsidRPr="00720EA9">
        <w:rPr>
          <w:rFonts w:ascii="Bookman Old Style" w:hAnsi="Bookman Old Style"/>
        </w:rPr>
        <w:t xml:space="preserve"> raised a</w:t>
      </w:r>
      <w:r w:rsidR="00725C5E">
        <w:rPr>
          <w:rFonts w:ascii="Bookman Old Style" w:hAnsi="Bookman Old Style"/>
        </w:rPr>
        <w:t xml:space="preserve"> two-fold</w:t>
      </w:r>
      <w:r w:rsidRPr="00720EA9">
        <w:rPr>
          <w:rFonts w:ascii="Bookman Old Style" w:hAnsi="Bookman Old Style"/>
        </w:rPr>
        <w:t xml:space="preserve"> “plea in </w:t>
      </w:r>
      <w:proofErr w:type="spellStart"/>
      <w:r w:rsidRPr="006A792C">
        <w:rPr>
          <w:rFonts w:ascii="Bookman Old Style" w:hAnsi="Bookman Old Style"/>
          <w:i/>
        </w:rPr>
        <w:t>limine</w:t>
      </w:r>
      <w:proofErr w:type="spellEnd"/>
      <w:r w:rsidR="006A792C" w:rsidRPr="006A792C">
        <w:rPr>
          <w:rFonts w:ascii="Bookman Old Style" w:hAnsi="Bookman Old Style"/>
          <w:i/>
        </w:rPr>
        <w:t xml:space="preserve"> </w:t>
      </w:r>
      <w:proofErr w:type="spellStart"/>
      <w:r w:rsidRPr="006A792C">
        <w:rPr>
          <w:rFonts w:ascii="Bookman Old Style" w:hAnsi="Bookman Old Style"/>
          <w:i/>
        </w:rPr>
        <w:t>litis</w:t>
      </w:r>
      <w:proofErr w:type="spellEnd"/>
      <w:r w:rsidRPr="00720EA9">
        <w:rPr>
          <w:rFonts w:ascii="Bookman Old Style" w:hAnsi="Bookman Old Style"/>
        </w:rPr>
        <w:t>” dated</w:t>
      </w:r>
      <w:r w:rsidR="00725C5E">
        <w:rPr>
          <w:rFonts w:ascii="Bookman Old Style" w:hAnsi="Bookman Old Style"/>
        </w:rPr>
        <w:t xml:space="preserve"> the 24</w:t>
      </w:r>
      <w:r w:rsidR="00725C5E" w:rsidRPr="00725C5E">
        <w:rPr>
          <w:rFonts w:ascii="Bookman Old Style" w:hAnsi="Bookman Old Style"/>
          <w:vertAlign w:val="superscript"/>
        </w:rPr>
        <w:t>th</w:t>
      </w:r>
      <w:r w:rsidR="006A792C">
        <w:rPr>
          <w:rFonts w:ascii="Bookman Old Style" w:hAnsi="Bookman Old Style"/>
          <w:vertAlign w:val="superscript"/>
        </w:rPr>
        <w:t xml:space="preserve"> </w:t>
      </w:r>
      <w:r w:rsidR="00CF4041" w:rsidRPr="00720EA9">
        <w:rPr>
          <w:rFonts w:ascii="Bookman Old Style" w:hAnsi="Bookman Old Style"/>
        </w:rPr>
        <w:t xml:space="preserve">day of June 2015 </w:t>
      </w:r>
      <w:r w:rsidRPr="00720EA9">
        <w:rPr>
          <w:rFonts w:ascii="Bookman Old Style" w:hAnsi="Bookman Old Style"/>
        </w:rPr>
        <w:t>to the following effect:</w:t>
      </w:r>
    </w:p>
    <w:p w:rsidR="00725C5E" w:rsidRPr="00720EA9" w:rsidRDefault="00725C5E" w:rsidP="00725C5E">
      <w:pPr>
        <w:pStyle w:val="JudgmentText"/>
        <w:numPr>
          <w:ilvl w:val="3"/>
          <w:numId w:val="6"/>
        </w:numPr>
        <w:rPr>
          <w:rFonts w:ascii="Bookman Old Style" w:hAnsi="Bookman Old Style"/>
          <w:i/>
        </w:rPr>
      </w:pPr>
      <w:r>
        <w:rPr>
          <w:rFonts w:ascii="Bookman Old Style" w:hAnsi="Bookman Old Style"/>
          <w:i/>
        </w:rPr>
        <w:t xml:space="preserve">Firstly, that </w:t>
      </w:r>
      <w:r w:rsidR="006A792C">
        <w:rPr>
          <w:rFonts w:ascii="Bookman Old Style" w:hAnsi="Bookman Old Style"/>
          <w:i/>
        </w:rPr>
        <w:t>the P</w:t>
      </w:r>
      <w:r w:rsidR="00720EA9" w:rsidRPr="00720EA9">
        <w:rPr>
          <w:rFonts w:ascii="Bookman Old Style" w:hAnsi="Bookman Old Style"/>
          <w:i/>
        </w:rPr>
        <w:t xml:space="preserve">laint </w:t>
      </w:r>
      <w:r w:rsidRPr="00720EA9">
        <w:rPr>
          <w:rFonts w:ascii="Bookman Old Style" w:hAnsi="Bookman Old Style"/>
          <w:i/>
        </w:rPr>
        <w:t xml:space="preserve">does not disclose a reasonable cause of action against the </w:t>
      </w:r>
      <w:r>
        <w:rPr>
          <w:rFonts w:ascii="Bookman Old Style" w:hAnsi="Bookman Old Style"/>
          <w:i/>
        </w:rPr>
        <w:t>3</w:t>
      </w:r>
      <w:r w:rsidRPr="00725C5E">
        <w:rPr>
          <w:rFonts w:ascii="Bookman Old Style" w:hAnsi="Bookman Old Style"/>
          <w:i/>
          <w:vertAlign w:val="superscript"/>
        </w:rPr>
        <w:t>rd</w:t>
      </w:r>
      <w:r w:rsidR="006A792C">
        <w:rPr>
          <w:rFonts w:ascii="Bookman Old Style" w:hAnsi="Bookman Old Style"/>
          <w:i/>
        </w:rPr>
        <w:t xml:space="preserve"> D</w:t>
      </w:r>
      <w:r>
        <w:rPr>
          <w:rFonts w:ascii="Bookman Old Style" w:hAnsi="Bookman Old Style"/>
          <w:i/>
        </w:rPr>
        <w:t>efendant</w:t>
      </w:r>
      <w:r w:rsidR="006A792C">
        <w:rPr>
          <w:rFonts w:ascii="Bookman Old Style" w:hAnsi="Bookman Old Style"/>
          <w:i/>
        </w:rPr>
        <w:t xml:space="preserve"> </w:t>
      </w:r>
      <w:r>
        <w:rPr>
          <w:rFonts w:ascii="Bookman Old Style" w:hAnsi="Bookman Old Style"/>
          <w:i/>
        </w:rPr>
        <w:t>and the 4</w:t>
      </w:r>
      <w:r w:rsidRPr="00725C5E">
        <w:rPr>
          <w:rFonts w:ascii="Bookman Old Style" w:hAnsi="Bookman Old Style"/>
          <w:i/>
          <w:vertAlign w:val="superscript"/>
        </w:rPr>
        <w:t>th</w:t>
      </w:r>
      <w:r w:rsidR="006A792C">
        <w:rPr>
          <w:rFonts w:ascii="Bookman Old Style" w:hAnsi="Bookman Old Style"/>
          <w:i/>
        </w:rPr>
        <w:t xml:space="preserve"> D</w:t>
      </w:r>
      <w:r>
        <w:rPr>
          <w:rFonts w:ascii="Bookman Old Style" w:hAnsi="Bookman Old Style"/>
          <w:i/>
        </w:rPr>
        <w:t>efendant</w:t>
      </w:r>
      <w:r w:rsidRPr="00720EA9">
        <w:rPr>
          <w:rFonts w:ascii="Bookman Old Style" w:hAnsi="Bookman Old Style"/>
          <w:i/>
        </w:rPr>
        <w:t>; and</w:t>
      </w:r>
    </w:p>
    <w:p w:rsidR="00087F58" w:rsidRDefault="00725C5E" w:rsidP="006A792C">
      <w:pPr>
        <w:pStyle w:val="JudgmentText"/>
        <w:numPr>
          <w:ilvl w:val="3"/>
          <w:numId w:val="6"/>
        </w:numPr>
        <w:rPr>
          <w:rFonts w:ascii="Bookman Old Style" w:hAnsi="Bookman Old Style"/>
          <w:i/>
        </w:rPr>
      </w:pPr>
      <w:r w:rsidRPr="00087F58">
        <w:rPr>
          <w:rFonts w:ascii="Bookman Old Style" w:hAnsi="Bookman Old Style"/>
          <w:i/>
        </w:rPr>
        <w:t xml:space="preserve">Secondly, that the action is </w:t>
      </w:r>
      <w:r w:rsidR="00720EA9" w:rsidRPr="00087F58">
        <w:rPr>
          <w:rFonts w:ascii="Bookman Old Style" w:hAnsi="Bookman Old Style"/>
          <w:i/>
        </w:rPr>
        <w:t xml:space="preserve">prescribed </w:t>
      </w:r>
      <w:r w:rsidRPr="00087F58">
        <w:rPr>
          <w:rFonts w:ascii="Bookman Old Style" w:hAnsi="Bookman Old Style"/>
          <w:i/>
        </w:rPr>
        <w:t>by law against the 4</w:t>
      </w:r>
      <w:r w:rsidRPr="00087F58">
        <w:rPr>
          <w:rFonts w:ascii="Bookman Old Style" w:hAnsi="Bookman Old Style"/>
          <w:i/>
          <w:vertAlign w:val="superscript"/>
        </w:rPr>
        <w:t>th</w:t>
      </w:r>
      <w:r w:rsidR="006A792C">
        <w:rPr>
          <w:rFonts w:ascii="Bookman Old Style" w:hAnsi="Bookman Old Style"/>
          <w:i/>
        </w:rPr>
        <w:t xml:space="preserve"> D</w:t>
      </w:r>
      <w:r w:rsidRPr="00087F58">
        <w:rPr>
          <w:rFonts w:ascii="Bookman Old Style" w:hAnsi="Bookman Old Style"/>
          <w:i/>
        </w:rPr>
        <w:t xml:space="preserve">efendant </w:t>
      </w:r>
      <w:r w:rsidR="00087F58" w:rsidRPr="00087F58">
        <w:rPr>
          <w:rFonts w:ascii="Bookman Old Style" w:hAnsi="Bookman Old Style"/>
          <w:i/>
        </w:rPr>
        <w:t xml:space="preserve">as provided for in the </w:t>
      </w:r>
      <w:r w:rsidR="00720EA9" w:rsidRPr="00087F58">
        <w:rPr>
          <w:rFonts w:ascii="Bookman Old Style" w:hAnsi="Bookman Old Style"/>
          <w:i/>
        </w:rPr>
        <w:t>P</w:t>
      </w:r>
      <w:r w:rsidR="00087F58">
        <w:rPr>
          <w:rFonts w:ascii="Bookman Old Style" w:hAnsi="Bookman Old Style"/>
          <w:i/>
        </w:rPr>
        <w:t>ublic Officers (Protection) Act.</w:t>
      </w:r>
    </w:p>
    <w:p w:rsidR="005248A7" w:rsidRDefault="005248A7" w:rsidP="005248A7">
      <w:pPr>
        <w:pStyle w:val="JudgmentText"/>
        <w:numPr>
          <w:ilvl w:val="0"/>
          <w:numId w:val="0"/>
        </w:numPr>
        <w:ind w:left="720" w:hanging="720"/>
        <w:rPr>
          <w:rFonts w:ascii="Bookman Old Style" w:hAnsi="Bookman Old Style"/>
        </w:rPr>
      </w:pPr>
      <w:r w:rsidRPr="00720EA9">
        <w:rPr>
          <w:rFonts w:ascii="Bookman Old Style" w:hAnsi="Bookman Old Style"/>
        </w:rPr>
        <w:t>[2]</w:t>
      </w:r>
      <w:r w:rsidRPr="00720EA9">
        <w:rPr>
          <w:rFonts w:ascii="Bookman Old Style" w:hAnsi="Bookman Old Style"/>
        </w:rPr>
        <w:tab/>
        <w:t>Both Learned Counsels as above-referred filed written</w:t>
      </w:r>
      <w:r w:rsidR="00E77C1F" w:rsidRPr="00720EA9">
        <w:rPr>
          <w:rFonts w:ascii="Bookman Old Style" w:hAnsi="Bookman Old Style"/>
        </w:rPr>
        <w:t xml:space="preserve"> submissions on behalf of their respective</w:t>
      </w:r>
      <w:r w:rsidRPr="00720EA9">
        <w:rPr>
          <w:rFonts w:ascii="Bookman Old Style" w:hAnsi="Bookman Old Style"/>
        </w:rPr>
        <w:t xml:space="preserve"> clients </w:t>
      </w:r>
      <w:r w:rsidR="00FA1D82" w:rsidRPr="00720EA9">
        <w:rPr>
          <w:rFonts w:ascii="Bookman Old Style" w:hAnsi="Bookman Old Style"/>
        </w:rPr>
        <w:t xml:space="preserve">as to their legal stance </w:t>
      </w:r>
      <w:r w:rsidR="00FA1D82" w:rsidRPr="006A792C">
        <w:rPr>
          <w:rFonts w:ascii="Bookman Old Style" w:hAnsi="Bookman Old Style"/>
          <w:i/>
        </w:rPr>
        <w:t>vis</w:t>
      </w:r>
      <w:r w:rsidR="00CB31FB" w:rsidRPr="006A792C">
        <w:rPr>
          <w:rFonts w:ascii="Bookman Old Style" w:hAnsi="Bookman Old Style"/>
          <w:i/>
        </w:rPr>
        <w:t>-a-</w:t>
      </w:r>
      <w:r w:rsidR="00FA1D82" w:rsidRPr="006A792C">
        <w:rPr>
          <w:rFonts w:ascii="Bookman Old Style" w:hAnsi="Bookman Old Style"/>
          <w:i/>
        </w:rPr>
        <w:t>vis</w:t>
      </w:r>
      <w:r w:rsidRPr="00720EA9">
        <w:rPr>
          <w:rFonts w:ascii="Bookman Old Style" w:hAnsi="Bookman Old Style"/>
        </w:rPr>
        <w:t xml:space="preserve"> the </w:t>
      </w:r>
      <w:r w:rsidR="00CB31FB" w:rsidRPr="00720EA9">
        <w:rPr>
          <w:rFonts w:ascii="Bookman Old Style" w:hAnsi="Bookman Old Style"/>
        </w:rPr>
        <w:t>points of law</w:t>
      </w:r>
      <w:r w:rsidR="00087F58">
        <w:rPr>
          <w:rFonts w:ascii="Bookman Old Style" w:hAnsi="Bookman Old Style"/>
        </w:rPr>
        <w:t xml:space="preserve"> as raised on</w:t>
      </w:r>
      <w:r w:rsidR="00FA1D82" w:rsidRPr="00720EA9">
        <w:rPr>
          <w:rFonts w:ascii="Bookman Old Style" w:hAnsi="Bookman Old Style"/>
        </w:rPr>
        <w:t xml:space="preserve"> the </w:t>
      </w:r>
      <w:r w:rsidR="00720EA9">
        <w:rPr>
          <w:rFonts w:ascii="Bookman Old Style" w:hAnsi="Bookman Old Style"/>
        </w:rPr>
        <w:t>1</w:t>
      </w:r>
      <w:r w:rsidR="00087F58" w:rsidRPr="00087F58">
        <w:rPr>
          <w:rFonts w:ascii="Bookman Old Style" w:hAnsi="Bookman Old Style"/>
          <w:vertAlign w:val="superscript"/>
        </w:rPr>
        <w:t>st</w:t>
      </w:r>
      <w:r w:rsidR="00087F58">
        <w:rPr>
          <w:rFonts w:ascii="Bookman Old Style" w:hAnsi="Bookman Old Style"/>
        </w:rPr>
        <w:t xml:space="preserve"> day of December 2015 and 3</w:t>
      </w:r>
      <w:r w:rsidR="00087F58" w:rsidRPr="00087F58">
        <w:rPr>
          <w:rFonts w:ascii="Bookman Old Style" w:hAnsi="Bookman Old Style"/>
          <w:vertAlign w:val="superscript"/>
        </w:rPr>
        <w:t>rd</w:t>
      </w:r>
      <w:r w:rsidR="00087F58">
        <w:rPr>
          <w:rFonts w:ascii="Bookman Old Style" w:hAnsi="Bookman Old Style"/>
        </w:rPr>
        <w:t xml:space="preserve"> day of February 2016 respe</w:t>
      </w:r>
      <w:r w:rsidR="00612AD5">
        <w:rPr>
          <w:rFonts w:ascii="Bookman Old Style" w:hAnsi="Bookman Old Style"/>
        </w:rPr>
        <w:t xml:space="preserve">ctively of which contents have been </w:t>
      </w:r>
      <w:r w:rsidR="00087F58">
        <w:rPr>
          <w:rFonts w:ascii="Bookman Old Style" w:hAnsi="Bookman Old Style"/>
        </w:rPr>
        <w:t>duly considered for the purpose of this Ruling.</w:t>
      </w:r>
    </w:p>
    <w:p w:rsidR="00087F58" w:rsidRDefault="004B05AE" w:rsidP="005248A7">
      <w:pPr>
        <w:pStyle w:val="JudgmentText"/>
        <w:numPr>
          <w:ilvl w:val="0"/>
          <w:numId w:val="0"/>
        </w:numPr>
        <w:ind w:left="720" w:hanging="720"/>
        <w:rPr>
          <w:rFonts w:ascii="Bookman Old Style" w:hAnsi="Bookman Old Style"/>
        </w:rPr>
      </w:pPr>
      <w:r>
        <w:rPr>
          <w:rFonts w:ascii="Bookman Old Style" w:hAnsi="Bookman Old Style"/>
        </w:rPr>
        <w:t>[3]</w:t>
      </w:r>
      <w:r>
        <w:rPr>
          <w:rFonts w:ascii="Bookman Old Style" w:hAnsi="Bookman Old Style"/>
        </w:rPr>
        <w:tab/>
      </w:r>
      <w:r w:rsidR="003B2E3F">
        <w:rPr>
          <w:rFonts w:ascii="Bookman Old Style" w:hAnsi="Bookman Old Style"/>
        </w:rPr>
        <w:t>A ‘</w:t>
      </w:r>
      <w:r w:rsidR="003B2E3F" w:rsidRPr="006A792C">
        <w:rPr>
          <w:rFonts w:ascii="Bookman Old Style" w:hAnsi="Bookman Old Style"/>
          <w:i/>
        </w:rPr>
        <w:t>resume</w:t>
      </w:r>
      <w:r w:rsidR="003B2E3F">
        <w:rPr>
          <w:rFonts w:ascii="Bookman Old Style" w:hAnsi="Bookman Old Style"/>
        </w:rPr>
        <w:t>´’</w:t>
      </w:r>
      <w:r w:rsidR="00087F58">
        <w:rPr>
          <w:rFonts w:ascii="Bookman Old Style" w:hAnsi="Bookman Old Style"/>
        </w:rPr>
        <w:t xml:space="preserve"> of the facts </w:t>
      </w:r>
      <w:r w:rsidR="006A792C">
        <w:rPr>
          <w:rFonts w:ascii="Bookman Old Style" w:hAnsi="Bookman Old Style"/>
        </w:rPr>
        <w:t>giving rise to the P</w:t>
      </w:r>
      <w:r>
        <w:rPr>
          <w:rFonts w:ascii="Bookman Old Style" w:hAnsi="Bookman Old Style"/>
        </w:rPr>
        <w:t>laint as transpired on ple</w:t>
      </w:r>
      <w:r w:rsidR="00087F58">
        <w:rPr>
          <w:rFonts w:ascii="Bookman Old Style" w:hAnsi="Bookman Old Style"/>
        </w:rPr>
        <w:t xml:space="preserve">adings filed thus far, reveals in a gist, that the Plaintiff became legal owner of </w:t>
      </w:r>
      <w:r w:rsidR="00EC6F0A">
        <w:rPr>
          <w:rFonts w:ascii="Bookman Old Style" w:hAnsi="Bookman Old Style"/>
        </w:rPr>
        <w:t>vehicle Hyundai Accent reg</w:t>
      </w:r>
      <w:r w:rsidR="00087F58">
        <w:rPr>
          <w:rFonts w:ascii="Bookman Old Style" w:hAnsi="Bookman Old Style"/>
        </w:rPr>
        <w:t>istered as S 14733 upon purc</w:t>
      </w:r>
      <w:r w:rsidR="00EC6F0A">
        <w:rPr>
          <w:rFonts w:ascii="Bookman Old Style" w:hAnsi="Bookman Old Style"/>
        </w:rPr>
        <w:t>hase of same fro</w:t>
      </w:r>
      <w:r w:rsidR="00087F58">
        <w:rPr>
          <w:rFonts w:ascii="Bookman Old Style" w:hAnsi="Bookman Old Style"/>
        </w:rPr>
        <w:t>m the 1</w:t>
      </w:r>
      <w:r w:rsidR="00087F58" w:rsidRPr="00087F58">
        <w:rPr>
          <w:rFonts w:ascii="Bookman Old Style" w:hAnsi="Bookman Old Style"/>
          <w:vertAlign w:val="superscript"/>
        </w:rPr>
        <w:t>st</w:t>
      </w:r>
      <w:r w:rsidR="00087F58">
        <w:rPr>
          <w:rFonts w:ascii="Bookman Old Style" w:hAnsi="Bookman Old Style"/>
        </w:rPr>
        <w:t xml:space="preserve"> Defendant on or during the month of March 2012. That the purchase was possible through</w:t>
      </w:r>
      <w:r w:rsidR="00EC6F0A">
        <w:rPr>
          <w:rFonts w:ascii="Bookman Old Style" w:hAnsi="Bookman Old Style"/>
        </w:rPr>
        <w:t xml:space="preserve"> a Government of Seychelles loa</w:t>
      </w:r>
      <w:r w:rsidR="00087F58">
        <w:rPr>
          <w:rFonts w:ascii="Bookman Old Style" w:hAnsi="Bookman Old Style"/>
        </w:rPr>
        <w:t>n giving rise to payment voucher of</w:t>
      </w:r>
      <w:r w:rsidR="00EC6F0A">
        <w:rPr>
          <w:rFonts w:ascii="Bookman Old Style" w:hAnsi="Bookman Old Style"/>
        </w:rPr>
        <w:t xml:space="preserve"> the 14</w:t>
      </w:r>
      <w:r w:rsidR="00EC6F0A" w:rsidRPr="00EC6F0A">
        <w:rPr>
          <w:rFonts w:ascii="Bookman Old Style" w:hAnsi="Bookman Old Style"/>
          <w:vertAlign w:val="superscript"/>
        </w:rPr>
        <w:t>th</w:t>
      </w:r>
      <w:r w:rsidR="00EC6F0A">
        <w:rPr>
          <w:rFonts w:ascii="Bookman Old Style" w:hAnsi="Bookman Old Style"/>
        </w:rPr>
        <w:t xml:space="preserve"> day of March 2012 directly to the 1</w:t>
      </w:r>
      <w:r w:rsidR="00EC6F0A" w:rsidRPr="00EC6F0A">
        <w:rPr>
          <w:rFonts w:ascii="Bookman Old Style" w:hAnsi="Bookman Old Style"/>
          <w:vertAlign w:val="superscript"/>
        </w:rPr>
        <w:t>st</w:t>
      </w:r>
      <w:r w:rsidR="00EC6F0A">
        <w:rPr>
          <w:rFonts w:ascii="Bookman Old Style" w:hAnsi="Bookman Old Style"/>
        </w:rPr>
        <w:t xml:space="preserve"> Defendant in the sum of S.R. 67,000/-. </w:t>
      </w:r>
      <w:r w:rsidR="00EC6F0A" w:rsidRPr="00EC6F0A">
        <w:rPr>
          <w:rFonts w:ascii="Bookman Old Style" w:hAnsi="Bookman Old Style"/>
          <w:b/>
        </w:rPr>
        <w:t>In furtherance to the loan, a pledge was registered on the 14</w:t>
      </w:r>
      <w:r w:rsidR="00EC6F0A" w:rsidRPr="00EC6F0A">
        <w:rPr>
          <w:rFonts w:ascii="Bookman Old Style" w:hAnsi="Bookman Old Style"/>
          <w:b/>
          <w:vertAlign w:val="superscript"/>
        </w:rPr>
        <w:t>th</w:t>
      </w:r>
      <w:r w:rsidR="003B2E3F">
        <w:rPr>
          <w:rFonts w:ascii="Bookman Old Style" w:hAnsi="Bookman Old Style"/>
          <w:b/>
        </w:rPr>
        <w:t xml:space="preserve"> day of March 20</w:t>
      </w:r>
      <w:r w:rsidR="00EC6F0A" w:rsidRPr="00EC6F0A">
        <w:rPr>
          <w:rFonts w:ascii="Bookman Old Style" w:hAnsi="Bookman Old Style"/>
          <w:b/>
        </w:rPr>
        <w:t>12 bearing CB No. 3017 in favour of the Government of Seychelles</w:t>
      </w:r>
      <w:r w:rsidR="00EC6F0A">
        <w:rPr>
          <w:rFonts w:ascii="Bookman Old Style" w:hAnsi="Bookman Old Style"/>
          <w:b/>
        </w:rPr>
        <w:t>, by the 4</w:t>
      </w:r>
      <w:r w:rsidR="00EC6F0A" w:rsidRPr="00EC6F0A">
        <w:rPr>
          <w:rFonts w:ascii="Bookman Old Style" w:hAnsi="Bookman Old Style"/>
          <w:b/>
          <w:vertAlign w:val="superscript"/>
        </w:rPr>
        <w:t>th</w:t>
      </w:r>
      <w:r w:rsidR="00EC6F0A">
        <w:rPr>
          <w:rFonts w:ascii="Bookman Old Style" w:hAnsi="Bookman Old Style"/>
          <w:b/>
        </w:rPr>
        <w:t xml:space="preserve"> Defendant. </w:t>
      </w:r>
      <w:r w:rsidR="00EC6F0A" w:rsidRPr="00EC6F0A">
        <w:rPr>
          <w:rFonts w:ascii="Bookman Old Style" w:hAnsi="Bookman Old Style"/>
        </w:rPr>
        <w:t>Change of ownership was effected on the</w:t>
      </w:r>
      <w:r w:rsidR="00EC6F0A">
        <w:rPr>
          <w:rFonts w:ascii="Bookman Old Style" w:hAnsi="Bookman Old Style"/>
        </w:rPr>
        <w:t xml:space="preserve"> 13</w:t>
      </w:r>
      <w:r w:rsidR="00EC6F0A" w:rsidRPr="00EC6F0A">
        <w:rPr>
          <w:rFonts w:ascii="Bookman Old Style" w:hAnsi="Bookman Old Style"/>
          <w:vertAlign w:val="superscript"/>
        </w:rPr>
        <w:t>th</w:t>
      </w:r>
      <w:r w:rsidR="00EC6F0A">
        <w:rPr>
          <w:rFonts w:ascii="Bookman Old Style" w:hAnsi="Bookman Old Style"/>
        </w:rPr>
        <w:t xml:space="preserve"> day of March 2012.On the 17</w:t>
      </w:r>
      <w:r w:rsidR="00EC6F0A" w:rsidRPr="00EC6F0A">
        <w:rPr>
          <w:rFonts w:ascii="Bookman Old Style" w:hAnsi="Bookman Old Style"/>
          <w:vertAlign w:val="superscript"/>
        </w:rPr>
        <w:t>th</w:t>
      </w:r>
      <w:r w:rsidR="00EC6F0A">
        <w:rPr>
          <w:rFonts w:ascii="Bookman Old Style" w:hAnsi="Bookman Old Style"/>
        </w:rPr>
        <w:t xml:space="preserve"> February 2014, at the instance of the 2</w:t>
      </w:r>
      <w:r w:rsidR="00EC6F0A" w:rsidRPr="00EC6F0A">
        <w:rPr>
          <w:rFonts w:ascii="Bookman Old Style" w:hAnsi="Bookman Old Style"/>
          <w:vertAlign w:val="superscript"/>
        </w:rPr>
        <w:t>nd</w:t>
      </w:r>
      <w:r w:rsidR="00EC6F0A">
        <w:rPr>
          <w:rFonts w:ascii="Bookman Old Style" w:hAnsi="Bookman Old Style"/>
        </w:rPr>
        <w:t xml:space="preserve"> Defendant </w:t>
      </w:r>
      <w:r w:rsidR="00EC6F0A">
        <w:rPr>
          <w:rFonts w:ascii="Bookman Old Style" w:hAnsi="Bookman Old Style"/>
        </w:rPr>
        <w:lastRenderedPageBreak/>
        <w:t xml:space="preserve">Process server Tony Alcindor assisted by C. </w:t>
      </w:r>
      <w:proofErr w:type="spellStart"/>
      <w:r w:rsidR="00EC6F0A">
        <w:rPr>
          <w:rFonts w:ascii="Bookman Old Style" w:hAnsi="Bookman Old Style"/>
        </w:rPr>
        <w:t>Freminot</w:t>
      </w:r>
      <w:proofErr w:type="spellEnd"/>
      <w:r w:rsidR="006A792C">
        <w:rPr>
          <w:rFonts w:ascii="Bookman Old Style" w:hAnsi="Bookman Old Style"/>
        </w:rPr>
        <w:t>,</w:t>
      </w:r>
      <w:r w:rsidR="00EC6F0A">
        <w:rPr>
          <w:rFonts w:ascii="Bookman Old Style" w:hAnsi="Bookman Old Style"/>
        </w:rPr>
        <w:t xml:space="preserve"> seized the vehicle from the Plaintiff and was subject to a judicial sale and subsequently transferred to a third party </w:t>
      </w:r>
      <w:r w:rsidR="006C4FFF">
        <w:rPr>
          <w:rFonts w:ascii="Bookman Old Style" w:hAnsi="Bookman Old Style"/>
        </w:rPr>
        <w:t>by the 3</w:t>
      </w:r>
      <w:r w:rsidR="006C4FFF" w:rsidRPr="006C4FFF">
        <w:rPr>
          <w:rFonts w:ascii="Bookman Old Style" w:hAnsi="Bookman Old Style"/>
          <w:vertAlign w:val="superscript"/>
        </w:rPr>
        <w:t>rd</w:t>
      </w:r>
      <w:r w:rsidR="006C4FFF">
        <w:rPr>
          <w:rFonts w:ascii="Bookman Old Style" w:hAnsi="Bookman Old Style"/>
        </w:rPr>
        <w:t xml:space="preserve"> Defendant. Now, for the specific purpose of this Ruling, I will treat only the salient cause of action as regards the third and fourth Defendants. The Plaintiff reproaches the 3</w:t>
      </w:r>
      <w:r w:rsidR="006C4FFF" w:rsidRPr="006C4FFF">
        <w:rPr>
          <w:rFonts w:ascii="Bookman Old Style" w:hAnsi="Bookman Old Style"/>
          <w:vertAlign w:val="superscript"/>
        </w:rPr>
        <w:t>rd</w:t>
      </w:r>
      <w:r w:rsidR="006C4FFF">
        <w:rPr>
          <w:rFonts w:ascii="Bookman Old Style" w:hAnsi="Bookman Old Style"/>
        </w:rPr>
        <w:t xml:space="preserve"> Defendant of having committed a </w:t>
      </w:r>
      <w:r w:rsidR="006C4FFF" w:rsidRPr="003B2E3F">
        <w:rPr>
          <w:rFonts w:ascii="Bookman Old Style" w:hAnsi="Bookman Old Style"/>
          <w:b/>
        </w:rPr>
        <w:t>“</w:t>
      </w:r>
      <w:proofErr w:type="spellStart"/>
      <w:r w:rsidR="006C4FFF" w:rsidRPr="003B2E3F">
        <w:rPr>
          <w:rFonts w:ascii="Bookman Old Style" w:hAnsi="Bookman Old Style"/>
          <w:b/>
        </w:rPr>
        <w:t>faute</w:t>
      </w:r>
      <w:proofErr w:type="spellEnd"/>
      <w:r w:rsidR="006C4FFF" w:rsidRPr="003B2E3F">
        <w:rPr>
          <w:rFonts w:ascii="Bookman Old Style" w:hAnsi="Bookman Old Style"/>
          <w:b/>
        </w:rPr>
        <w:t xml:space="preserve"> and or negligence”</w:t>
      </w:r>
      <w:r w:rsidR="006C4FFF">
        <w:rPr>
          <w:rFonts w:ascii="Bookman Old Style" w:hAnsi="Bookman Old Style"/>
        </w:rPr>
        <w:t xml:space="preserve"> towards her in view of</w:t>
      </w:r>
      <w:r w:rsidR="0042368F">
        <w:rPr>
          <w:rFonts w:ascii="Bookman Old Style" w:hAnsi="Bookman Old Style"/>
        </w:rPr>
        <w:t xml:space="preserve"> the</w:t>
      </w:r>
      <w:r w:rsidR="006C4FFF">
        <w:rPr>
          <w:rFonts w:ascii="Bookman Old Style" w:hAnsi="Bookman Old Style"/>
        </w:rPr>
        <w:t xml:space="preserve"> transfer to a third party without her consent or signature upon judicial sale. Plaintiff further reproaches the 4</w:t>
      </w:r>
      <w:r w:rsidR="006C4FFF" w:rsidRPr="006C4FFF">
        <w:rPr>
          <w:rFonts w:ascii="Bookman Old Style" w:hAnsi="Bookman Old Style"/>
          <w:vertAlign w:val="superscript"/>
        </w:rPr>
        <w:t>th</w:t>
      </w:r>
      <w:r w:rsidR="006C4FFF">
        <w:rPr>
          <w:rFonts w:ascii="Bookman Old Style" w:hAnsi="Bookman Old Style"/>
        </w:rPr>
        <w:t xml:space="preserve"> Defendant for </w:t>
      </w:r>
      <w:r w:rsidR="006C4FFF" w:rsidRPr="003B2E3F">
        <w:rPr>
          <w:rFonts w:ascii="Bookman Old Style" w:hAnsi="Bookman Old Style"/>
          <w:b/>
        </w:rPr>
        <w:t>“</w:t>
      </w:r>
      <w:proofErr w:type="spellStart"/>
      <w:r w:rsidR="006C4FFF" w:rsidRPr="003B2E3F">
        <w:rPr>
          <w:rFonts w:ascii="Bookman Old Style" w:hAnsi="Bookman Old Style"/>
          <w:b/>
        </w:rPr>
        <w:t>faute</w:t>
      </w:r>
      <w:proofErr w:type="spellEnd"/>
      <w:r w:rsidR="006C4FFF" w:rsidRPr="003B2E3F">
        <w:rPr>
          <w:rFonts w:ascii="Bookman Old Style" w:hAnsi="Bookman Old Style"/>
          <w:b/>
        </w:rPr>
        <w:t xml:space="preserve"> and negligence”</w:t>
      </w:r>
      <w:r w:rsidR="006C4FFF">
        <w:rPr>
          <w:rFonts w:ascii="Bookman Old Style" w:hAnsi="Bookman Old Style"/>
        </w:rPr>
        <w:t xml:space="preserve"> arising out of registration of a pledge for the Plaintiff in favour of the Government of Seychelles without giving proper attention as to if the vehicle was already pledged or not and which pledge was effected as above indicated on the 14</w:t>
      </w:r>
      <w:r w:rsidR="006C4FFF" w:rsidRPr="006C4FFF">
        <w:rPr>
          <w:rFonts w:ascii="Bookman Old Style" w:hAnsi="Bookman Old Style"/>
          <w:vertAlign w:val="superscript"/>
        </w:rPr>
        <w:t>th</w:t>
      </w:r>
      <w:r w:rsidR="006C4FFF">
        <w:rPr>
          <w:rFonts w:ascii="Bookman Old Style" w:hAnsi="Bookman Old Style"/>
        </w:rPr>
        <w:t xml:space="preserve"> day of March 2012.</w:t>
      </w:r>
      <w:r w:rsidR="003B2E3F">
        <w:rPr>
          <w:rFonts w:ascii="Bookman Old Style" w:hAnsi="Bookman Old Style"/>
        </w:rPr>
        <w:t xml:space="preserve"> (Emphasis is mine). </w:t>
      </w:r>
    </w:p>
    <w:p w:rsidR="004B05AE" w:rsidRDefault="005248A7" w:rsidP="005248A7">
      <w:pPr>
        <w:pStyle w:val="JudgmentText"/>
        <w:numPr>
          <w:ilvl w:val="0"/>
          <w:numId w:val="0"/>
        </w:numPr>
        <w:ind w:left="720" w:hanging="720"/>
        <w:rPr>
          <w:rFonts w:ascii="Bookman Old Style" w:hAnsi="Bookman Old Style"/>
        </w:rPr>
      </w:pPr>
      <w:r w:rsidRPr="00720EA9">
        <w:rPr>
          <w:rFonts w:ascii="Bookman Old Style" w:hAnsi="Bookman Old Style"/>
        </w:rPr>
        <w:t>[</w:t>
      </w:r>
      <w:r w:rsidR="00D10FA3">
        <w:rPr>
          <w:rFonts w:ascii="Bookman Old Style" w:hAnsi="Bookman Old Style"/>
        </w:rPr>
        <w:t>4</w:t>
      </w:r>
      <w:r w:rsidRPr="00720EA9">
        <w:rPr>
          <w:rFonts w:ascii="Bookman Old Style" w:hAnsi="Bookman Old Style"/>
        </w:rPr>
        <w:t>]</w:t>
      </w:r>
      <w:r w:rsidRPr="00720EA9">
        <w:rPr>
          <w:rFonts w:ascii="Bookman Old Style" w:hAnsi="Bookman Old Style"/>
        </w:rPr>
        <w:tab/>
      </w:r>
      <w:r w:rsidR="006C4FFF">
        <w:rPr>
          <w:rFonts w:ascii="Bookman Old Style" w:hAnsi="Bookman Old Style"/>
        </w:rPr>
        <w:t xml:space="preserve">Learned Counsel Mr. D. </w:t>
      </w:r>
      <w:proofErr w:type="spellStart"/>
      <w:r w:rsidR="006C4FFF">
        <w:rPr>
          <w:rFonts w:ascii="Bookman Old Style" w:hAnsi="Bookman Old Style"/>
        </w:rPr>
        <w:t>Esparon</w:t>
      </w:r>
      <w:proofErr w:type="spellEnd"/>
      <w:r w:rsidR="006C4FFF">
        <w:rPr>
          <w:rFonts w:ascii="Bookman Old Style" w:hAnsi="Bookman Old Style"/>
        </w:rPr>
        <w:t xml:space="preserve"> submitted in support of</w:t>
      </w:r>
      <w:r w:rsidR="0042368F">
        <w:rPr>
          <w:rFonts w:ascii="Bookman Old Style" w:hAnsi="Bookman Old Style"/>
        </w:rPr>
        <w:t xml:space="preserve"> </w:t>
      </w:r>
      <w:r w:rsidR="003B2E3F">
        <w:rPr>
          <w:rFonts w:ascii="Bookman Old Style" w:hAnsi="Bookman Old Style"/>
        </w:rPr>
        <w:t xml:space="preserve">the </w:t>
      </w:r>
      <w:r w:rsidR="00FA1D82" w:rsidRPr="00720EA9">
        <w:rPr>
          <w:rFonts w:ascii="Bookman Old Style" w:hAnsi="Bookman Old Style"/>
        </w:rPr>
        <w:t>plea</w:t>
      </w:r>
      <w:r w:rsidR="006C4FFF">
        <w:rPr>
          <w:rFonts w:ascii="Bookman Old Style" w:hAnsi="Bookman Old Style"/>
        </w:rPr>
        <w:t>s</w:t>
      </w:r>
      <w:r w:rsidR="00FA1D82" w:rsidRPr="00720EA9">
        <w:rPr>
          <w:rFonts w:ascii="Bookman Old Style" w:hAnsi="Bookman Old Style"/>
        </w:rPr>
        <w:t xml:space="preserve"> in </w:t>
      </w:r>
      <w:proofErr w:type="spellStart"/>
      <w:r w:rsidR="00FA1D82" w:rsidRPr="00720EA9">
        <w:rPr>
          <w:rFonts w:ascii="Bookman Old Style" w:hAnsi="Bookman Old Style"/>
        </w:rPr>
        <w:t>limine</w:t>
      </w:r>
      <w:proofErr w:type="spellEnd"/>
      <w:r w:rsidR="0042368F">
        <w:rPr>
          <w:rFonts w:ascii="Bookman Old Style" w:hAnsi="Bookman Old Style"/>
        </w:rPr>
        <w:t xml:space="preserve"> </w:t>
      </w:r>
      <w:proofErr w:type="spellStart"/>
      <w:r w:rsidR="00FA1D82" w:rsidRPr="00720EA9">
        <w:rPr>
          <w:rFonts w:ascii="Bookman Old Style" w:hAnsi="Bookman Old Style"/>
        </w:rPr>
        <w:t>litis</w:t>
      </w:r>
      <w:proofErr w:type="spellEnd"/>
      <w:r w:rsidR="0042368F">
        <w:rPr>
          <w:rFonts w:ascii="Bookman Old Style" w:hAnsi="Bookman Old Style"/>
        </w:rPr>
        <w:t xml:space="preserve"> </w:t>
      </w:r>
      <w:r w:rsidR="00720EA9">
        <w:rPr>
          <w:rFonts w:ascii="Bookman Old Style" w:hAnsi="Bookman Old Style"/>
        </w:rPr>
        <w:t xml:space="preserve">as </w:t>
      </w:r>
      <w:r w:rsidR="00514CB6">
        <w:rPr>
          <w:rFonts w:ascii="Bookman Old Style" w:hAnsi="Bookman Old Style"/>
        </w:rPr>
        <w:t xml:space="preserve">raised at paragraph [1] </w:t>
      </w:r>
      <w:r w:rsidR="004B05AE">
        <w:rPr>
          <w:rFonts w:ascii="Bookman Old Style" w:hAnsi="Bookman Old Style"/>
        </w:rPr>
        <w:t>of this R</w:t>
      </w:r>
      <w:r w:rsidR="00720EA9">
        <w:rPr>
          <w:rFonts w:ascii="Bookman Old Style" w:hAnsi="Bookman Old Style"/>
        </w:rPr>
        <w:t xml:space="preserve">uling </w:t>
      </w:r>
      <w:r w:rsidR="00E77C1F" w:rsidRPr="00720EA9">
        <w:rPr>
          <w:rFonts w:ascii="Bookman Old Style" w:hAnsi="Bookman Old Style"/>
        </w:rPr>
        <w:t xml:space="preserve">on behalf of the </w:t>
      </w:r>
      <w:r w:rsidR="006C4FFF">
        <w:rPr>
          <w:rFonts w:ascii="Bookman Old Style" w:hAnsi="Bookman Old Style"/>
        </w:rPr>
        <w:t>3</w:t>
      </w:r>
      <w:r w:rsidR="006C4FFF" w:rsidRPr="006C4FFF">
        <w:rPr>
          <w:rFonts w:ascii="Bookman Old Style" w:hAnsi="Bookman Old Style"/>
          <w:vertAlign w:val="superscript"/>
        </w:rPr>
        <w:t>rd</w:t>
      </w:r>
      <w:r w:rsidR="006C4FFF">
        <w:rPr>
          <w:rFonts w:ascii="Bookman Old Style" w:hAnsi="Bookman Old Style"/>
        </w:rPr>
        <w:t xml:space="preserve"> and 4</w:t>
      </w:r>
      <w:r w:rsidR="006C4FFF" w:rsidRPr="006C4FFF">
        <w:rPr>
          <w:rFonts w:ascii="Bookman Old Style" w:hAnsi="Bookman Old Style"/>
          <w:vertAlign w:val="superscript"/>
        </w:rPr>
        <w:t>th</w:t>
      </w:r>
      <w:r w:rsidR="0042368F">
        <w:rPr>
          <w:rFonts w:ascii="Bookman Old Style" w:hAnsi="Bookman Old Style"/>
          <w:vertAlign w:val="superscript"/>
        </w:rPr>
        <w:t xml:space="preserve"> </w:t>
      </w:r>
      <w:r w:rsidR="00E77C1F" w:rsidRPr="00720EA9">
        <w:rPr>
          <w:rFonts w:ascii="Bookman Old Style" w:hAnsi="Bookman Old Style"/>
        </w:rPr>
        <w:t>Defendant</w:t>
      </w:r>
      <w:r w:rsidR="004B05AE">
        <w:rPr>
          <w:rFonts w:ascii="Bookman Old Style" w:hAnsi="Bookman Old Style"/>
        </w:rPr>
        <w:t>s</w:t>
      </w:r>
      <w:r w:rsidR="0042368F">
        <w:rPr>
          <w:rFonts w:ascii="Bookman Old Style" w:hAnsi="Bookman Old Style"/>
        </w:rPr>
        <w:t xml:space="preserve"> in a gist as follows:</w:t>
      </w:r>
    </w:p>
    <w:p w:rsidR="00411370" w:rsidRDefault="00D10FA3" w:rsidP="00411370">
      <w:pPr>
        <w:pStyle w:val="JudgmentText"/>
        <w:numPr>
          <w:ilvl w:val="0"/>
          <w:numId w:val="0"/>
        </w:numPr>
        <w:ind w:left="1440" w:hanging="720"/>
        <w:rPr>
          <w:rFonts w:ascii="Bookman Old Style" w:hAnsi="Bookman Old Style"/>
        </w:rPr>
      </w:pPr>
      <w:r>
        <w:rPr>
          <w:rFonts w:ascii="Bookman Old Style" w:hAnsi="Bookman Old Style"/>
        </w:rPr>
        <w:t>1.</w:t>
      </w:r>
      <w:r>
        <w:rPr>
          <w:rFonts w:ascii="Bookman Old Style" w:hAnsi="Bookman Old Style"/>
        </w:rPr>
        <w:tab/>
        <w:t>F</w:t>
      </w:r>
      <w:r w:rsidR="00FA1D82" w:rsidRPr="00720EA9">
        <w:rPr>
          <w:rFonts w:ascii="Bookman Old Style" w:hAnsi="Bookman Old Style"/>
        </w:rPr>
        <w:t xml:space="preserve">irstly, </w:t>
      </w:r>
      <w:r w:rsidR="006C4FFF">
        <w:rPr>
          <w:rFonts w:ascii="Bookman Old Style" w:hAnsi="Bookman Old Style"/>
        </w:rPr>
        <w:t>as to</w:t>
      </w:r>
      <w:r w:rsidR="00411370">
        <w:rPr>
          <w:rFonts w:ascii="Bookman Old Style" w:hAnsi="Bookman Old Style"/>
        </w:rPr>
        <w:t xml:space="preserve"> the </w:t>
      </w:r>
      <w:r w:rsidR="006C4FFF">
        <w:rPr>
          <w:rFonts w:ascii="Bookman Old Style" w:hAnsi="Bookman Old Style"/>
        </w:rPr>
        <w:t xml:space="preserve">first plea in </w:t>
      </w:r>
      <w:proofErr w:type="spellStart"/>
      <w:r w:rsidR="006C4FFF">
        <w:rPr>
          <w:rFonts w:ascii="Bookman Old Style" w:hAnsi="Bookman Old Style"/>
        </w:rPr>
        <w:t>limine</w:t>
      </w:r>
      <w:proofErr w:type="spellEnd"/>
      <w:r w:rsidR="0042368F">
        <w:rPr>
          <w:rFonts w:ascii="Bookman Old Style" w:hAnsi="Bookman Old Style"/>
        </w:rPr>
        <w:t xml:space="preserve"> </w:t>
      </w:r>
      <w:proofErr w:type="spellStart"/>
      <w:r w:rsidR="006C4FFF">
        <w:rPr>
          <w:rFonts w:ascii="Bookman Old Style" w:hAnsi="Bookman Old Style"/>
        </w:rPr>
        <w:t>litis</w:t>
      </w:r>
      <w:proofErr w:type="spellEnd"/>
      <w:r w:rsidR="0042368F">
        <w:rPr>
          <w:rFonts w:ascii="Bookman Old Style" w:hAnsi="Bookman Old Style"/>
        </w:rPr>
        <w:t xml:space="preserve"> </w:t>
      </w:r>
      <w:r w:rsidR="00411370">
        <w:rPr>
          <w:rFonts w:ascii="Bookman Old Style" w:hAnsi="Bookman Old Style"/>
        </w:rPr>
        <w:t>in that,</w:t>
      </w:r>
      <w:r w:rsidR="0042368F">
        <w:rPr>
          <w:rFonts w:ascii="Bookman Old Style" w:hAnsi="Bookman Old Style"/>
        </w:rPr>
        <w:t xml:space="preserve"> </w:t>
      </w:r>
      <w:r w:rsidR="00411370">
        <w:rPr>
          <w:rFonts w:ascii="Bookman Old Style" w:hAnsi="Bookman Old Style"/>
        </w:rPr>
        <w:t>‘</w:t>
      </w:r>
      <w:r w:rsidR="0042368F">
        <w:rPr>
          <w:rFonts w:ascii="Bookman Old Style" w:hAnsi="Bookman Old Style"/>
          <w:i/>
        </w:rPr>
        <w:t>the P</w:t>
      </w:r>
      <w:r w:rsidR="00411370" w:rsidRPr="00720EA9">
        <w:rPr>
          <w:rFonts w:ascii="Bookman Old Style" w:hAnsi="Bookman Old Style"/>
          <w:i/>
        </w:rPr>
        <w:t xml:space="preserve">laint does not disclose a reasonable cause of action against the </w:t>
      </w:r>
      <w:r w:rsidR="00411370">
        <w:rPr>
          <w:rFonts w:ascii="Bookman Old Style" w:hAnsi="Bookman Old Style"/>
          <w:i/>
        </w:rPr>
        <w:t>3</w:t>
      </w:r>
      <w:r w:rsidR="00411370" w:rsidRPr="00725C5E">
        <w:rPr>
          <w:rFonts w:ascii="Bookman Old Style" w:hAnsi="Bookman Old Style"/>
          <w:i/>
          <w:vertAlign w:val="superscript"/>
        </w:rPr>
        <w:t>rd</w:t>
      </w:r>
      <w:r w:rsidR="0042368F">
        <w:rPr>
          <w:rFonts w:ascii="Bookman Old Style" w:hAnsi="Bookman Old Style"/>
          <w:i/>
        </w:rPr>
        <w:t xml:space="preserve"> D</w:t>
      </w:r>
      <w:r w:rsidR="00411370">
        <w:rPr>
          <w:rFonts w:ascii="Bookman Old Style" w:hAnsi="Bookman Old Style"/>
          <w:i/>
        </w:rPr>
        <w:t>efendant</w:t>
      </w:r>
      <w:r w:rsidR="0042368F">
        <w:rPr>
          <w:rFonts w:ascii="Bookman Old Style" w:hAnsi="Bookman Old Style"/>
          <w:i/>
        </w:rPr>
        <w:t xml:space="preserve"> </w:t>
      </w:r>
      <w:r w:rsidR="00411370">
        <w:rPr>
          <w:rFonts w:ascii="Bookman Old Style" w:hAnsi="Bookman Old Style"/>
          <w:i/>
        </w:rPr>
        <w:t>and the 4</w:t>
      </w:r>
      <w:r w:rsidR="00411370" w:rsidRPr="00725C5E">
        <w:rPr>
          <w:rFonts w:ascii="Bookman Old Style" w:hAnsi="Bookman Old Style"/>
          <w:i/>
          <w:vertAlign w:val="superscript"/>
        </w:rPr>
        <w:t>th</w:t>
      </w:r>
      <w:r w:rsidR="0042368F">
        <w:rPr>
          <w:rFonts w:ascii="Bookman Old Style" w:hAnsi="Bookman Old Style"/>
          <w:i/>
        </w:rPr>
        <w:t xml:space="preserve"> Defendant</w:t>
      </w:r>
      <w:r w:rsidR="00411370">
        <w:rPr>
          <w:rFonts w:ascii="Bookman Old Style" w:hAnsi="Bookman Old Style"/>
          <w:i/>
        </w:rPr>
        <w:t xml:space="preserve">’, </w:t>
      </w:r>
      <w:r w:rsidR="00411370" w:rsidRPr="00411370">
        <w:rPr>
          <w:rFonts w:ascii="Bookman Old Style" w:hAnsi="Bookman Old Style"/>
        </w:rPr>
        <w:t>it</w:t>
      </w:r>
      <w:r w:rsidR="00D31AB7" w:rsidRPr="00411370">
        <w:rPr>
          <w:rFonts w:ascii="Bookman Old Style" w:hAnsi="Bookman Old Style"/>
        </w:rPr>
        <w:t xml:space="preserve"> is</w:t>
      </w:r>
      <w:r w:rsidR="0042368F">
        <w:rPr>
          <w:rFonts w:ascii="Bookman Old Style" w:hAnsi="Bookman Old Style"/>
        </w:rPr>
        <w:t xml:space="preserve"> </w:t>
      </w:r>
      <w:r>
        <w:rPr>
          <w:rFonts w:ascii="Bookman Old Style" w:hAnsi="Bookman Old Style"/>
        </w:rPr>
        <w:t xml:space="preserve">submitted </w:t>
      </w:r>
      <w:r w:rsidR="003B2E3F">
        <w:rPr>
          <w:rFonts w:ascii="Bookman Old Style" w:hAnsi="Bookman Old Style"/>
        </w:rPr>
        <w:t xml:space="preserve">that, </w:t>
      </w:r>
      <w:r w:rsidR="0042368F">
        <w:rPr>
          <w:rFonts w:ascii="Bookman Old Style" w:hAnsi="Bookman Old Style"/>
        </w:rPr>
        <w:t>ex-facie the pleadings the P</w:t>
      </w:r>
      <w:r w:rsidR="00411370">
        <w:rPr>
          <w:rFonts w:ascii="Bookman Old Style" w:hAnsi="Bookman Old Style"/>
        </w:rPr>
        <w:t>laintiff has</w:t>
      </w:r>
      <w:r w:rsidR="0042368F">
        <w:rPr>
          <w:rFonts w:ascii="Bookman Old Style" w:hAnsi="Bookman Old Style"/>
        </w:rPr>
        <w:t xml:space="preserve"> averred at paragraph 3 of her P</w:t>
      </w:r>
      <w:r w:rsidR="00411370">
        <w:rPr>
          <w:rFonts w:ascii="Bookman Old Style" w:hAnsi="Bookman Old Style"/>
        </w:rPr>
        <w:t>laint that the 1</w:t>
      </w:r>
      <w:r w:rsidR="00411370" w:rsidRPr="00411370">
        <w:rPr>
          <w:rFonts w:ascii="Bookman Old Style" w:hAnsi="Bookman Old Style"/>
          <w:vertAlign w:val="superscript"/>
        </w:rPr>
        <w:t>st</w:t>
      </w:r>
      <w:r w:rsidR="00411370">
        <w:rPr>
          <w:rFonts w:ascii="Bookman Old Style" w:hAnsi="Bookman Old Style"/>
        </w:rPr>
        <w:t xml:space="preserve"> Defendant informed her verbally that the 2</w:t>
      </w:r>
      <w:r w:rsidR="00411370" w:rsidRPr="00411370">
        <w:rPr>
          <w:rFonts w:ascii="Bookman Old Style" w:hAnsi="Bookman Old Style"/>
          <w:vertAlign w:val="superscript"/>
        </w:rPr>
        <w:t>nd</w:t>
      </w:r>
      <w:r w:rsidR="0042368F">
        <w:rPr>
          <w:rFonts w:ascii="Bookman Old Style" w:hAnsi="Bookman Old Style"/>
        </w:rPr>
        <w:t xml:space="preserve"> D</w:t>
      </w:r>
      <w:r w:rsidR="00411370">
        <w:rPr>
          <w:rFonts w:ascii="Bookman Old Style" w:hAnsi="Bookman Old Style"/>
        </w:rPr>
        <w:t>efendant had given him permission to sell t</w:t>
      </w:r>
      <w:r w:rsidR="0042368F">
        <w:rPr>
          <w:rFonts w:ascii="Bookman Old Style" w:hAnsi="Bookman Old Style"/>
        </w:rPr>
        <w:t>he said vehicle. Therefore the P</w:t>
      </w:r>
      <w:r w:rsidR="00411370">
        <w:rPr>
          <w:rFonts w:ascii="Bookman Old Style" w:hAnsi="Bookman Old Style"/>
        </w:rPr>
        <w:t>laintiff was well aware that the car was subject to a loan agreement and she should have showed due diligence and verified whether the vehicle was subject to a pledge before purchasing the said vehicle.</w:t>
      </w:r>
      <w:r w:rsidR="00483189">
        <w:rPr>
          <w:rFonts w:ascii="Bookman Old Style" w:hAnsi="Bookman Old Style"/>
        </w:rPr>
        <w:t xml:space="preserve"> Further, since it is clear that the vehicle had been sold by way of judicial sale and as such the 3</w:t>
      </w:r>
      <w:r w:rsidR="00483189" w:rsidRPr="00483189">
        <w:rPr>
          <w:rFonts w:ascii="Bookman Old Style" w:hAnsi="Bookman Old Style"/>
          <w:vertAlign w:val="superscript"/>
        </w:rPr>
        <w:t>rd</w:t>
      </w:r>
      <w:r w:rsidR="0042368F">
        <w:rPr>
          <w:rFonts w:ascii="Bookman Old Style" w:hAnsi="Bookman Old Style"/>
        </w:rPr>
        <w:t xml:space="preserve"> D</w:t>
      </w:r>
      <w:r w:rsidR="00483189">
        <w:rPr>
          <w:rFonts w:ascii="Bookman Old Style" w:hAnsi="Bookman Old Style"/>
        </w:rPr>
        <w:t>efendant was obliged to make the transfer of the vehicle in accordance with the law in the absence of a stay Order. Hence it follows, that the 3</w:t>
      </w:r>
      <w:r w:rsidR="00483189" w:rsidRPr="00483189">
        <w:rPr>
          <w:rFonts w:ascii="Bookman Old Style" w:hAnsi="Bookman Old Style"/>
          <w:vertAlign w:val="superscript"/>
        </w:rPr>
        <w:t>rd</w:t>
      </w:r>
      <w:r w:rsidR="0042368F">
        <w:rPr>
          <w:rFonts w:ascii="Bookman Old Style" w:hAnsi="Bookman Old Style"/>
        </w:rPr>
        <w:t xml:space="preserve"> D</w:t>
      </w:r>
      <w:r w:rsidR="00483189">
        <w:rPr>
          <w:rFonts w:ascii="Bookman Old Style" w:hAnsi="Bookman Old Style"/>
        </w:rPr>
        <w:t xml:space="preserve">efendant </w:t>
      </w:r>
      <w:r w:rsidR="00483189">
        <w:rPr>
          <w:rFonts w:ascii="Bookman Old Style" w:hAnsi="Bookman Old Style"/>
        </w:rPr>
        <w:lastRenderedPageBreak/>
        <w:t>acted bona fide and in good faith in the discharge of its statutory duties.</w:t>
      </w:r>
    </w:p>
    <w:p w:rsidR="00411370" w:rsidRPr="00483189" w:rsidRDefault="00483189" w:rsidP="00411370">
      <w:pPr>
        <w:pStyle w:val="JudgmentText"/>
        <w:numPr>
          <w:ilvl w:val="0"/>
          <w:numId w:val="0"/>
        </w:numPr>
        <w:ind w:left="1440" w:hanging="720"/>
        <w:rPr>
          <w:rFonts w:ascii="Bookman Old Style" w:hAnsi="Bookman Old Style"/>
          <w:b/>
        </w:rPr>
      </w:pPr>
      <w:r>
        <w:rPr>
          <w:rFonts w:ascii="Bookman Old Style" w:hAnsi="Bookman Old Style"/>
        </w:rPr>
        <w:tab/>
      </w:r>
      <w:r w:rsidRPr="0042368F">
        <w:rPr>
          <w:rFonts w:ascii="Bookman Old Style" w:hAnsi="Bookman Old Style"/>
          <w:i/>
        </w:rPr>
        <w:t>Vis-a-</w:t>
      </w:r>
      <w:r w:rsidR="00411370" w:rsidRPr="0042368F">
        <w:rPr>
          <w:rFonts w:ascii="Bookman Old Style" w:hAnsi="Bookman Old Style"/>
          <w:i/>
        </w:rPr>
        <w:t>vis</w:t>
      </w:r>
      <w:r w:rsidR="00411370">
        <w:rPr>
          <w:rFonts w:ascii="Bookman Old Style" w:hAnsi="Bookman Old Style"/>
        </w:rPr>
        <w:t xml:space="preserve"> the 4</w:t>
      </w:r>
      <w:r w:rsidR="00411370" w:rsidRPr="00411370">
        <w:rPr>
          <w:rFonts w:ascii="Bookman Old Style" w:hAnsi="Bookman Old Style"/>
          <w:vertAlign w:val="superscript"/>
        </w:rPr>
        <w:t>th</w:t>
      </w:r>
      <w:r w:rsidR="00411370">
        <w:rPr>
          <w:rFonts w:ascii="Bookman Old Style" w:hAnsi="Bookman Old Style"/>
        </w:rPr>
        <w:t xml:space="preserve"> Defendant, it was further </w:t>
      </w:r>
      <w:r w:rsidR="00FB446C">
        <w:rPr>
          <w:rFonts w:ascii="Bookman Old Style" w:hAnsi="Bookman Old Style"/>
        </w:rPr>
        <w:t>submitted</w:t>
      </w:r>
      <w:r w:rsidR="00411370">
        <w:rPr>
          <w:rFonts w:ascii="Bookman Old Style" w:hAnsi="Bookman Old Style"/>
        </w:rPr>
        <w:t xml:space="preserve"> that the 4</w:t>
      </w:r>
      <w:r w:rsidR="00411370" w:rsidRPr="00411370">
        <w:rPr>
          <w:rFonts w:ascii="Bookman Old Style" w:hAnsi="Bookman Old Style"/>
          <w:vertAlign w:val="superscript"/>
        </w:rPr>
        <w:t>th</w:t>
      </w:r>
      <w:r w:rsidR="0042368F">
        <w:rPr>
          <w:rFonts w:ascii="Bookman Old Style" w:hAnsi="Bookman Old Style"/>
        </w:rPr>
        <w:t xml:space="preserve"> D</w:t>
      </w:r>
      <w:r w:rsidR="00411370">
        <w:rPr>
          <w:rFonts w:ascii="Bookman Old Style" w:hAnsi="Bookman Old Style"/>
        </w:rPr>
        <w:t>efendant’s duty is to maintain such registration of public documents being the custodian of such public documents so that the public has access to the said documents and records and it is not the obligation of the 4</w:t>
      </w:r>
      <w:r w:rsidR="00411370" w:rsidRPr="00411370">
        <w:rPr>
          <w:rFonts w:ascii="Bookman Old Style" w:hAnsi="Bookman Old Style"/>
          <w:vertAlign w:val="superscript"/>
        </w:rPr>
        <w:t>th</w:t>
      </w:r>
      <w:r w:rsidR="0042368F">
        <w:rPr>
          <w:rFonts w:ascii="Bookman Old Style" w:hAnsi="Bookman Old Style"/>
        </w:rPr>
        <w:t xml:space="preserve"> D</w:t>
      </w:r>
      <w:r w:rsidR="00411370">
        <w:rPr>
          <w:rFonts w:ascii="Bookman Old Style" w:hAnsi="Bookman Old Style"/>
        </w:rPr>
        <w:t>efendant to inform</w:t>
      </w:r>
      <w:r w:rsidR="0042368F">
        <w:rPr>
          <w:rFonts w:ascii="Bookman Old Style" w:hAnsi="Bookman Old Style"/>
        </w:rPr>
        <w:t xml:space="preserve"> the P</w:t>
      </w:r>
      <w:r>
        <w:rPr>
          <w:rFonts w:ascii="Bookman Old Style" w:hAnsi="Bookman Old Style"/>
        </w:rPr>
        <w:t>laintiff whether there is a ple</w:t>
      </w:r>
      <w:r w:rsidR="00411370">
        <w:rPr>
          <w:rFonts w:ascii="Bookman Old Style" w:hAnsi="Bookman Old Style"/>
        </w:rPr>
        <w:t>dge on the vehicl</w:t>
      </w:r>
      <w:r w:rsidR="0042368F">
        <w:rPr>
          <w:rFonts w:ascii="Bookman Old Style" w:hAnsi="Bookman Old Style"/>
        </w:rPr>
        <w:t>e of which the duty was on the P</w:t>
      </w:r>
      <w:r w:rsidR="00411370">
        <w:rPr>
          <w:rFonts w:ascii="Bookman Old Style" w:hAnsi="Bookman Old Style"/>
        </w:rPr>
        <w:t xml:space="preserve">laintiff to verify such </w:t>
      </w:r>
      <w:r w:rsidR="0042368F">
        <w:rPr>
          <w:rFonts w:ascii="Bookman Old Style" w:hAnsi="Bookman Old Style"/>
        </w:rPr>
        <w:t>documents the more so that the P</w:t>
      </w:r>
      <w:r w:rsidR="00411370">
        <w:rPr>
          <w:rFonts w:ascii="Bookman Old Style" w:hAnsi="Bookman Old Style"/>
        </w:rPr>
        <w:t>laintiff had knowledge that the vehicle was subject to a loan and as such the action should be dismissed against the 4</w:t>
      </w:r>
      <w:r w:rsidR="00411370" w:rsidRPr="00411370">
        <w:rPr>
          <w:rFonts w:ascii="Bookman Old Style" w:hAnsi="Bookman Old Style"/>
          <w:vertAlign w:val="superscript"/>
        </w:rPr>
        <w:t>th</w:t>
      </w:r>
      <w:r w:rsidR="0042368F">
        <w:rPr>
          <w:rFonts w:ascii="Bookman Old Style" w:hAnsi="Bookman Old Style"/>
        </w:rPr>
        <w:t xml:space="preserve"> D</w:t>
      </w:r>
      <w:r w:rsidR="00411370">
        <w:rPr>
          <w:rFonts w:ascii="Bookman Old Style" w:hAnsi="Bookman Old Style"/>
        </w:rPr>
        <w:t xml:space="preserve">efendant for not disclosing any reasonable cause of action against </w:t>
      </w:r>
      <w:r>
        <w:rPr>
          <w:rFonts w:ascii="Bookman Old Style" w:hAnsi="Bookman Old Style"/>
        </w:rPr>
        <w:t>t</w:t>
      </w:r>
      <w:r w:rsidR="00411370">
        <w:rPr>
          <w:rFonts w:ascii="Bookman Old Style" w:hAnsi="Bookman Old Style"/>
        </w:rPr>
        <w:t>he 4</w:t>
      </w:r>
      <w:r w:rsidR="00411370" w:rsidRPr="00411370">
        <w:rPr>
          <w:rFonts w:ascii="Bookman Old Style" w:hAnsi="Bookman Old Style"/>
          <w:vertAlign w:val="superscript"/>
        </w:rPr>
        <w:t>th</w:t>
      </w:r>
      <w:r w:rsidR="0042368F">
        <w:rPr>
          <w:rFonts w:ascii="Bookman Old Style" w:hAnsi="Bookman Old Style"/>
        </w:rPr>
        <w:t xml:space="preserve"> D</w:t>
      </w:r>
      <w:r>
        <w:rPr>
          <w:rFonts w:ascii="Bookman Old Style" w:hAnsi="Bookman Old Style"/>
        </w:rPr>
        <w:t xml:space="preserve">efendant since </w:t>
      </w:r>
      <w:r w:rsidRPr="0042368F">
        <w:rPr>
          <w:rFonts w:ascii="Bookman Old Style" w:hAnsi="Bookman Old Style"/>
          <w:i/>
        </w:rPr>
        <w:t>ex-facie</w:t>
      </w:r>
      <w:r>
        <w:rPr>
          <w:rFonts w:ascii="Bookman Old Style" w:hAnsi="Bookman Old Style"/>
        </w:rPr>
        <w:t xml:space="preserve"> the plea</w:t>
      </w:r>
      <w:r w:rsidR="00411370">
        <w:rPr>
          <w:rFonts w:ascii="Bookman Old Style" w:hAnsi="Bookman Old Style"/>
        </w:rPr>
        <w:t xml:space="preserve">dings it is apparent that no averment </w:t>
      </w:r>
      <w:r>
        <w:rPr>
          <w:rFonts w:ascii="Bookman Old Style" w:hAnsi="Bookman Old Style"/>
        </w:rPr>
        <w:t>of bad faith has been plea</w:t>
      </w:r>
      <w:r w:rsidR="00411370">
        <w:rPr>
          <w:rFonts w:ascii="Bookman Old Style" w:hAnsi="Bookman Old Style"/>
        </w:rPr>
        <w:t xml:space="preserve">ded against </w:t>
      </w:r>
      <w:r>
        <w:rPr>
          <w:rFonts w:ascii="Bookman Old Style" w:hAnsi="Bookman Old Style"/>
        </w:rPr>
        <w:t>t</w:t>
      </w:r>
      <w:r w:rsidR="00411370">
        <w:rPr>
          <w:rFonts w:ascii="Bookman Old Style" w:hAnsi="Bookman Old Style"/>
        </w:rPr>
        <w:t>he 4</w:t>
      </w:r>
      <w:r w:rsidR="00411370" w:rsidRPr="00411370">
        <w:rPr>
          <w:rFonts w:ascii="Bookman Old Style" w:hAnsi="Bookman Old Style"/>
          <w:vertAlign w:val="superscript"/>
        </w:rPr>
        <w:t>th</w:t>
      </w:r>
      <w:r w:rsidR="0042368F">
        <w:rPr>
          <w:rFonts w:ascii="Bookman Old Style" w:hAnsi="Bookman Old Style"/>
        </w:rPr>
        <w:t xml:space="preserve"> D</w:t>
      </w:r>
      <w:r w:rsidR="00411370">
        <w:rPr>
          <w:rFonts w:ascii="Bookman Old Style" w:hAnsi="Bookman Old Style"/>
        </w:rPr>
        <w:t xml:space="preserve">efendant and in support of the latter submission Court was referred </w:t>
      </w:r>
      <w:r>
        <w:rPr>
          <w:rFonts w:ascii="Bookman Old Style" w:hAnsi="Bookman Old Style"/>
        </w:rPr>
        <w:t xml:space="preserve">to the case of </w:t>
      </w:r>
      <w:r w:rsidRPr="00483189">
        <w:rPr>
          <w:rFonts w:ascii="Bookman Old Style" w:hAnsi="Bookman Old Style"/>
          <w:b/>
        </w:rPr>
        <w:t>(Jean</w:t>
      </w:r>
      <w:r w:rsidR="00411370" w:rsidRPr="00483189">
        <w:rPr>
          <w:rFonts w:ascii="Bookman Old Style" w:hAnsi="Bookman Old Style"/>
          <w:b/>
        </w:rPr>
        <w:t xml:space="preserve"> Louis </w:t>
      </w:r>
      <w:proofErr w:type="spellStart"/>
      <w:r w:rsidR="00411370" w:rsidRPr="00483189">
        <w:rPr>
          <w:rFonts w:ascii="Bookman Old Style" w:hAnsi="Bookman Old Style"/>
          <w:b/>
        </w:rPr>
        <w:t>Dugasse</w:t>
      </w:r>
      <w:proofErr w:type="spellEnd"/>
      <w:r w:rsidR="00411370" w:rsidRPr="00483189">
        <w:rPr>
          <w:rFonts w:ascii="Bookman Old Style" w:hAnsi="Bookman Old Style"/>
          <w:b/>
        </w:rPr>
        <w:t xml:space="preserve"> v/s </w:t>
      </w:r>
      <w:proofErr w:type="spellStart"/>
      <w:r w:rsidR="00411370" w:rsidRPr="00483189">
        <w:rPr>
          <w:rFonts w:ascii="Bookman Old Style" w:hAnsi="Bookman Old Style"/>
          <w:b/>
        </w:rPr>
        <w:t>SylvetteHoareau</w:t>
      </w:r>
      <w:proofErr w:type="spellEnd"/>
      <w:r w:rsidR="00411370" w:rsidRPr="00483189">
        <w:rPr>
          <w:rFonts w:ascii="Bookman Old Style" w:hAnsi="Bookman Old Style"/>
          <w:b/>
        </w:rPr>
        <w:t xml:space="preserve"> and </w:t>
      </w:r>
      <w:proofErr w:type="spellStart"/>
      <w:r w:rsidR="00411370" w:rsidRPr="00483189">
        <w:rPr>
          <w:rFonts w:ascii="Bookman Old Style" w:hAnsi="Bookman Old Style"/>
          <w:b/>
        </w:rPr>
        <w:t>Gustave</w:t>
      </w:r>
      <w:proofErr w:type="spellEnd"/>
      <w:r w:rsidR="00411370" w:rsidRPr="00483189">
        <w:rPr>
          <w:rFonts w:ascii="Bookman Old Style" w:hAnsi="Bookman Old Style"/>
          <w:b/>
        </w:rPr>
        <w:t xml:space="preserve"> </w:t>
      </w:r>
      <w:proofErr w:type="spellStart"/>
      <w:r w:rsidR="00411370" w:rsidRPr="00483189">
        <w:rPr>
          <w:rFonts w:ascii="Bookman Old Style" w:hAnsi="Bookman Old Style"/>
          <w:b/>
        </w:rPr>
        <w:t>Dodin</w:t>
      </w:r>
      <w:proofErr w:type="spellEnd"/>
      <w:r w:rsidR="00411370" w:rsidRPr="00483189">
        <w:rPr>
          <w:rFonts w:ascii="Bookman Old Style" w:hAnsi="Bookman Old Style"/>
          <w:b/>
        </w:rPr>
        <w:t xml:space="preserve"> Civil Side No. 103 of 2003</w:t>
      </w:r>
      <w:r>
        <w:rPr>
          <w:rFonts w:ascii="Bookman Old Style" w:hAnsi="Bookman Old Style"/>
          <w:b/>
        </w:rPr>
        <w:t>)</w:t>
      </w:r>
    </w:p>
    <w:p w:rsidR="00483189" w:rsidRPr="00483189" w:rsidRDefault="00483189" w:rsidP="00483189">
      <w:pPr>
        <w:pStyle w:val="JudgmentText"/>
        <w:numPr>
          <w:ilvl w:val="0"/>
          <w:numId w:val="0"/>
        </w:numPr>
        <w:ind w:left="1440" w:hanging="720"/>
        <w:rPr>
          <w:rFonts w:ascii="Bookman Old Style" w:hAnsi="Bookman Old Style"/>
        </w:rPr>
      </w:pPr>
      <w:r>
        <w:rPr>
          <w:rFonts w:ascii="Bookman Old Style" w:hAnsi="Bookman Old Style"/>
        </w:rPr>
        <w:t>2.</w:t>
      </w:r>
      <w:r>
        <w:rPr>
          <w:rFonts w:ascii="Bookman Old Style" w:hAnsi="Bookman Old Style"/>
        </w:rPr>
        <w:tab/>
        <w:t>Secondly, in resp</w:t>
      </w:r>
      <w:r w:rsidR="00202376">
        <w:rPr>
          <w:rFonts w:ascii="Bookman Old Style" w:hAnsi="Bookman Old Style"/>
        </w:rPr>
        <w:t xml:space="preserve">ect of the second plea in </w:t>
      </w:r>
      <w:proofErr w:type="spellStart"/>
      <w:r w:rsidR="00202376">
        <w:rPr>
          <w:rFonts w:ascii="Bookman Old Style" w:hAnsi="Bookman Old Style"/>
        </w:rPr>
        <w:t>limin</w:t>
      </w:r>
      <w:r>
        <w:rPr>
          <w:rFonts w:ascii="Bookman Old Style" w:hAnsi="Bookman Old Style"/>
        </w:rPr>
        <w:t>e</w:t>
      </w:r>
      <w:proofErr w:type="spellEnd"/>
      <w:r w:rsidR="00202376">
        <w:rPr>
          <w:rFonts w:ascii="Bookman Old Style" w:hAnsi="Bookman Old Style"/>
        </w:rPr>
        <w:t xml:space="preserve"> </w:t>
      </w:r>
      <w:proofErr w:type="spellStart"/>
      <w:r>
        <w:rPr>
          <w:rFonts w:ascii="Bookman Old Style" w:hAnsi="Bookman Old Style"/>
        </w:rPr>
        <w:t>litis</w:t>
      </w:r>
      <w:proofErr w:type="spellEnd"/>
      <w:r>
        <w:rPr>
          <w:rFonts w:ascii="Bookman Old Style" w:hAnsi="Bookman Old Style"/>
        </w:rPr>
        <w:t xml:space="preserve"> as raised in that, ‘</w:t>
      </w:r>
      <w:r w:rsidRPr="00087F58">
        <w:rPr>
          <w:rFonts w:ascii="Bookman Old Style" w:hAnsi="Bookman Old Style"/>
          <w:i/>
        </w:rPr>
        <w:t>the action is prescribed by law against the 4</w:t>
      </w:r>
      <w:r w:rsidRPr="00087F58">
        <w:rPr>
          <w:rFonts w:ascii="Bookman Old Style" w:hAnsi="Bookman Old Style"/>
          <w:i/>
          <w:vertAlign w:val="superscript"/>
        </w:rPr>
        <w:t>th</w:t>
      </w:r>
      <w:r w:rsidR="00202376">
        <w:rPr>
          <w:rFonts w:ascii="Bookman Old Style" w:hAnsi="Bookman Old Style"/>
          <w:i/>
        </w:rPr>
        <w:t xml:space="preserve"> D</w:t>
      </w:r>
      <w:r w:rsidRPr="00087F58">
        <w:rPr>
          <w:rFonts w:ascii="Bookman Old Style" w:hAnsi="Bookman Old Style"/>
          <w:i/>
        </w:rPr>
        <w:t>efendant as provided for in the P</w:t>
      </w:r>
      <w:r>
        <w:rPr>
          <w:rFonts w:ascii="Bookman Old Style" w:hAnsi="Bookman Old Style"/>
          <w:i/>
        </w:rPr>
        <w:t>ublic Officers (Protection) Act’</w:t>
      </w:r>
      <w:r w:rsidR="00FB446C">
        <w:rPr>
          <w:rFonts w:ascii="Bookman Old Style" w:hAnsi="Bookman Old Style"/>
          <w:i/>
        </w:rPr>
        <w:t>,</w:t>
      </w:r>
      <w:r w:rsidR="00FB446C">
        <w:rPr>
          <w:rFonts w:ascii="Bookman Old Style" w:hAnsi="Bookman Old Style"/>
        </w:rPr>
        <w:t>it is</w:t>
      </w:r>
      <w:r w:rsidRPr="00483189">
        <w:rPr>
          <w:rFonts w:ascii="Bookman Old Style" w:hAnsi="Bookman Old Style"/>
        </w:rPr>
        <w:t xml:space="preserve"> submitted that </w:t>
      </w:r>
      <w:r>
        <w:rPr>
          <w:rFonts w:ascii="Bookman Old Style" w:hAnsi="Bookman Old Style"/>
        </w:rPr>
        <w:t>again</w:t>
      </w:r>
      <w:r w:rsidR="00B626B1">
        <w:rPr>
          <w:rFonts w:ascii="Bookman Old Style" w:hAnsi="Bookman Old Style"/>
        </w:rPr>
        <w:t>,</w:t>
      </w:r>
      <w:r>
        <w:rPr>
          <w:rFonts w:ascii="Bookman Old Style" w:hAnsi="Bookman Old Style"/>
        </w:rPr>
        <w:t xml:space="preserve"> </w:t>
      </w:r>
      <w:r w:rsidRPr="00202376">
        <w:rPr>
          <w:rFonts w:ascii="Bookman Old Style" w:hAnsi="Bookman Old Style"/>
          <w:i/>
        </w:rPr>
        <w:t>ex-facie</w:t>
      </w:r>
      <w:r>
        <w:rPr>
          <w:rFonts w:ascii="Bookman Old Style" w:hAnsi="Bookman Old Style"/>
        </w:rPr>
        <w:t xml:space="preserve"> the pleadings, it is clear in </w:t>
      </w:r>
      <w:r w:rsidR="00202376">
        <w:rPr>
          <w:rFonts w:ascii="Bookman Old Style" w:hAnsi="Bookman Old Style"/>
        </w:rPr>
        <w:t>paragraph 5 of the P</w:t>
      </w:r>
      <w:r w:rsidR="00B626B1">
        <w:rPr>
          <w:rFonts w:ascii="Bookman Old Style" w:hAnsi="Bookman Old Style"/>
        </w:rPr>
        <w:t>laint that the pledge was fully registered on the 14</w:t>
      </w:r>
      <w:r w:rsidR="00B626B1" w:rsidRPr="00B626B1">
        <w:rPr>
          <w:rFonts w:ascii="Bookman Old Style" w:hAnsi="Bookman Old Style"/>
          <w:vertAlign w:val="superscript"/>
        </w:rPr>
        <w:t>th</w:t>
      </w:r>
      <w:r w:rsidR="00B626B1">
        <w:rPr>
          <w:rFonts w:ascii="Bookman Old Style" w:hAnsi="Bookman Old Style"/>
        </w:rPr>
        <w:t xml:space="preserve"> day of March 2012 in favour of the Government of Seychelles by the 4</w:t>
      </w:r>
      <w:r w:rsidR="00B626B1" w:rsidRPr="00B626B1">
        <w:rPr>
          <w:rFonts w:ascii="Bookman Old Style" w:hAnsi="Bookman Old Style"/>
          <w:vertAlign w:val="superscript"/>
        </w:rPr>
        <w:t>th</w:t>
      </w:r>
      <w:r w:rsidR="00B626B1">
        <w:rPr>
          <w:rFonts w:ascii="Bookman Old Style" w:hAnsi="Bookman Old Style"/>
        </w:rPr>
        <w:t xml:space="preserve"> Defendant a</w:t>
      </w:r>
      <w:r w:rsidR="00202376">
        <w:rPr>
          <w:rFonts w:ascii="Bookman Old Style" w:hAnsi="Bookman Old Style"/>
        </w:rPr>
        <w:t>nd in paragraph 13 of the same Plaint, the P</w:t>
      </w:r>
      <w:r w:rsidR="00B626B1">
        <w:rPr>
          <w:rFonts w:ascii="Bookman Old Style" w:hAnsi="Bookman Old Style"/>
        </w:rPr>
        <w:t>laintiff avers that it was the fault of the 4</w:t>
      </w:r>
      <w:r w:rsidR="00B626B1" w:rsidRPr="00B626B1">
        <w:rPr>
          <w:rFonts w:ascii="Bookman Old Style" w:hAnsi="Bookman Old Style"/>
          <w:vertAlign w:val="superscript"/>
        </w:rPr>
        <w:t>th</w:t>
      </w:r>
      <w:r w:rsidR="00B626B1">
        <w:rPr>
          <w:rFonts w:ascii="Bookman Old Style" w:hAnsi="Bookman Old Style"/>
        </w:rPr>
        <w:t xml:space="preserve"> Defendant w</w:t>
      </w:r>
      <w:r w:rsidR="00202376">
        <w:rPr>
          <w:rFonts w:ascii="Bookman Old Style" w:hAnsi="Bookman Old Style"/>
        </w:rPr>
        <w:t>ho registered a pledge for the P</w:t>
      </w:r>
      <w:r w:rsidR="00B626B1">
        <w:rPr>
          <w:rFonts w:ascii="Bookman Old Style" w:hAnsi="Bookman Old Style"/>
        </w:rPr>
        <w:t>laintiff in favour of the Government of Seychelles without giving proper attention as to if the vehic</w:t>
      </w:r>
      <w:r w:rsidR="00216BEB">
        <w:rPr>
          <w:rFonts w:ascii="Bookman Old Style" w:hAnsi="Bookman Old Style"/>
        </w:rPr>
        <w:t xml:space="preserve">le was already pledged or not. </w:t>
      </w:r>
      <w:r w:rsidR="00B626B1">
        <w:rPr>
          <w:rFonts w:ascii="Bookman Old Style" w:hAnsi="Bookman Old Style"/>
        </w:rPr>
        <w:t>As such, it is clear that the cause of action arose on the 14</w:t>
      </w:r>
      <w:r w:rsidR="00B626B1" w:rsidRPr="00B626B1">
        <w:rPr>
          <w:rFonts w:ascii="Bookman Old Style" w:hAnsi="Bookman Old Style"/>
          <w:vertAlign w:val="superscript"/>
        </w:rPr>
        <w:t>th</w:t>
      </w:r>
      <w:r w:rsidR="00B626B1">
        <w:rPr>
          <w:rFonts w:ascii="Bookman Old Style" w:hAnsi="Bookman Old Style"/>
        </w:rPr>
        <w:t xml:space="preserve"> day of </w:t>
      </w:r>
      <w:r w:rsidR="003B2E3F">
        <w:rPr>
          <w:rFonts w:ascii="Bookman Old Style" w:hAnsi="Bookman Old Style"/>
        </w:rPr>
        <w:t>March 2012</w:t>
      </w:r>
      <w:r w:rsidR="00202376">
        <w:rPr>
          <w:rFonts w:ascii="Bookman Old Style" w:hAnsi="Bookman Old Style"/>
        </w:rPr>
        <w:t xml:space="preserve"> and the P</w:t>
      </w:r>
      <w:r w:rsidR="00B626B1">
        <w:rPr>
          <w:rFonts w:ascii="Bookman Old Style" w:hAnsi="Bookman Old Style"/>
        </w:rPr>
        <w:t>laint filed on the 11</w:t>
      </w:r>
      <w:r w:rsidR="00B626B1" w:rsidRPr="00B626B1">
        <w:rPr>
          <w:rFonts w:ascii="Bookman Old Style" w:hAnsi="Bookman Old Style"/>
          <w:vertAlign w:val="superscript"/>
        </w:rPr>
        <w:t>th</w:t>
      </w:r>
      <w:r w:rsidR="00B626B1">
        <w:rPr>
          <w:rFonts w:ascii="Bookman Old Style" w:hAnsi="Bookman Old Style"/>
        </w:rPr>
        <w:t xml:space="preserve"> day of </w:t>
      </w:r>
      <w:r w:rsidR="003B2E3F">
        <w:rPr>
          <w:rFonts w:ascii="Bookman Old Style" w:hAnsi="Bookman Old Style"/>
        </w:rPr>
        <w:lastRenderedPageBreak/>
        <w:t>August 2014. In that instance, S</w:t>
      </w:r>
      <w:r w:rsidR="00B626B1">
        <w:rPr>
          <w:rFonts w:ascii="Bookman Old Style" w:hAnsi="Bookman Old Style"/>
        </w:rPr>
        <w:t>ection 3 of the POPA provides that no action to enforce any</w:t>
      </w:r>
      <w:r w:rsidR="003B2E3F">
        <w:rPr>
          <w:rFonts w:ascii="Bookman Old Style" w:hAnsi="Bookman Old Style"/>
        </w:rPr>
        <w:t xml:space="preserve"> claim in respect of any act don</w:t>
      </w:r>
      <w:r w:rsidR="00B626B1">
        <w:rPr>
          <w:rFonts w:ascii="Bookman Old Style" w:hAnsi="Bookman Old Style"/>
        </w:rPr>
        <w:t xml:space="preserve">e or omitted to be done by a public officer in execution of his office or any act done or omitted to be done by any person in the lawful; performance of a public </w:t>
      </w:r>
      <w:r w:rsidR="00202376">
        <w:rPr>
          <w:rFonts w:ascii="Bookman Old Style" w:hAnsi="Bookman Old Style"/>
        </w:rPr>
        <w:t>duty shall be entertained by a C</w:t>
      </w:r>
      <w:r w:rsidR="00B626B1">
        <w:rPr>
          <w:rFonts w:ascii="Bookman Old Style" w:hAnsi="Bookman Old Style"/>
        </w:rPr>
        <w:t>ourt unless the action is commenced not later than six months after the claim arose. As such an action was filed more than s</w:t>
      </w:r>
      <w:r w:rsidR="00202376">
        <w:rPr>
          <w:rFonts w:ascii="Bookman Old Style" w:hAnsi="Bookman Old Style"/>
        </w:rPr>
        <w:t xml:space="preserve">ix months after the claim arose, </w:t>
      </w:r>
      <w:r w:rsidR="00B626B1">
        <w:rPr>
          <w:rFonts w:ascii="Bookman Old Style" w:hAnsi="Bookman Old Style"/>
        </w:rPr>
        <w:t>such action should be dismissed against the 4</w:t>
      </w:r>
      <w:r w:rsidR="00B626B1" w:rsidRPr="00B626B1">
        <w:rPr>
          <w:rFonts w:ascii="Bookman Old Style" w:hAnsi="Bookman Old Style"/>
          <w:vertAlign w:val="superscript"/>
        </w:rPr>
        <w:t>th</w:t>
      </w:r>
      <w:r w:rsidR="00B626B1">
        <w:rPr>
          <w:rFonts w:ascii="Bookman Old Style" w:hAnsi="Bookman Old Style"/>
        </w:rPr>
        <w:t xml:space="preserve"> Defendant since it is prescribed by law. </w:t>
      </w:r>
    </w:p>
    <w:p w:rsidR="005C5690" w:rsidRDefault="00FB446C" w:rsidP="005C5690">
      <w:pPr>
        <w:pStyle w:val="JudgmentText"/>
        <w:numPr>
          <w:ilvl w:val="0"/>
          <w:numId w:val="0"/>
        </w:numPr>
        <w:ind w:left="720" w:hanging="720"/>
        <w:rPr>
          <w:rFonts w:ascii="Bookman Old Style" w:hAnsi="Bookman Old Style"/>
        </w:rPr>
      </w:pPr>
      <w:r>
        <w:rPr>
          <w:rFonts w:ascii="Bookman Old Style" w:hAnsi="Bookman Old Style"/>
        </w:rPr>
        <w:t>[5]</w:t>
      </w:r>
      <w:r>
        <w:rPr>
          <w:rFonts w:ascii="Bookman Old Style" w:hAnsi="Bookman Old Style"/>
        </w:rPr>
        <w:tab/>
        <w:t>Learned Counsel Mr. C. Andre on his</w:t>
      </w:r>
      <w:r w:rsidR="005C5690">
        <w:rPr>
          <w:rFonts w:ascii="Bookman Old Style" w:hAnsi="Bookman Old Style"/>
        </w:rPr>
        <w:t xml:space="preserve"> part </w:t>
      </w:r>
      <w:r w:rsidR="000505D3">
        <w:rPr>
          <w:rFonts w:ascii="Bookman Old Style" w:hAnsi="Bookman Old Style"/>
        </w:rPr>
        <w:t xml:space="preserve">on behalf of the Plaintiff, </w:t>
      </w:r>
      <w:r w:rsidR="005C5690">
        <w:rPr>
          <w:rFonts w:ascii="Bookman Old Style" w:hAnsi="Bookman Old Style"/>
        </w:rPr>
        <w:t xml:space="preserve">objected </w:t>
      </w:r>
      <w:r w:rsidR="0019348E">
        <w:rPr>
          <w:rFonts w:ascii="Bookman Old Style" w:hAnsi="Bookman Old Style"/>
        </w:rPr>
        <w:t xml:space="preserve">to both </w:t>
      </w:r>
      <w:r w:rsidR="005C5690">
        <w:rPr>
          <w:rFonts w:ascii="Bookman Old Style" w:hAnsi="Bookman Old Style"/>
        </w:rPr>
        <w:t xml:space="preserve">points of law as raised </w:t>
      </w:r>
      <w:r w:rsidR="00216BEB">
        <w:rPr>
          <w:rFonts w:ascii="Bookman Old Style" w:hAnsi="Bookman Old Style"/>
        </w:rPr>
        <w:t xml:space="preserve">and </w:t>
      </w:r>
      <w:r w:rsidR="005C5690">
        <w:rPr>
          <w:rFonts w:ascii="Bookman Old Style" w:hAnsi="Bookman Old Style"/>
        </w:rPr>
        <w:t xml:space="preserve">briefly </w:t>
      </w:r>
      <w:r w:rsidR="00216BEB">
        <w:rPr>
          <w:rFonts w:ascii="Bookman Old Style" w:hAnsi="Bookman Old Style"/>
        </w:rPr>
        <w:t xml:space="preserve">submitted </w:t>
      </w:r>
      <w:r w:rsidR="00D63CA2">
        <w:rPr>
          <w:rFonts w:ascii="Bookman Old Style" w:hAnsi="Bookman Old Style"/>
        </w:rPr>
        <w:t xml:space="preserve">in respect of the first plea in </w:t>
      </w:r>
      <w:proofErr w:type="spellStart"/>
      <w:r w:rsidR="00D63CA2">
        <w:rPr>
          <w:rFonts w:ascii="Bookman Old Style" w:hAnsi="Bookman Old Style"/>
        </w:rPr>
        <w:t>limine</w:t>
      </w:r>
      <w:proofErr w:type="spellEnd"/>
      <w:r w:rsidR="00202376">
        <w:rPr>
          <w:rFonts w:ascii="Bookman Old Style" w:hAnsi="Bookman Old Style"/>
        </w:rPr>
        <w:t xml:space="preserve"> </w:t>
      </w:r>
      <w:proofErr w:type="spellStart"/>
      <w:r w:rsidR="00D63CA2">
        <w:rPr>
          <w:rFonts w:ascii="Bookman Old Style" w:hAnsi="Bookman Old Style"/>
        </w:rPr>
        <w:t>litis</w:t>
      </w:r>
      <w:proofErr w:type="spellEnd"/>
      <w:r w:rsidR="00202376">
        <w:rPr>
          <w:rFonts w:ascii="Bookman Old Style" w:hAnsi="Bookman Old Style"/>
        </w:rPr>
        <w:t xml:space="preserve"> </w:t>
      </w:r>
      <w:r w:rsidR="008365B7">
        <w:rPr>
          <w:rFonts w:ascii="Bookman Old Style" w:hAnsi="Bookman Old Style"/>
        </w:rPr>
        <w:t xml:space="preserve">that, there is a good </w:t>
      </w:r>
      <w:r w:rsidR="000505D3">
        <w:rPr>
          <w:rFonts w:ascii="Bookman Old Style" w:hAnsi="Bookman Old Style"/>
        </w:rPr>
        <w:t>cause of action pleaded in the P</w:t>
      </w:r>
      <w:r w:rsidR="008365B7">
        <w:rPr>
          <w:rFonts w:ascii="Bookman Old Style" w:hAnsi="Bookman Old Style"/>
        </w:rPr>
        <w:t xml:space="preserve">laint and that </w:t>
      </w:r>
      <w:r w:rsidR="000505D3">
        <w:rPr>
          <w:rFonts w:ascii="Bookman Old Style" w:hAnsi="Bookman Old Style"/>
        </w:rPr>
        <w:t>the P</w:t>
      </w:r>
      <w:r w:rsidR="00202376">
        <w:rPr>
          <w:rFonts w:ascii="Bookman Old Style" w:hAnsi="Bookman Old Style"/>
        </w:rPr>
        <w:t>laintiff</w:t>
      </w:r>
      <w:r w:rsidR="008365B7">
        <w:rPr>
          <w:rFonts w:ascii="Bookman Old Style" w:hAnsi="Bookman Old Style"/>
        </w:rPr>
        <w:t xml:space="preserve"> pleaded fault as against both 3</w:t>
      </w:r>
      <w:r w:rsidR="008365B7" w:rsidRPr="008365B7">
        <w:rPr>
          <w:rFonts w:ascii="Bookman Old Style" w:hAnsi="Bookman Old Style"/>
          <w:vertAlign w:val="superscript"/>
        </w:rPr>
        <w:t>rd</w:t>
      </w:r>
      <w:r w:rsidR="008365B7">
        <w:rPr>
          <w:rFonts w:ascii="Bookman Old Style" w:hAnsi="Bookman Old Style"/>
        </w:rPr>
        <w:t xml:space="preserve"> and 4</w:t>
      </w:r>
      <w:r w:rsidR="008365B7" w:rsidRPr="008365B7">
        <w:rPr>
          <w:rFonts w:ascii="Bookman Old Style" w:hAnsi="Bookman Old Style"/>
          <w:vertAlign w:val="superscript"/>
        </w:rPr>
        <w:t>th</w:t>
      </w:r>
      <w:r w:rsidR="008365B7">
        <w:rPr>
          <w:rFonts w:ascii="Bookman Old Style" w:hAnsi="Bookman Old Style"/>
        </w:rPr>
        <w:t xml:space="preserve"> Defendants which needs to be disposed of and </w:t>
      </w:r>
      <w:r w:rsidR="000505D3">
        <w:rPr>
          <w:rFonts w:ascii="Bookman Old Style" w:hAnsi="Bookman Old Style"/>
        </w:rPr>
        <w:t>J</w:t>
      </w:r>
      <w:r w:rsidR="008365B7">
        <w:rPr>
          <w:rFonts w:ascii="Bookman Old Style" w:hAnsi="Bookman Old Style"/>
        </w:rPr>
        <w:t xml:space="preserve">udgement accordingly given. In respect of the second plea in </w:t>
      </w:r>
      <w:proofErr w:type="spellStart"/>
      <w:r w:rsidR="008365B7">
        <w:rPr>
          <w:rFonts w:ascii="Bookman Old Style" w:hAnsi="Bookman Old Style"/>
        </w:rPr>
        <w:t>limine</w:t>
      </w:r>
      <w:proofErr w:type="spellEnd"/>
      <w:r w:rsidR="00202376">
        <w:rPr>
          <w:rFonts w:ascii="Bookman Old Style" w:hAnsi="Bookman Old Style"/>
        </w:rPr>
        <w:t xml:space="preserve"> </w:t>
      </w:r>
      <w:r w:rsidR="008365B7" w:rsidRPr="00202376">
        <w:rPr>
          <w:rFonts w:ascii="Bookman Old Style" w:hAnsi="Bookman Old Style"/>
          <w:i/>
        </w:rPr>
        <w:t>a</w:t>
      </w:r>
      <w:r w:rsidR="00202376" w:rsidRPr="00202376">
        <w:rPr>
          <w:rFonts w:ascii="Bookman Old Style" w:hAnsi="Bookman Old Style"/>
          <w:i/>
        </w:rPr>
        <w:t xml:space="preserve"> </w:t>
      </w:r>
      <w:proofErr w:type="spellStart"/>
      <w:r w:rsidR="008365B7" w:rsidRPr="00202376">
        <w:rPr>
          <w:rFonts w:ascii="Bookman Old Style" w:hAnsi="Bookman Old Style"/>
          <w:i/>
        </w:rPr>
        <w:t>l’egard</w:t>
      </w:r>
      <w:proofErr w:type="spellEnd"/>
      <w:r w:rsidR="008365B7">
        <w:rPr>
          <w:rFonts w:ascii="Bookman Old Style" w:hAnsi="Bookman Old Style"/>
        </w:rPr>
        <w:t xml:space="preserve"> the 4</w:t>
      </w:r>
      <w:r w:rsidR="008365B7" w:rsidRPr="008365B7">
        <w:rPr>
          <w:rFonts w:ascii="Bookman Old Style" w:hAnsi="Bookman Old Style"/>
          <w:vertAlign w:val="superscript"/>
        </w:rPr>
        <w:t>th</w:t>
      </w:r>
      <w:r w:rsidR="00202376">
        <w:rPr>
          <w:rFonts w:ascii="Bookman Old Style" w:hAnsi="Bookman Old Style"/>
        </w:rPr>
        <w:t xml:space="preserve"> D</w:t>
      </w:r>
      <w:r w:rsidR="008365B7">
        <w:rPr>
          <w:rFonts w:ascii="Bookman Old Style" w:hAnsi="Bookman Old Style"/>
        </w:rPr>
        <w:t>efendant, it is further submitte</w:t>
      </w:r>
      <w:r w:rsidR="000505D3">
        <w:rPr>
          <w:rFonts w:ascii="Bookman Old Style" w:hAnsi="Bookman Old Style"/>
        </w:rPr>
        <w:t>d that the matter to which the P</w:t>
      </w:r>
      <w:r w:rsidR="008365B7">
        <w:rPr>
          <w:rFonts w:ascii="Bookman Old Style" w:hAnsi="Bookman Old Style"/>
        </w:rPr>
        <w:t>laint is based arose on the 17</w:t>
      </w:r>
      <w:r w:rsidR="008365B7" w:rsidRPr="008365B7">
        <w:rPr>
          <w:rFonts w:ascii="Bookman Old Style" w:hAnsi="Bookman Old Style"/>
          <w:vertAlign w:val="superscript"/>
        </w:rPr>
        <w:t>th</w:t>
      </w:r>
      <w:r w:rsidR="00202376">
        <w:rPr>
          <w:rFonts w:ascii="Bookman Old Style" w:hAnsi="Bookman Old Style"/>
          <w:vertAlign w:val="superscript"/>
        </w:rPr>
        <w:t xml:space="preserve"> </w:t>
      </w:r>
      <w:r w:rsidR="000505D3">
        <w:rPr>
          <w:rFonts w:ascii="Bookman Old Style" w:hAnsi="Bookman Old Style"/>
        </w:rPr>
        <w:t>day of February 2014 and not from the date that the P</w:t>
      </w:r>
      <w:r w:rsidR="008365B7">
        <w:rPr>
          <w:rFonts w:ascii="Bookman Old Style" w:hAnsi="Bookman Old Style"/>
        </w:rPr>
        <w:t xml:space="preserve">laintiff registered the vehicle in 2012 hence that plea in </w:t>
      </w:r>
      <w:proofErr w:type="spellStart"/>
      <w:r w:rsidR="008365B7">
        <w:rPr>
          <w:rFonts w:ascii="Bookman Old Style" w:hAnsi="Bookman Old Style"/>
        </w:rPr>
        <w:t>limine</w:t>
      </w:r>
      <w:proofErr w:type="spellEnd"/>
      <w:r w:rsidR="00202376">
        <w:rPr>
          <w:rFonts w:ascii="Bookman Old Style" w:hAnsi="Bookman Old Style"/>
        </w:rPr>
        <w:t xml:space="preserve"> </w:t>
      </w:r>
      <w:proofErr w:type="spellStart"/>
      <w:r w:rsidR="008365B7">
        <w:rPr>
          <w:rFonts w:ascii="Bookman Old Style" w:hAnsi="Bookman Old Style"/>
        </w:rPr>
        <w:t>litis</w:t>
      </w:r>
      <w:proofErr w:type="spellEnd"/>
      <w:r w:rsidR="008365B7">
        <w:rPr>
          <w:rFonts w:ascii="Bookman Old Style" w:hAnsi="Bookman Old Style"/>
        </w:rPr>
        <w:t xml:space="preserve"> should be dismissed.</w:t>
      </w:r>
    </w:p>
    <w:p w:rsidR="008365B7" w:rsidRDefault="00D50CB6" w:rsidP="005248A7">
      <w:pPr>
        <w:pStyle w:val="JudgmentText"/>
        <w:numPr>
          <w:ilvl w:val="0"/>
          <w:numId w:val="0"/>
        </w:numPr>
        <w:ind w:left="720" w:hanging="720"/>
        <w:rPr>
          <w:rFonts w:ascii="Bookman Old Style" w:hAnsi="Bookman Old Style"/>
          <w:i/>
        </w:rPr>
      </w:pPr>
      <w:r>
        <w:rPr>
          <w:rFonts w:ascii="Bookman Old Style" w:hAnsi="Bookman Old Style"/>
        </w:rPr>
        <w:t>[6</w:t>
      </w:r>
      <w:r w:rsidR="00FA1D82" w:rsidRPr="00720EA9">
        <w:rPr>
          <w:rFonts w:ascii="Bookman Old Style" w:hAnsi="Bookman Old Style"/>
        </w:rPr>
        <w:t>]</w:t>
      </w:r>
      <w:r w:rsidR="00FA1D82" w:rsidRPr="00720EA9">
        <w:rPr>
          <w:rFonts w:ascii="Bookman Old Style" w:hAnsi="Bookman Old Style"/>
        </w:rPr>
        <w:tab/>
      </w:r>
      <w:r w:rsidR="008365B7">
        <w:rPr>
          <w:rFonts w:ascii="Bookman Old Style" w:hAnsi="Bookman Old Style"/>
        </w:rPr>
        <w:t xml:space="preserve">With the above background in mind, </w:t>
      </w:r>
      <w:r w:rsidR="00FD16BD">
        <w:rPr>
          <w:rFonts w:ascii="Bookman Old Style" w:hAnsi="Bookman Old Style"/>
        </w:rPr>
        <w:t>I will</w:t>
      </w:r>
      <w:r w:rsidR="008365B7">
        <w:rPr>
          <w:rFonts w:ascii="Bookman Old Style" w:hAnsi="Bookman Old Style"/>
        </w:rPr>
        <w:t xml:space="preserve"> firstly treat the f</w:t>
      </w:r>
      <w:r w:rsidR="00FD16BD">
        <w:rPr>
          <w:rFonts w:ascii="Bookman Old Style" w:hAnsi="Bookman Old Style"/>
        </w:rPr>
        <w:t xml:space="preserve">irst plea in </w:t>
      </w:r>
      <w:proofErr w:type="spellStart"/>
      <w:r w:rsidR="00FD16BD">
        <w:rPr>
          <w:rFonts w:ascii="Bookman Old Style" w:hAnsi="Bookman Old Style"/>
        </w:rPr>
        <w:t>limine</w:t>
      </w:r>
      <w:proofErr w:type="spellEnd"/>
      <w:r w:rsidR="00202376">
        <w:rPr>
          <w:rFonts w:ascii="Bookman Old Style" w:hAnsi="Bookman Old Style"/>
        </w:rPr>
        <w:t xml:space="preserve"> </w:t>
      </w:r>
      <w:proofErr w:type="spellStart"/>
      <w:r w:rsidR="00CC4199">
        <w:rPr>
          <w:rFonts w:ascii="Bookman Old Style" w:hAnsi="Bookman Old Style"/>
        </w:rPr>
        <w:t>litis</w:t>
      </w:r>
      <w:proofErr w:type="spellEnd"/>
      <w:r w:rsidR="00202376">
        <w:rPr>
          <w:rFonts w:ascii="Bookman Old Style" w:hAnsi="Bookman Old Style"/>
        </w:rPr>
        <w:t xml:space="preserve"> </w:t>
      </w:r>
      <w:r w:rsidR="008365B7">
        <w:rPr>
          <w:rFonts w:ascii="Bookman Old Style" w:hAnsi="Bookman Old Style"/>
        </w:rPr>
        <w:t>namely that, ‘</w:t>
      </w:r>
      <w:r w:rsidR="00202376">
        <w:rPr>
          <w:rFonts w:ascii="Bookman Old Style" w:hAnsi="Bookman Old Style"/>
          <w:i/>
        </w:rPr>
        <w:t>the P</w:t>
      </w:r>
      <w:r w:rsidR="008365B7" w:rsidRPr="00720EA9">
        <w:rPr>
          <w:rFonts w:ascii="Bookman Old Style" w:hAnsi="Bookman Old Style"/>
          <w:i/>
        </w:rPr>
        <w:t xml:space="preserve">laint does not disclose a reasonable cause of action against the </w:t>
      </w:r>
      <w:r w:rsidR="008365B7">
        <w:rPr>
          <w:rFonts w:ascii="Bookman Old Style" w:hAnsi="Bookman Old Style"/>
          <w:i/>
        </w:rPr>
        <w:t>3</w:t>
      </w:r>
      <w:r w:rsidR="008365B7" w:rsidRPr="00725C5E">
        <w:rPr>
          <w:rFonts w:ascii="Bookman Old Style" w:hAnsi="Bookman Old Style"/>
          <w:i/>
          <w:vertAlign w:val="superscript"/>
        </w:rPr>
        <w:t>rd</w:t>
      </w:r>
      <w:r w:rsidR="00202376">
        <w:rPr>
          <w:rFonts w:ascii="Bookman Old Style" w:hAnsi="Bookman Old Style"/>
          <w:i/>
        </w:rPr>
        <w:t xml:space="preserve"> D</w:t>
      </w:r>
      <w:r w:rsidR="008365B7">
        <w:rPr>
          <w:rFonts w:ascii="Bookman Old Style" w:hAnsi="Bookman Old Style"/>
          <w:i/>
        </w:rPr>
        <w:t>efendant</w:t>
      </w:r>
      <w:r w:rsidR="00202376">
        <w:rPr>
          <w:rFonts w:ascii="Bookman Old Style" w:hAnsi="Bookman Old Style"/>
          <w:i/>
        </w:rPr>
        <w:t xml:space="preserve"> </w:t>
      </w:r>
      <w:r w:rsidR="008365B7">
        <w:rPr>
          <w:rFonts w:ascii="Bookman Old Style" w:hAnsi="Bookman Old Style"/>
          <w:i/>
        </w:rPr>
        <w:t>and the 4</w:t>
      </w:r>
      <w:r w:rsidR="008365B7" w:rsidRPr="00725C5E">
        <w:rPr>
          <w:rFonts w:ascii="Bookman Old Style" w:hAnsi="Bookman Old Style"/>
          <w:i/>
          <w:vertAlign w:val="superscript"/>
        </w:rPr>
        <w:t>th</w:t>
      </w:r>
      <w:r w:rsidR="00202376">
        <w:rPr>
          <w:rFonts w:ascii="Bookman Old Style" w:hAnsi="Bookman Old Style"/>
          <w:i/>
        </w:rPr>
        <w:t xml:space="preserve"> D</w:t>
      </w:r>
      <w:r w:rsidR="008365B7">
        <w:rPr>
          <w:rFonts w:ascii="Bookman Old Style" w:hAnsi="Bookman Old Style"/>
          <w:i/>
        </w:rPr>
        <w:t>efendant’.</w:t>
      </w:r>
    </w:p>
    <w:p w:rsidR="008365B7" w:rsidRPr="000339C3" w:rsidRDefault="0090417E" w:rsidP="005248A7">
      <w:pPr>
        <w:pStyle w:val="JudgmentText"/>
        <w:numPr>
          <w:ilvl w:val="0"/>
          <w:numId w:val="0"/>
        </w:numPr>
        <w:ind w:left="720" w:hanging="720"/>
        <w:rPr>
          <w:rFonts w:ascii="Bookman Old Style" w:hAnsi="Bookman Old Style"/>
          <w:b/>
        </w:rPr>
      </w:pPr>
      <w:r w:rsidRPr="0090417E">
        <w:rPr>
          <w:rFonts w:ascii="Bookman Old Style" w:hAnsi="Bookman Old Style"/>
        </w:rPr>
        <w:t>[7]</w:t>
      </w:r>
      <w:r w:rsidRPr="0090417E">
        <w:rPr>
          <w:rFonts w:ascii="Bookman Old Style" w:hAnsi="Bookman Old Style"/>
        </w:rPr>
        <w:tab/>
      </w:r>
      <w:r>
        <w:rPr>
          <w:rFonts w:ascii="Bookman Old Style" w:hAnsi="Bookman Old Style"/>
        </w:rPr>
        <w:t xml:space="preserve">Now, a Motion for striking out pleadings which disclose no reasonable cause of action under Section 92 of the Code of Civil Procedure (hereinafter referred to as “Code”) is to be decided solely on the pleadings. It has been further decided that “where the non-existence of a reasonable cause of action is not beyond doubt </w:t>
      </w:r>
      <w:r w:rsidRPr="00202376">
        <w:rPr>
          <w:rFonts w:ascii="Bookman Old Style" w:hAnsi="Bookman Old Style"/>
          <w:i/>
        </w:rPr>
        <w:t>ex-facie</w:t>
      </w:r>
      <w:r>
        <w:rPr>
          <w:rFonts w:ascii="Bookman Old Style" w:hAnsi="Bookman Old Style"/>
        </w:rPr>
        <w:t xml:space="preserve"> the pleadings, the pleading ought not to be struck out</w:t>
      </w:r>
      <w:r w:rsidRPr="000339C3">
        <w:rPr>
          <w:rFonts w:ascii="Bookman Old Style" w:hAnsi="Bookman Old Style"/>
          <w:b/>
        </w:rPr>
        <w:t xml:space="preserve">. </w:t>
      </w:r>
      <w:r w:rsidR="001F059D" w:rsidRPr="000339C3">
        <w:rPr>
          <w:rFonts w:ascii="Bookman Old Style" w:hAnsi="Bookman Old Style"/>
          <w:b/>
        </w:rPr>
        <w:t xml:space="preserve">(Vide: (Gerome v Attorney General (1970) </w:t>
      </w:r>
      <w:r w:rsidR="001F059D" w:rsidRPr="000339C3">
        <w:rPr>
          <w:rFonts w:ascii="Bookman Old Style" w:hAnsi="Bookman Old Style"/>
          <w:b/>
        </w:rPr>
        <w:lastRenderedPageBreak/>
        <w:t xml:space="preserve">SLR 57); </w:t>
      </w:r>
      <w:proofErr w:type="spellStart"/>
      <w:r w:rsidR="001F059D" w:rsidRPr="000339C3">
        <w:rPr>
          <w:rFonts w:ascii="Bookman Old Style" w:hAnsi="Bookman Old Style"/>
          <w:b/>
        </w:rPr>
        <w:t>Albest</w:t>
      </w:r>
      <w:proofErr w:type="spellEnd"/>
      <w:r w:rsidR="001F059D" w:rsidRPr="000339C3">
        <w:rPr>
          <w:rFonts w:ascii="Bookman Old Style" w:hAnsi="Bookman Old Style"/>
          <w:b/>
        </w:rPr>
        <w:t xml:space="preserve"> v </w:t>
      </w:r>
      <w:proofErr w:type="spellStart"/>
      <w:r w:rsidR="001F059D" w:rsidRPr="000339C3">
        <w:rPr>
          <w:rFonts w:ascii="Bookman Old Style" w:hAnsi="Bookman Old Style"/>
          <w:b/>
        </w:rPr>
        <w:t>Stravens</w:t>
      </w:r>
      <w:proofErr w:type="spellEnd"/>
      <w:r w:rsidR="001F059D" w:rsidRPr="000339C3">
        <w:rPr>
          <w:rFonts w:ascii="Bookman Old Style" w:hAnsi="Bookman Old Style"/>
          <w:b/>
        </w:rPr>
        <w:t xml:space="preserve"> (No. 1) (1976) SLR 158; and </w:t>
      </w:r>
      <w:proofErr w:type="spellStart"/>
      <w:r w:rsidR="001F059D" w:rsidRPr="000339C3">
        <w:rPr>
          <w:rFonts w:ascii="Bookman Old Style" w:hAnsi="Bookman Old Style"/>
          <w:b/>
        </w:rPr>
        <w:t>Oceangate</w:t>
      </w:r>
      <w:proofErr w:type="spellEnd"/>
      <w:r w:rsidR="001F059D" w:rsidRPr="000339C3">
        <w:rPr>
          <w:rFonts w:ascii="Bookman Old Style" w:hAnsi="Bookman Old Style"/>
          <w:b/>
        </w:rPr>
        <w:t xml:space="preserve"> v </w:t>
      </w:r>
      <w:proofErr w:type="spellStart"/>
      <w:r w:rsidR="001F059D" w:rsidRPr="000339C3">
        <w:rPr>
          <w:rFonts w:ascii="Bookman Old Style" w:hAnsi="Bookman Old Style"/>
          <w:b/>
        </w:rPr>
        <w:t>Monchouguy</w:t>
      </w:r>
      <w:proofErr w:type="spellEnd"/>
      <w:r w:rsidR="001F059D" w:rsidRPr="000339C3">
        <w:rPr>
          <w:rFonts w:ascii="Bookman Old Style" w:hAnsi="Bookman Old Style"/>
          <w:b/>
        </w:rPr>
        <w:t xml:space="preserve"> (1984) SLR 111).</w:t>
      </w:r>
    </w:p>
    <w:p w:rsidR="001F059D" w:rsidRDefault="001F059D" w:rsidP="005248A7">
      <w:pPr>
        <w:pStyle w:val="JudgmentText"/>
        <w:numPr>
          <w:ilvl w:val="0"/>
          <w:numId w:val="0"/>
        </w:numPr>
        <w:ind w:left="720" w:hanging="720"/>
        <w:rPr>
          <w:rFonts w:ascii="Bookman Old Style" w:hAnsi="Bookman Old Style"/>
        </w:rPr>
      </w:pPr>
      <w:r>
        <w:rPr>
          <w:rFonts w:ascii="Bookman Old Style" w:hAnsi="Bookman Old Style"/>
        </w:rPr>
        <w:t>[8]</w:t>
      </w:r>
      <w:r>
        <w:rPr>
          <w:rFonts w:ascii="Bookman Old Style" w:hAnsi="Bookman Old Style"/>
        </w:rPr>
        <w:tab/>
        <w:t>Section 92 of the Code provides that:</w:t>
      </w:r>
    </w:p>
    <w:p w:rsidR="001F059D" w:rsidRDefault="001F059D" w:rsidP="005248A7">
      <w:pPr>
        <w:pStyle w:val="JudgmentText"/>
        <w:numPr>
          <w:ilvl w:val="0"/>
          <w:numId w:val="0"/>
        </w:numPr>
        <w:ind w:left="720" w:hanging="720"/>
        <w:rPr>
          <w:rFonts w:ascii="Bookman Old Style" w:hAnsi="Bookman Old Style"/>
        </w:rPr>
      </w:pPr>
      <w:r>
        <w:rPr>
          <w:rFonts w:ascii="Bookman Old Style" w:hAnsi="Bookman Old Style"/>
        </w:rPr>
        <w:tab/>
        <w:t>“The Court may order any pleading to be struck out, on the ground that it discloses no reasonable cause of action or a</w:t>
      </w:r>
      <w:r w:rsidR="00202376">
        <w:rPr>
          <w:rFonts w:ascii="Bookman Old Style" w:hAnsi="Bookman Old Style"/>
        </w:rPr>
        <w:t>nswer, and in such case…., the C</w:t>
      </w:r>
      <w:r w:rsidR="0063610A">
        <w:rPr>
          <w:rFonts w:ascii="Bookman Old Style" w:hAnsi="Bookman Old Style"/>
        </w:rPr>
        <w:t>o</w:t>
      </w:r>
      <w:r w:rsidR="00202376">
        <w:rPr>
          <w:rFonts w:ascii="Bookman Old Style" w:hAnsi="Bookman Old Style"/>
        </w:rPr>
        <w:t>urt may O</w:t>
      </w:r>
      <w:r>
        <w:rPr>
          <w:rFonts w:ascii="Bookman Old Style" w:hAnsi="Bookman Old Style"/>
        </w:rPr>
        <w:t>rder the action to be st</w:t>
      </w:r>
      <w:r w:rsidR="00202376">
        <w:rPr>
          <w:rFonts w:ascii="Bookman Old Style" w:hAnsi="Bookman Old Style"/>
        </w:rPr>
        <w:t>ayed or dismissed, or may give J</w:t>
      </w:r>
      <w:r>
        <w:rPr>
          <w:rFonts w:ascii="Bookman Old Style" w:hAnsi="Bookman Old Style"/>
        </w:rPr>
        <w:t>udgement on such terms as may be just.”</w:t>
      </w:r>
    </w:p>
    <w:p w:rsidR="001F059D" w:rsidRPr="000339C3" w:rsidRDefault="001F059D" w:rsidP="001F059D">
      <w:pPr>
        <w:pStyle w:val="JudgmentText"/>
        <w:numPr>
          <w:ilvl w:val="0"/>
          <w:numId w:val="0"/>
        </w:numPr>
        <w:ind w:left="720" w:hanging="720"/>
        <w:rPr>
          <w:rFonts w:ascii="Bookman Old Style" w:hAnsi="Bookman Old Style"/>
          <w:i/>
        </w:rPr>
      </w:pPr>
      <w:r>
        <w:rPr>
          <w:rFonts w:ascii="Bookman Old Style" w:hAnsi="Bookman Old Style"/>
        </w:rPr>
        <w:t>[9]</w:t>
      </w:r>
      <w:r>
        <w:rPr>
          <w:rFonts w:ascii="Bookman Old Style" w:hAnsi="Bookman Old Style"/>
        </w:rPr>
        <w:tab/>
        <w:t xml:space="preserve">The Court of Appeal for East Africa considered the meaning of ‘Cause of action’ in the matter of </w:t>
      </w:r>
      <w:r w:rsidRPr="000339C3">
        <w:rPr>
          <w:rFonts w:ascii="Bookman Old Style" w:hAnsi="Bookman Old Style"/>
          <w:b/>
        </w:rPr>
        <w:t xml:space="preserve">(Auto Garage v </w:t>
      </w:r>
      <w:proofErr w:type="spellStart"/>
      <w:r w:rsidRPr="000339C3">
        <w:rPr>
          <w:rFonts w:ascii="Bookman Old Style" w:hAnsi="Bookman Old Style"/>
          <w:b/>
        </w:rPr>
        <w:t>Motokov</w:t>
      </w:r>
      <w:proofErr w:type="spellEnd"/>
      <w:r w:rsidRPr="000339C3">
        <w:rPr>
          <w:rFonts w:ascii="Bookman Old Style" w:hAnsi="Bookman Old Style"/>
          <w:b/>
        </w:rPr>
        <w:t xml:space="preserve"> [1971] EA 514)</w:t>
      </w:r>
      <w:r w:rsidR="001C49D0">
        <w:rPr>
          <w:rFonts w:ascii="Bookman Old Style" w:hAnsi="Bookman Old Style"/>
        </w:rPr>
        <w:t xml:space="preserve">, </w:t>
      </w:r>
      <w:r w:rsidR="0063610A">
        <w:rPr>
          <w:rFonts w:ascii="Bookman Old Style" w:hAnsi="Bookman Old Style"/>
        </w:rPr>
        <w:t xml:space="preserve">wherein at page 519 thereof, Spry P, ruled that </w:t>
      </w:r>
      <w:r w:rsidR="0063610A" w:rsidRPr="000339C3">
        <w:rPr>
          <w:rFonts w:ascii="Bookman Old Style" w:hAnsi="Bookman Old Style"/>
          <w:i/>
        </w:rPr>
        <w:t>“I would summarize the position a</w:t>
      </w:r>
      <w:r w:rsidR="00202376">
        <w:rPr>
          <w:rFonts w:ascii="Bookman Old Style" w:hAnsi="Bookman Old Style"/>
          <w:i/>
        </w:rPr>
        <w:t>s I see it by saying that if a Plaint shows that the Plaintiff enjoyed a right</w:t>
      </w:r>
      <w:r w:rsidR="0063610A" w:rsidRPr="000339C3">
        <w:rPr>
          <w:rFonts w:ascii="Bookman Old Style" w:hAnsi="Bookman Old Style"/>
          <w:i/>
        </w:rPr>
        <w:t xml:space="preserve"> that </w:t>
      </w:r>
      <w:r w:rsidR="00202376">
        <w:rPr>
          <w:rFonts w:ascii="Bookman Old Style" w:hAnsi="Bookman Old Style"/>
          <w:i/>
        </w:rPr>
        <w:t>has been violated and that the D</w:t>
      </w:r>
      <w:r w:rsidR="0063610A" w:rsidRPr="000339C3">
        <w:rPr>
          <w:rFonts w:ascii="Bookman Old Style" w:hAnsi="Bookman Old Style"/>
          <w:i/>
        </w:rPr>
        <w:t>efendant is liable, then, in my opinion, a cause of action has been disclosed.”</w:t>
      </w:r>
    </w:p>
    <w:p w:rsidR="0063610A" w:rsidRDefault="0063610A" w:rsidP="001F059D">
      <w:pPr>
        <w:pStyle w:val="JudgmentText"/>
        <w:numPr>
          <w:ilvl w:val="0"/>
          <w:numId w:val="0"/>
        </w:numPr>
        <w:ind w:left="720" w:hanging="720"/>
        <w:rPr>
          <w:rFonts w:ascii="Bookman Old Style" w:hAnsi="Bookman Old Style"/>
        </w:rPr>
      </w:pPr>
      <w:r>
        <w:rPr>
          <w:rFonts w:ascii="Bookman Old Style" w:hAnsi="Bookman Old Style"/>
        </w:rPr>
        <w:t>[10]</w:t>
      </w:r>
      <w:r>
        <w:rPr>
          <w:rFonts w:ascii="Bookman Old Style" w:hAnsi="Bookman Old Style"/>
        </w:rPr>
        <w:tab/>
        <w:t xml:space="preserve">Now, </w:t>
      </w:r>
      <w:r w:rsidR="00B10C1C">
        <w:rPr>
          <w:rFonts w:ascii="Bookman Old Style" w:hAnsi="Bookman Old Style"/>
        </w:rPr>
        <w:t>in the current matter, it is evident at paragraphs</w:t>
      </w:r>
      <w:r w:rsidR="000339C3">
        <w:rPr>
          <w:rFonts w:ascii="Bookman Old Style" w:hAnsi="Bookman Old Style"/>
        </w:rPr>
        <w:t xml:space="preserve"> 12, 13 and 14 </w:t>
      </w:r>
      <w:r w:rsidR="00B10C1C">
        <w:rPr>
          <w:rFonts w:ascii="Bookman Old Style" w:hAnsi="Bookman Old Style"/>
        </w:rPr>
        <w:t>of the Plaint</w:t>
      </w:r>
      <w:r w:rsidR="00202376">
        <w:rPr>
          <w:rFonts w:ascii="Bookman Old Style" w:hAnsi="Bookman Old Style"/>
        </w:rPr>
        <w:t>, the P</w:t>
      </w:r>
      <w:r w:rsidR="00B10C1C">
        <w:rPr>
          <w:rFonts w:ascii="Bookman Old Style" w:hAnsi="Bookman Old Style"/>
        </w:rPr>
        <w:t>laintiff alleges that the 3</w:t>
      </w:r>
      <w:r w:rsidR="00B10C1C" w:rsidRPr="00B10C1C">
        <w:rPr>
          <w:rFonts w:ascii="Bookman Old Style" w:hAnsi="Bookman Old Style"/>
          <w:vertAlign w:val="superscript"/>
        </w:rPr>
        <w:t>rd</w:t>
      </w:r>
      <w:r w:rsidR="00B10C1C">
        <w:rPr>
          <w:rFonts w:ascii="Bookman Old Style" w:hAnsi="Bookman Old Style"/>
        </w:rPr>
        <w:t xml:space="preserve"> and 4</w:t>
      </w:r>
      <w:r w:rsidR="00B10C1C" w:rsidRPr="00B10C1C">
        <w:rPr>
          <w:rFonts w:ascii="Bookman Old Style" w:hAnsi="Bookman Old Style"/>
          <w:vertAlign w:val="superscript"/>
        </w:rPr>
        <w:t>th</w:t>
      </w:r>
      <w:r w:rsidR="00202376">
        <w:rPr>
          <w:rFonts w:ascii="Bookman Old Style" w:hAnsi="Bookman Old Style"/>
        </w:rPr>
        <w:t xml:space="preserve"> D</w:t>
      </w:r>
      <w:r w:rsidR="00B10C1C">
        <w:rPr>
          <w:rFonts w:ascii="Bookman Old Style" w:hAnsi="Bookman Old Style"/>
        </w:rPr>
        <w:t>efendants have committed a ‘</w:t>
      </w:r>
      <w:proofErr w:type="spellStart"/>
      <w:r w:rsidR="00B10C1C">
        <w:rPr>
          <w:rFonts w:ascii="Bookman Old Style" w:hAnsi="Bookman Old Style"/>
        </w:rPr>
        <w:t>faute</w:t>
      </w:r>
      <w:proofErr w:type="spellEnd"/>
      <w:r w:rsidR="00B10C1C">
        <w:rPr>
          <w:rFonts w:ascii="Bookman Old Style" w:hAnsi="Bookman Old Style"/>
        </w:rPr>
        <w:t xml:space="preserve">’ as against her based on the background above highlighted at paragraph </w:t>
      </w:r>
      <w:r w:rsidR="000339C3">
        <w:rPr>
          <w:rFonts w:ascii="Bookman Old Style" w:hAnsi="Bookman Old Style"/>
        </w:rPr>
        <w:t>[3]</w:t>
      </w:r>
      <w:r w:rsidR="00B10C1C">
        <w:rPr>
          <w:rFonts w:ascii="Bookman Old Style" w:hAnsi="Bookman Old Style"/>
        </w:rPr>
        <w:t xml:space="preserve"> of this Ruling. </w:t>
      </w:r>
    </w:p>
    <w:p w:rsidR="00215048" w:rsidRDefault="00215048" w:rsidP="00215048">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t>The Court of Appeal</w:t>
      </w:r>
      <w:r w:rsidR="00202376">
        <w:rPr>
          <w:rFonts w:ascii="Bookman Old Style" w:hAnsi="Bookman Old Style"/>
        </w:rPr>
        <w:t>'s</w:t>
      </w:r>
      <w:r>
        <w:rPr>
          <w:rFonts w:ascii="Bookman Old Style" w:hAnsi="Bookman Old Style"/>
        </w:rPr>
        <w:t xml:space="preserve"> decision in the case of </w:t>
      </w:r>
      <w:r w:rsidRPr="00CC1101">
        <w:rPr>
          <w:rFonts w:ascii="Bookman Old Style" w:hAnsi="Bookman Old Style"/>
          <w:b/>
        </w:rPr>
        <w:t xml:space="preserve">Attorney General v/s Ray </w:t>
      </w:r>
      <w:proofErr w:type="spellStart"/>
      <w:r w:rsidRPr="00CC1101">
        <w:rPr>
          <w:rFonts w:ascii="Bookman Old Style" w:hAnsi="Bookman Old Style"/>
          <w:b/>
        </w:rPr>
        <w:t>Voysey</w:t>
      </w:r>
      <w:proofErr w:type="spellEnd"/>
      <w:r w:rsidRPr="00CC1101">
        <w:rPr>
          <w:rFonts w:ascii="Bookman Old Style" w:hAnsi="Bookman Old Style"/>
          <w:b/>
        </w:rPr>
        <w:t xml:space="preserve"> and Others </w:t>
      </w:r>
      <w:r>
        <w:rPr>
          <w:rFonts w:ascii="Bookman Old Style" w:hAnsi="Bookman Old Style"/>
          <w:b/>
        </w:rPr>
        <w:t>(</w:t>
      </w:r>
      <w:r w:rsidRPr="00CC1101">
        <w:rPr>
          <w:rFonts w:ascii="Bookman Old Style" w:hAnsi="Bookman Old Style"/>
          <w:b/>
        </w:rPr>
        <w:t>SCA No. 12 of 1995</w:t>
      </w:r>
      <w:r>
        <w:rPr>
          <w:rFonts w:ascii="Bookman Old Style" w:hAnsi="Bookman Old Style"/>
          <w:b/>
        </w:rPr>
        <w:t>)</w:t>
      </w:r>
      <w:r>
        <w:rPr>
          <w:rFonts w:ascii="Bookman Old Style" w:hAnsi="Bookman Old Style"/>
        </w:rPr>
        <w:t>, held on the very issue that:</w:t>
      </w:r>
    </w:p>
    <w:p w:rsidR="00215048" w:rsidRPr="00CC1101" w:rsidRDefault="00215048" w:rsidP="00215048">
      <w:pPr>
        <w:pStyle w:val="JudgmentText"/>
        <w:numPr>
          <w:ilvl w:val="0"/>
          <w:numId w:val="0"/>
        </w:numPr>
        <w:ind w:left="720" w:hanging="720"/>
        <w:rPr>
          <w:rFonts w:ascii="Bookman Old Style" w:hAnsi="Bookman Old Style"/>
          <w:i/>
        </w:rPr>
      </w:pPr>
      <w:r>
        <w:rPr>
          <w:rFonts w:ascii="Bookman Old Style" w:hAnsi="Bookman Old Style"/>
        </w:rPr>
        <w:tab/>
      </w:r>
      <w:r w:rsidRPr="00CC1101">
        <w:rPr>
          <w:rFonts w:ascii="Bookman Old Style" w:hAnsi="Bookman Old Style"/>
          <w:i/>
        </w:rPr>
        <w:t xml:space="preserve">“Fault is defined by </w:t>
      </w:r>
      <w:r>
        <w:rPr>
          <w:rFonts w:ascii="Bookman Old Style" w:hAnsi="Bookman Old Style"/>
          <w:i/>
        </w:rPr>
        <w:t xml:space="preserve">article 1382 (2) as an error of conduct which would not have been committed by a prudent person in the special circumstances in which the damage was caused. </w:t>
      </w:r>
      <w:r w:rsidRPr="00CC1101">
        <w:rPr>
          <w:rFonts w:ascii="Bookman Old Style" w:hAnsi="Bookman Old Style"/>
          <w:i/>
        </w:rPr>
        <w:t>I</w:t>
      </w:r>
      <w:r>
        <w:rPr>
          <w:rFonts w:ascii="Bookman Old Style" w:hAnsi="Bookman Old Style"/>
          <w:i/>
        </w:rPr>
        <w:t>t may be the result of a positive act or an om</w:t>
      </w:r>
      <w:r w:rsidRPr="00CC1101">
        <w:rPr>
          <w:rFonts w:ascii="Bookman Old Style" w:hAnsi="Bookman Old Style"/>
          <w:i/>
        </w:rPr>
        <w:t>is</w:t>
      </w:r>
      <w:r>
        <w:rPr>
          <w:rFonts w:ascii="Bookman Old Style" w:hAnsi="Bookman Old Style"/>
          <w:i/>
        </w:rPr>
        <w:t>s</w:t>
      </w:r>
      <w:r w:rsidRPr="00CC1101">
        <w:rPr>
          <w:rFonts w:ascii="Bookman Old Style" w:hAnsi="Bookman Old Style"/>
          <w:i/>
        </w:rPr>
        <w:t>ion. When a party cla</w:t>
      </w:r>
      <w:r>
        <w:rPr>
          <w:rFonts w:ascii="Bookman Old Style" w:hAnsi="Bookman Old Style"/>
          <w:i/>
        </w:rPr>
        <w:t>i</w:t>
      </w:r>
      <w:r w:rsidRPr="00CC1101">
        <w:rPr>
          <w:rFonts w:ascii="Bookman Old Style" w:hAnsi="Bookman Old Style"/>
          <w:i/>
        </w:rPr>
        <w:t>ms a right of action under article 1382 (1) the two el</w:t>
      </w:r>
      <w:r>
        <w:rPr>
          <w:rFonts w:ascii="Bookman Old Style" w:hAnsi="Bookman Old Style"/>
          <w:i/>
        </w:rPr>
        <w:t>e</w:t>
      </w:r>
      <w:r w:rsidRPr="00CC1101">
        <w:rPr>
          <w:rFonts w:ascii="Bookman Old Style" w:hAnsi="Bookman Old Style"/>
          <w:i/>
        </w:rPr>
        <w:t>ments of the cause of action are fault and damage which must have been caused by the fault alleged. It is thus clear that the earliest tim</w:t>
      </w:r>
      <w:r>
        <w:rPr>
          <w:rFonts w:ascii="Bookman Old Style" w:hAnsi="Bookman Old Style"/>
          <w:i/>
        </w:rPr>
        <w:t>e an action in delict can be mai</w:t>
      </w:r>
      <w:r w:rsidRPr="00CC1101">
        <w:rPr>
          <w:rFonts w:ascii="Bookman Old Style" w:hAnsi="Bookman Old Style"/>
          <w:i/>
        </w:rPr>
        <w:t xml:space="preserve">ntained is that earliest point in time when fault and damage co-exist.” </w:t>
      </w:r>
    </w:p>
    <w:p w:rsidR="004A27AB" w:rsidRDefault="00215048" w:rsidP="001F059D">
      <w:pPr>
        <w:pStyle w:val="JudgmentText"/>
        <w:numPr>
          <w:ilvl w:val="0"/>
          <w:numId w:val="0"/>
        </w:numPr>
        <w:ind w:left="720" w:hanging="720"/>
        <w:rPr>
          <w:rFonts w:ascii="Bookman Old Style" w:hAnsi="Bookman Old Style"/>
        </w:rPr>
      </w:pPr>
      <w:r>
        <w:rPr>
          <w:rFonts w:ascii="Bookman Old Style" w:hAnsi="Bookman Old Style"/>
        </w:rPr>
        <w:lastRenderedPageBreak/>
        <w:t>[12</w:t>
      </w:r>
      <w:r w:rsidR="00B10C1C">
        <w:rPr>
          <w:rFonts w:ascii="Bookman Old Style" w:hAnsi="Bookman Old Style"/>
        </w:rPr>
        <w:t>]</w:t>
      </w:r>
      <w:r w:rsidR="00B10C1C">
        <w:rPr>
          <w:rFonts w:ascii="Bookman Old Style" w:hAnsi="Bookman Old Style"/>
        </w:rPr>
        <w:tab/>
      </w:r>
      <w:r w:rsidR="003E4907">
        <w:rPr>
          <w:rFonts w:ascii="Bookman Old Style" w:hAnsi="Bookman Old Style"/>
        </w:rPr>
        <w:t>The</w:t>
      </w:r>
      <w:r w:rsidR="00636315">
        <w:rPr>
          <w:rFonts w:ascii="Bookman Old Style" w:hAnsi="Bookman Old Style"/>
        </w:rPr>
        <w:t xml:space="preserve"> </w:t>
      </w:r>
      <w:r w:rsidR="000339C3">
        <w:rPr>
          <w:rFonts w:ascii="Bookman Old Style" w:hAnsi="Bookman Old Style"/>
        </w:rPr>
        <w:t>P</w:t>
      </w:r>
      <w:r w:rsidR="00B10C1C">
        <w:rPr>
          <w:rFonts w:ascii="Bookman Old Style" w:hAnsi="Bookman Old Style"/>
        </w:rPr>
        <w:t>laint in this instance clearly sets out a statement of the material facts and circumstances constituting the ca</w:t>
      </w:r>
      <w:r>
        <w:rPr>
          <w:rFonts w:ascii="Bookman Old Style" w:hAnsi="Bookman Old Style"/>
        </w:rPr>
        <w:t xml:space="preserve">use of action </w:t>
      </w:r>
      <w:r w:rsidR="00B10C1C">
        <w:rPr>
          <w:rFonts w:ascii="Bookman Old Style" w:hAnsi="Bookman Old Style"/>
        </w:rPr>
        <w:t>and a description of the relief sought which with respect does not necessita</w:t>
      </w:r>
      <w:r w:rsidR="003E4907">
        <w:rPr>
          <w:rFonts w:ascii="Bookman Old Style" w:hAnsi="Bookman Old Style"/>
        </w:rPr>
        <w:t xml:space="preserve">te </w:t>
      </w:r>
      <w:r w:rsidR="00B10C1C">
        <w:rPr>
          <w:rFonts w:ascii="Bookman Old Style" w:hAnsi="Bookman Old Style"/>
        </w:rPr>
        <w:t>the specific averment of ‘bad faith’ for same is not required for the relief sought as against the 3</w:t>
      </w:r>
      <w:r w:rsidR="00B10C1C" w:rsidRPr="00B10C1C">
        <w:rPr>
          <w:rFonts w:ascii="Bookman Old Style" w:hAnsi="Bookman Old Style"/>
          <w:vertAlign w:val="superscript"/>
        </w:rPr>
        <w:t>rd</w:t>
      </w:r>
      <w:r w:rsidR="00B10C1C">
        <w:rPr>
          <w:rFonts w:ascii="Bookman Old Style" w:hAnsi="Bookman Old Style"/>
        </w:rPr>
        <w:t xml:space="preserve"> and 4</w:t>
      </w:r>
      <w:r w:rsidR="00B10C1C" w:rsidRPr="00B10C1C">
        <w:rPr>
          <w:rFonts w:ascii="Bookman Old Style" w:hAnsi="Bookman Old Style"/>
          <w:vertAlign w:val="superscript"/>
        </w:rPr>
        <w:t>th</w:t>
      </w:r>
      <w:r w:rsidR="00636315">
        <w:rPr>
          <w:rFonts w:ascii="Bookman Old Style" w:hAnsi="Bookman Old Style"/>
        </w:rPr>
        <w:t xml:space="preserve"> D</w:t>
      </w:r>
      <w:r w:rsidR="00B10C1C">
        <w:rPr>
          <w:rFonts w:ascii="Bookman Old Style" w:hAnsi="Bookman Old Style"/>
        </w:rPr>
        <w:t xml:space="preserve">efendants. In that respect, the case law as cited (paragraph </w:t>
      </w:r>
      <w:r w:rsidR="003E4907">
        <w:rPr>
          <w:rFonts w:ascii="Bookman Old Style" w:hAnsi="Bookman Old Style"/>
        </w:rPr>
        <w:t>4 (1) of this Ruling, by Le</w:t>
      </w:r>
      <w:r w:rsidR="00636315">
        <w:rPr>
          <w:rFonts w:ascii="Bookman Old Style" w:hAnsi="Bookman Old Style"/>
        </w:rPr>
        <w:t>arned Counsel for the relevant D</w:t>
      </w:r>
      <w:r w:rsidR="003E4907">
        <w:rPr>
          <w:rFonts w:ascii="Bookman Old Style" w:hAnsi="Bookman Old Style"/>
        </w:rPr>
        <w:t xml:space="preserve">efendants does not apply unless and until such a defence is </w:t>
      </w:r>
      <w:r w:rsidR="000339C3">
        <w:rPr>
          <w:rFonts w:ascii="Bookman Old Style" w:hAnsi="Bookman Old Style"/>
        </w:rPr>
        <w:t xml:space="preserve">proved to be </w:t>
      </w:r>
      <w:r w:rsidR="003E4907">
        <w:rPr>
          <w:rFonts w:ascii="Bookman Old Style" w:hAnsi="Bookman Old Style"/>
        </w:rPr>
        <w:t xml:space="preserve">permissible </w:t>
      </w:r>
      <w:r w:rsidR="000339C3">
        <w:rPr>
          <w:rFonts w:ascii="Bookman Old Style" w:hAnsi="Bookman Old Style"/>
        </w:rPr>
        <w:t xml:space="preserve">under </w:t>
      </w:r>
      <w:r w:rsidR="004A27AB">
        <w:rPr>
          <w:rFonts w:ascii="Bookman Old Style" w:hAnsi="Bookman Old Style"/>
        </w:rPr>
        <w:t>a</w:t>
      </w:r>
      <w:r w:rsidR="003E4907">
        <w:rPr>
          <w:rFonts w:ascii="Bookman Old Style" w:hAnsi="Bookman Old Style"/>
        </w:rPr>
        <w:t xml:space="preserve"> l</w:t>
      </w:r>
      <w:r w:rsidR="004A27AB">
        <w:rPr>
          <w:rFonts w:ascii="Bookman Old Style" w:hAnsi="Bookman Old Style"/>
        </w:rPr>
        <w:t xml:space="preserve">egal provision </w:t>
      </w:r>
      <w:r w:rsidR="003E4907">
        <w:rPr>
          <w:rFonts w:ascii="Bookman Old Style" w:hAnsi="Bookman Old Style"/>
        </w:rPr>
        <w:t>and same to be proved at the stage of hearing of the case on the merits</w:t>
      </w:r>
      <w:r w:rsidR="004A27AB">
        <w:rPr>
          <w:rFonts w:ascii="Bookman Old Style" w:hAnsi="Bookman Old Style"/>
        </w:rPr>
        <w:t>.</w:t>
      </w:r>
    </w:p>
    <w:p w:rsidR="003E4907" w:rsidRDefault="004A27AB" w:rsidP="001F059D">
      <w:pPr>
        <w:pStyle w:val="JudgmentText"/>
        <w:numPr>
          <w:ilvl w:val="0"/>
          <w:numId w:val="0"/>
        </w:numPr>
        <w:ind w:left="720" w:hanging="720"/>
        <w:rPr>
          <w:rFonts w:ascii="Bookman Old Style" w:hAnsi="Bookman Old Style"/>
        </w:rPr>
      </w:pPr>
      <w:r>
        <w:rPr>
          <w:rFonts w:ascii="Bookman Old Style" w:hAnsi="Bookman Old Style"/>
        </w:rPr>
        <w:t>[13</w:t>
      </w:r>
      <w:r w:rsidR="003E4907">
        <w:rPr>
          <w:rFonts w:ascii="Bookman Old Style" w:hAnsi="Bookman Old Style"/>
        </w:rPr>
        <w:t>]</w:t>
      </w:r>
      <w:r w:rsidR="003E4907">
        <w:rPr>
          <w:rFonts w:ascii="Bookman Old Style" w:hAnsi="Bookman Old Style"/>
        </w:rPr>
        <w:tab/>
        <w:t xml:space="preserve">It follows, therefore that the first plea in </w:t>
      </w:r>
      <w:proofErr w:type="spellStart"/>
      <w:r w:rsidR="003E4907">
        <w:rPr>
          <w:rFonts w:ascii="Bookman Old Style" w:hAnsi="Bookman Old Style"/>
        </w:rPr>
        <w:t>limine</w:t>
      </w:r>
      <w:proofErr w:type="spellEnd"/>
      <w:r w:rsidR="00636315">
        <w:rPr>
          <w:rFonts w:ascii="Bookman Old Style" w:hAnsi="Bookman Old Style"/>
        </w:rPr>
        <w:t xml:space="preserve"> </w:t>
      </w:r>
      <w:proofErr w:type="spellStart"/>
      <w:r w:rsidR="003E4907">
        <w:rPr>
          <w:rFonts w:ascii="Bookman Old Style" w:hAnsi="Bookman Old Style"/>
        </w:rPr>
        <w:t>litis</w:t>
      </w:r>
      <w:proofErr w:type="spellEnd"/>
      <w:r w:rsidR="003E4907">
        <w:rPr>
          <w:rFonts w:ascii="Bookman Old Style" w:hAnsi="Bookman Old Style"/>
        </w:rPr>
        <w:t xml:space="preserve"> at this stage cannot be entertained without the Court having heard the matter on the merits.</w:t>
      </w:r>
    </w:p>
    <w:p w:rsidR="00FD16BD" w:rsidRDefault="003E4907" w:rsidP="005248A7">
      <w:pPr>
        <w:pStyle w:val="JudgmentText"/>
        <w:numPr>
          <w:ilvl w:val="0"/>
          <w:numId w:val="0"/>
        </w:numPr>
        <w:ind w:left="720" w:hanging="720"/>
        <w:rPr>
          <w:rFonts w:ascii="Bookman Old Style" w:hAnsi="Bookman Old Style"/>
        </w:rPr>
      </w:pPr>
      <w:r>
        <w:rPr>
          <w:rFonts w:ascii="Bookman Old Style" w:hAnsi="Bookman Old Style"/>
        </w:rPr>
        <w:t>[13]</w:t>
      </w:r>
      <w:r>
        <w:rPr>
          <w:rFonts w:ascii="Bookman Old Style" w:hAnsi="Bookman Old Style"/>
        </w:rPr>
        <w:tab/>
        <w:t xml:space="preserve">As for the second plea in </w:t>
      </w:r>
      <w:proofErr w:type="spellStart"/>
      <w:r>
        <w:rPr>
          <w:rFonts w:ascii="Bookman Old Style" w:hAnsi="Bookman Old Style"/>
        </w:rPr>
        <w:t>limine</w:t>
      </w:r>
      <w:proofErr w:type="spellEnd"/>
      <w:r w:rsidR="00636315">
        <w:rPr>
          <w:rFonts w:ascii="Bookman Old Style" w:hAnsi="Bookman Old Style"/>
        </w:rPr>
        <w:t xml:space="preserve"> </w:t>
      </w:r>
      <w:proofErr w:type="spellStart"/>
      <w:r>
        <w:rPr>
          <w:rFonts w:ascii="Bookman Old Style" w:hAnsi="Bookman Old Style"/>
        </w:rPr>
        <w:t>litis</w:t>
      </w:r>
      <w:proofErr w:type="spellEnd"/>
      <w:r>
        <w:rPr>
          <w:rFonts w:ascii="Bookman Old Style" w:hAnsi="Bookman Old Style"/>
        </w:rPr>
        <w:t xml:space="preserve"> as raised in respect of the 4</w:t>
      </w:r>
      <w:r w:rsidRPr="003E4907">
        <w:rPr>
          <w:rFonts w:ascii="Bookman Old Style" w:hAnsi="Bookman Old Style"/>
          <w:vertAlign w:val="superscript"/>
        </w:rPr>
        <w:t>th</w:t>
      </w:r>
      <w:r>
        <w:rPr>
          <w:rFonts w:ascii="Bookman Old Style" w:hAnsi="Bookman Old Style"/>
        </w:rPr>
        <w:t xml:space="preserve"> Defendant namely that, ‘</w:t>
      </w:r>
      <w:r w:rsidRPr="00087F58">
        <w:rPr>
          <w:rFonts w:ascii="Bookman Old Style" w:hAnsi="Bookman Old Style"/>
          <w:i/>
        </w:rPr>
        <w:t xml:space="preserve">the action is prescribed </w:t>
      </w:r>
      <w:r>
        <w:rPr>
          <w:rFonts w:ascii="Bookman Old Style" w:hAnsi="Bookman Old Style"/>
          <w:i/>
        </w:rPr>
        <w:t xml:space="preserve">by law against the </w:t>
      </w:r>
      <w:r w:rsidRPr="00087F58">
        <w:rPr>
          <w:rFonts w:ascii="Bookman Old Style" w:hAnsi="Bookman Old Style"/>
          <w:i/>
        </w:rPr>
        <w:t>4</w:t>
      </w:r>
      <w:r w:rsidRPr="00087F58">
        <w:rPr>
          <w:rFonts w:ascii="Bookman Old Style" w:hAnsi="Bookman Old Style"/>
          <w:i/>
          <w:vertAlign w:val="superscript"/>
        </w:rPr>
        <w:t>th</w:t>
      </w:r>
      <w:r w:rsidR="00636315">
        <w:rPr>
          <w:rFonts w:ascii="Bookman Old Style" w:hAnsi="Bookman Old Style"/>
          <w:i/>
          <w:vertAlign w:val="superscript"/>
        </w:rPr>
        <w:t xml:space="preserve"> </w:t>
      </w:r>
      <w:r w:rsidR="00636315">
        <w:rPr>
          <w:rFonts w:ascii="Bookman Old Style" w:hAnsi="Bookman Old Style"/>
          <w:i/>
        </w:rPr>
        <w:t>D</w:t>
      </w:r>
      <w:r w:rsidRPr="00087F58">
        <w:rPr>
          <w:rFonts w:ascii="Bookman Old Style" w:hAnsi="Bookman Old Style"/>
          <w:i/>
        </w:rPr>
        <w:t>efendant as provided for in the P</w:t>
      </w:r>
      <w:r>
        <w:rPr>
          <w:rFonts w:ascii="Bookman Old Style" w:hAnsi="Bookman Old Style"/>
          <w:i/>
        </w:rPr>
        <w:t xml:space="preserve">ublic Officers (Protection) Act’, </w:t>
      </w:r>
      <w:r w:rsidRPr="003E4907">
        <w:rPr>
          <w:rFonts w:ascii="Bookman Old Style" w:hAnsi="Bookman Old Style"/>
        </w:rPr>
        <w:t>t</w:t>
      </w:r>
      <w:r w:rsidR="00FD16BD" w:rsidRPr="003E4907">
        <w:rPr>
          <w:rFonts w:ascii="Bookman Old Style" w:hAnsi="Bookman Old Style"/>
        </w:rPr>
        <w:t xml:space="preserve">he </w:t>
      </w:r>
      <w:r w:rsidR="00FD16BD">
        <w:rPr>
          <w:rFonts w:ascii="Bookman Old Style" w:hAnsi="Bookman Old Style"/>
        </w:rPr>
        <w:t xml:space="preserve">provisions of </w:t>
      </w:r>
      <w:r w:rsidR="00CC1101">
        <w:rPr>
          <w:rFonts w:ascii="Bookman Old Style" w:hAnsi="Bookman Old Style"/>
        </w:rPr>
        <w:t>S</w:t>
      </w:r>
      <w:r w:rsidR="00FD16BD">
        <w:rPr>
          <w:rFonts w:ascii="Bookman Old Style" w:hAnsi="Bookman Old Style"/>
        </w:rPr>
        <w:t>ection 3 of the Act provides thus:</w:t>
      </w:r>
    </w:p>
    <w:p w:rsidR="00FD16BD" w:rsidRPr="00CC1101" w:rsidRDefault="00FD16BD" w:rsidP="00FD16BD">
      <w:pPr>
        <w:pStyle w:val="JudgmentText"/>
        <w:numPr>
          <w:ilvl w:val="0"/>
          <w:numId w:val="0"/>
        </w:numPr>
        <w:ind w:left="720"/>
        <w:rPr>
          <w:rFonts w:ascii="Bookman Old Style" w:hAnsi="Bookman Old Style"/>
          <w:i/>
        </w:rPr>
      </w:pPr>
      <w:r w:rsidRPr="00CC1101">
        <w:rPr>
          <w:rFonts w:ascii="Bookman Old Style" w:hAnsi="Bookman Old Style"/>
          <w:i/>
        </w:rPr>
        <w:t>“3.</w:t>
      </w:r>
      <w:r w:rsidRPr="00CC1101">
        <w:rPr>
          <w:rFonts w:ascii="Bookman Old Style" w:hAnsi="Bookman Old Style"/>
          <w:i/>
        </w:rPr>
        <w:tab/>
        <w:t>No action to enforce any claim in respect of-</w:t>
      </w:r>
    </w:p>
    <w:p w:rsidR="00FD16BD" w:rsidRPr="00CC1101" w:rsidRDefault="003E4907" w:rsidP="00FD16BD">
      <w:pPr>
        <w:pStyle w:val="JudgmentText"/>
        <w:numPr>
          <w:ilvl w:val="0"/>
          <w:numId w:val="9"/>
        </w:numPr>
        <w:rPr>
          <w:rFonts w:ascii="Bookman Old Style" w:hAnsi="Bookman Old Style"/>
          <w:i/>
        </w:rPr>
      </w:pPr>
      <w:r>
        <w:rPr>
          <w:rFonts w:ascii="Bookman Old Style" w:hAnsi="Bookman Old Style"/>
          <w:i/>
        </w:rPr>
        <w:t>Any ac</w:t>
      </w:r>
      <w:r w:rsidR="00FD16BD" w:rsidRPr="00CC1101">
        <w:rPr>
          <w:rFonts w:ascii="Bookman Old Style" w:hAnsi="Bookman Old Style"/>
          <w:i/>
        </w:rPr>
        <w:t>t done or omitted to be done by a public officer in the execution of his office;</w:t>
      </w:r>
    </w:p>
    <w:p w:rsidR="00FD16BD" w:rsidRPr="00CC1101" w:rsidRDefault="00FD16BD" w:rsidP="00FD16BD">
      <w:pPr>
        <w:pStyle w:val="JudgmentText"/>
        <w:numPr>
          <w:ilvl w:val="0"/>
          <w:numId w:val="9"/>
        </w:numPr>
        <w:rPr>
          <w:rFonts w:ascii="Bookman Old Style" w:hAnsi="Bookman Old Style"/>
          <w:i/>
        </w:rPr>
      </w:pPr>
      <w:r w:rsidRPr="00CC1101">
        <w:rPr>
          <w:rFonts w:ascii="Bookman Old Style" w:hAnsi="Bookman Old Style"/>
          <w:i/>
        </w:rPr>
        <w:t xml:space="preserve">Any act </w:t>
      </w:r>
      <w:r w:rsidR="00CC1101">
        <w:rPr>
          <w:rFonts w:ascii="Bookman Old Style" w:hAnsi="Bookman Old Style"/>
          <w:i/>
        </w:rPr>
        <w:t>done or omitted to be done by an</w:t>
      </w:r>
      <w:r w:rsidRPr="00CC1101">
        <w:rPr>
          <w:rFonts w:ascii="Bookman Old Style" w:hAnsi="Bookman Old Style"/>
          <w:i/>
        </w:rPr>
        <w:t>y person in the lawful performance of a public duty; …</w:t>
      </w:r>
    </w:p>
    <w:p w:rsidR="00FD16BD" w:rsidRPr="00CC1101" w:rsidRDefault="00FD16BD" w:rsidP="00FD16BD">
      <w:pPr>
        <w:pStyle w:val="JudgmentText"/>
        <w:numPr>
          <w:ilvl w:val="0"/>
          <w:numId w:val="0"/>
        </w:numPr>
        <w:ind w:left="1440"/>
        <w:rPr>
          <w:rFonts w:ascii="Bookman Old Style" w:hAnsi="Bookman Old Style"/>
          <w:i/>
        </w:rPr>
      </w:pPr>
      <w:r w:rsidRPr="00CC1101">
        <w:rPr>
          <w:rFonts w:ascii="Bookman Old Style" w:hAnsi="Bookman Old Style"/>
          <w:i/>
        </w:rPr>
        <w:t>Shall be enterta</w:t>
      </w:r>
      <w:r w:rsidR="00636315">
        <w:rPr>
          <w:rFonts w:ascii="Bookman Old Style" w:hAnsi="Bookman Old Style"/>
          <w:i/>
        </w:rPr>
        <w:t>ined by a C</w:t>
      </w:r>
      <w:r w:rsidRPr="00CC1101">
        <w:rPr>
          <w:rFonts w:ascii="Bookman Old Style" w:hAnsi="Bookman Old Style"/>
          <w:i/>
        </w:rPr>
        <w:t>our</w:t>
      </w:r>
      <w:r w:rsidR="003E4907">
        <w:rPr>
          <w:rFonts w:ascii="Bookman Old Style" w:hAnsi="Bookman Old Style"/>
          <w:i/>
        </w:rPr>
        <w:t>t unless the action is commenced</w:t>
      </w:r>
      <w:r w:rsidRPr="00CC1101">
        <w:rPr>
          <w:rFonts w:ascii="Bookman Old Style" w:hAnsi="Bookman Old Style"/>
          <w:i/>
        </w:rPr>
        <w:t xml:space="preserve"> not later than six months after the claim arose.”</w:t>
      </w:r>
    </w:p>
    <w:p w:rsidR="006C4389" w:rsidRDefault="0097460D" w:rsidP="00FD16BD">
      <w:pPr>
        <w:pStyle w:val="JudgmentText"/>
        <w:numPr>
          <w:ilvl w:val="0"/>
          <w:numId w:val="0"/>
        </w:numPr>
        <w:ind w:left="720" w:hanging="720"/>
        <w:rPr>
          <w:rFonts w:ascii="Bookman Old Style" w:hAnsi="Bookman Old Style"/>
        </w:rPr>
      </w:pPr>
      <w:r>
        <w:rPr>
          <w:rFonts w:ascii="Bookman Old Style" w:hAnsi="Bookman Old Style"/>
        </w:rPr>
        <w:t>[1</w:t>
      </w:r>
      <w:r w:rsidR="000339C3">
        <w:rPr>
          <w:rFonts w:ascii="Bookman Old Style" w:hAnsi="Bookman Old Style"/>
        </w:rPr>
        <w:t>4</w:t>
      </w:r>
      <w:r>
        <w:rPr>
          <w:rFonts w:ascii="Bookman Old Style" w:hAnsi="Bookman Old Style"/>
        </w:rPr>
        <w:t>]</w:t>
      </w:r>
      <w:r>
        <w:rPr>
          <w:rFonts w:ascii="Bookman Old Style" w:hAnsi="Bookman Old Style"/>
        </w:rPr>
        <w:tab/>
      </w:r>
      <w:r w:rsidR="004A27AB">
        <w:rPr>
          <w:rFonts w:ascii="Bookman Old Style" w:hAnsi="Bookman Old Style"/>
        </w:rPr>
        <w:t xml:space="preserve">In that </w:t>
      </w:r>
      <w:r>
        <w:rPr>
          <w:rFonts w:ascii="Bookman Old Style" w:hAnsi="Bookman Old Style"/>
        </w:rPr>
        <w:t xml:space="preserve">regards, </w:t>
      </w:r>
      <w:r w:rsidR="00636315">
        <w:rPr>
          <w:rFonts w:ascii="Bookman Old Style" w:hAnsi="Bookman Old Style"/>
        </w:rPr>
        <w:t>C</w:t>
      </w:r>
      <w:r w:rsidR="006A23AD">
        <w:rPr>
          <w:rFonts w:ascii="Bookman Old Style" w:hAnsi="Bookman Old Style"/>
        </w:rPr>
        <w:t xml:space="preserve">ourt has considered the </w:t>
      </w:r>
      <w:r w:rsidR="006C4389">
        <w:rPr>
          <w:rFonts w:ascii="Bookman Old Style" w:hAnsi="Bookman Old Style"/>
        </w:rPr>
        <w:t xml:space="preserve">case of </w:t>
      </w:r>
      <w:r w:rsidR="006C4389" w:rsidRPr="00CC1101">
        <w:rPr>
          <w:rFonts w:ascii="Bookman Old Style" w:hAnsi="Bookman Old Style"/>
          <w:b/>
        </w:rPr>
        <w:t xml:space="preserve">Joseph </w:t>
      </w:r>
      <w:proofErr w:type="spellStart"/>
      <w:r w:rsidR="006C4389" w:rsidRPr="00CC1101">
        <w:rPr>
          <w:rFonts w:ascii="Bookman Old Style" w:hAnsi="Bookman Old Style"/>
          <w:b/>
        </w:rPr>
        <w:t>Labrosse</w:t>
      </w:r>
      <w:proofErr w:type="spellEnd"/>
      <w:r w:rsidR="006C4389" w:rsidRPr="00CC1101">
        <w:rPr>
          <w:rFonts w:ascii="Bookman Old Style" w:hAnsi="Bookman Old Style"/>
          <w:b/>
        </w:rPr>
        <w:t xml:space="preserve"> v </w:t>
      </w:r>
      <w:proofErr w:type="spellStart"/>
      <w:r w:rsidR="006C4389" w:rsidRPr="00CC1101">
        <w:rPr>
          <w:rFonts w:ascii="Bookman Old Style" w:hAnsi="Bookman Old Style"/>
          <w:b/>
        </w:rPr>
        <w:t>Seraphin</w:t>
      </w:r>
      <w:proofErr w:type="spellEnd"/>
      <w:r w:rsidR="00636315">
        <w:rPr>
          <w:rFonts w:ascii="Bookman Old Style" w:hAnsi="Bookman Old Style"/>
          <w:b/>
        </w:rPr>
        <w:t xml:space="preserve"> </w:t>
      </w:r>
      <w:proofErr w:type="spellStart"/>
      <w:r w:rsidR="006C4389" w:rsidRPr="00CC1101">
        <w:rPr>
          <w:rFonts w:ascii="Bookman Old Style" w:hAnsi="Bookman Old Style"/>
          <w:b/>
        </w:rPr>
        <w:t>Allisop</w:t>
      </w:r>
      <w:proofErr w:type="spellEnd"/>
      <w:r w:rsidR="006C4389" w:rsidRPr="00CC1101">
        <w:rPr>
          <w:rFonts w:ascii="Bookman Old Style" w:hAnsi="Bookman Old Style"/>
          <w:b/>
        </w:rPr>
        <w:t xml:space="preserve"> and Government of Seychelles (C.S. No 285 of 1996)</w:t>
      </w:r>
      <w:r w:rsidR="006C4389">
        <w:rPr>
          <w:rFonts w:ascii="Bookman Old Style" w:hAnsi="Bookman Old Style"/>
        </w:rPr>
        <w:t xml:space="preserve">, </w:t>
      </w:r>
      <w:r w:rsidR="0083212E">
        <w:rPr>
          <w:rFonts w:ascii="Bookman Old Style" w:hAnsi="Bookman Old Style"/>
        </w:rPr>
        <w:t xml:space="preserve">wherein </w:t>
      </w:r>
      <w:r w:rsidR="006C4389">
        <w:rPr>
          <w:rFonts w:ascii="Bookman Old Style" w:hAnsi="Bookman Old Style"/>
        </w:rPr>
        <w:t xml:space="preserve">the Supreme Court quoted its own previous decision in the case of </w:t>
      </w:r>
      <w:proofErr w:type="spellStart"/>
      <w:r w:rsidR="006C4389" w:rsidRPr="00CC1101">
        <w:rPr>
          <w:rFonts w:ascii="Bookman Old Style" w:hAnsi="Bookman Old Style"/>
          <w:b/>
        </w:rPr>
        <w:t>Gemma</w:t>
      </w:r>
      <w:proofErr w:type="spellEnd"/>
      <w:r w:rsidR="006C4389" w:rsidRPr="00CC1101">
        <w:rPr>
          <w:rFonts w:ascii="Bookman Old Style" w:hAnsi="Bookman Old Style"/>
          <w:b/>
        </w:rPr>
        <w:t xml:space="preserve"> </w:t>
      </w:r>
      <w:proofErr w:type="spellStart"/>
      <w:r w:rsidR="006C4389" w:rsidRPr="00CC1101">
        <w:rPr>
          <w:rFonts w:ascii="Bookman Old Style" w:hAnsi="Bookman Old Style"/>
          <w:b/>
        </w:rPr>
        <w:t>Contoret</w:t>
      </w:r>
      <w:proofErr w:type="spellEnd"/>
      <w:r w:rsidR="006C4389" w:rsidRPr="00CC1101">
        <w:rPr>
          <w:rFonts w:ascii="Bookman Old Style" w:hAnsi="Bookman Old Style"/>
          <w:b/>
        </w:rPr>
        <w:t xml:space="preserve"> v/s The Go</w:t>
      </w:r>
      <w:r w:rsidR="00CC4199">
        <w:rPr>
          <w:rFonts w:ascii="Bookman Old Style" w:hAnsi="Bookman Old Style"/>
          <w:b/>
        </w:rPr>
        <w:t xml:space="preserve">vernment of Seychelles, </w:t>
      </w:r>
      <w:r w:rsidR="00CC4199">
        <w:rPr>
          <w:rFonts w:ascii="Bookman Old Style" w:hAnsi="Bookman Old Style"/>
          <w:b/>
        </w:rPr>
        <w:lastRenderedPageBreak/>
        <w:t>SHDC &amp; A</w:t>
      </w:r>
      <w:r w:rsidR="006C4389" w:rsidRPr="00CC1101">
        <w:rPr>
          <w:rFonts w:ascii="Bookman Old Style" w:hAnsi="Bookman Old Style"/>
          <w:b/>
        </w:rPr>
        <w:t xml:space="preserve">nother </w:t>
      </w:r>
      <w:r w:rsidR="00CC4199">
        <w:rPr>
          <w:rFonts w:ascii="Bookman Old Style" w:hAnsi="Bookman Old Style"/>
          <w:b/>
        </w:rPr>
        <w:t>(</w:t>
      </w:r>
      <w:r w:rsidR="006C4389" w:rsidRPr="00CC1101">
        <w:rPr>
          <w:rFonts w:ascii="Bookman Old Style" w:hAnsi="Bookman Old Style"/>
          <w:b/>
        </w:rPr>
        <w:t>C.S. No. 101 of 1992</w:t>
      </w:r>
      <w:r w:rsidR="00CC4199">
        <w:rPr>
          <w:rFonts w:ascii="Bookman Old Style" w:hAnsi="Bookman Old Style"/>
          <w:b/>
        </w:rPr>
        <w:t>)</w:t>
      </w:r>
      <w:r w:rsidR="006C4389">
        <w:rPr>
          <w:rFonts w:ascii="Bookman Old Style" w:hAnsi="Bookman Old Style"/>
        </w:rPr>
        <w:t xml:space="preserve"> before the Supreme Court, as follows: </w:t>
      </w:r>
    </w:p>
    <w:p w:rsidR="0060228F" w:rsidRDefault="00CC4199" w:rsidP="006A23AD">
      <w:pPr>
        <w:pStyle w:val="JudgmentText"/>
        <w:numPr>
          <w:ilvl w:val="0"/>
          <w:numId w:val="0"/>
        </w:numPr>
        <w:ind w:left="720"/>
        <w:rPr>
          <w:rFonts w:ascii="Bookman Old Style" w:hAnsi="Bookman Old Style"/>
        </w:rPr>
      </w:pPr>
      <w:r>
        <w:rPr>
          <w:rFonts w:ascii="Bookman Old Style" w:hAnsi="Bookman Old Style"/>
          <w:i/>
        </w:rPr>
        <w:t>“T</w:t>
      </w:r>
      <w:r w:rsidR="006C4389" w:rsidRPr="00CC1101">
        <w:rPr>
          <w:rFonts w:ascii="Bookman Old Style" w:hAnsi="Bookman Old Style"/>
          <w:i/>
        </w:rPr>
        <w:t>he Government exercises its executive functions through its Ministers and Public officers. It is therefore clear that this section limits any action either against the Government or a Public officer w</w:t>
      </w:r>
      <w:r>
        <w:rPr>
          <w:rFonts w:ascii="Bookman Old Style" w:hAnsi="Bookman Old Style"/>
          <w:i/>
        </w:rPr>
        <w:t>hen the claim is based on the ac</w:t>
      </w:r>
      <w:r w:rsidR="006C4389" w:rsidRPr="00CC1101">
        <w:rPr>
          <w:rFonts w:ascii="Bookman Old Style" w:hAnsi="Bookman Old Style"/>
          <w:i/>
        </w:rPr>
        <w:t>t of a public officer and there</w:t>
      </w:r>
      <w:r w:rsidR="00CC1101">
        <w:rPr>
          <w:rFonts w:ascii="Bookman Old Style" w:hAnsi="Bookman Old Style"/>
          <w:i/>
        </w:rPr>
        <w:t>fore admits no ambiguity as Learn</w:t>
      </w:r>
      <w:r w:rsidR="006C4389" w:rsidRPr="00CC1101">
        <w:rPr>
          <w:rFonts w:ascii="Bookman Old Style" w:hAnsi="Bookman Old Style"/>
          <w:i/>
        </w:rPr>
        <w:t>ed Cou</w:t>
      </w:r>
      <w:r w:rsidR="00CC1101">
        <w:rPr>
          <w:rFonts w:ascii="Bookman Old Style" w:hAnsi="Bookman Old Style"/>
          <w:i/>
        </w:rPr>
        <w:t xml:space="preserve">nsel </w:t>
      </w:r>
      <w:r w:rsidR="006C4389" w:rsidRPr="00CC1101">
        <w:rPr>
          <w:rFonts w:ascii="Bookman Old Style" w:hAnsi="Bookman Old Style"/>
          <w:i/>
        </w:rPr>
        <w:t>for the Plai</w:t>
      </w:r>
      <w:r w:rsidR="00CC1101">
        <w:rPr>
          <w:rFonts w:ascii="Bookman Old Style" w:hAnsi="Bookman Old Style"/>
          <w:i/>
        </w:rPr>
        <w:t xml:space="preserve">ntiff </w:t>
      </w:r>
      <w:r w:rsidR="006C4389" w:rsidRPr="00CC1101">
        <w:rPr>
          <w:rFonts w:ascii="Bookman Old Style" w:hAnsi="Bookman Old Style"/>
          <w:i/>
        </w:rPr>
        <w:t>sought to establish</w:t>
      </w:r>
      <w:r w:rsidR="000505D3">
        <w:rPr>
          <w:rFonts w:ascii="Bookman Old Style" w:hAnsi="Bookman Old Style"/>
          <w:i/>
        </w:rPr>
        <w:t xml:space="preserve">. </w:t>
      </w:r>
      <w:r w:rsidR="006C4389" w:rsidRPr="00CC1101">
        <w:rPr>
          <w:rFonts w:ascii="Bookman Old Style" w:hAnsi="Bookman Old Style"/>
          <w:i/>
        </w:rPr>
        <w:t>The</w:t>
      </w:r>
      <w:r w:rsidR="00CC1101">
        <w:rPr>
          <w:rFonts w:ascii="Bookman Old Style" w:hAnsi="Bookman Old Style"/>
          <w:i/>
        </w:rPr>
        <w:t xml:space="preserve"> action aga</w:t>
      </w:r>
      <w:r w:rsidR="006C4389" w:rsidRPr="00CC1101">
        <w:rPr>
          <w:rFonts w:ascii="Bookman Old Style" w:hAnsi="Bookman Old Style"/>
          <w:i/>
        </w:rPr>
        <w:t>inst the 1</w:t>
      </w:r>
      <w:r w:rsidR="006C4389" w:rsidRPr="00CC1101">
        <w:rPr>
          <w:rFonts w:ascii="Bookman Old Style" w:hAnsi="Bookman Old Style"/>
          <w:i/>
          <w:vertAlign w:val="superscript"/>
        </w:rPr>
        <w:t>st</w:t>
      </w:r>
      <w:r w:rsidR="00636315">
        <w:rPr>
          <w:rFonts w:ascii="Bookman Old Style" w:hAnsi="Bookman Old Style"/>
          <w:i/>
        </w:rPr>
        <w:t xml:space="preserve"> D</w:t>
      </w:r>
      <w:r w:rsidR="006C4389" w:rsidRPr="00CC1101">
        <w:rPr>
          <w:rFonts w:ascii="Bookman Old Style" w:hAnsi="Bookman Old Style"/>
          <w:i/>
        </w:rPr>
        <w:t>efendant therefore is prescribed as it has not be</w:t>
      </w:r>
      <w:r w:rsidR="00CC1101">
        <w:rPr>
          <w:rFonts w:ascii="Bookman Old Style" w:hAnsi="Bookman Old Style"/>
          <w:i/>
        </w:rPr>
        <w:t>e</w:t>
      </w:r>
      <w:r w:rsidR="006C4389" w:rsidRPr="00CC1101">
        <w:rPr>
          <w:rFonts w:ascii="Bookman Old Style" w:hAnsi="Bookman Old Style"/>
          <w:i/>
        </w:rPr>
        <w:t xml:space="preserve">n filed within six months </w:t>
      </w:r>
      <w:r w:rsidR="006A23AD">
        <w:rPr>
          <w:rFonts w:ascii="Bookman Old Style" w:hAnsi="Bookman Old Style"/>
          <w:i/>
        </w:rPr>
        <w:t>after the alleged claim arose.”</w:t>
      </w:r>
      <w:r w:rsidR="0060228F">
        <w:rPr>
          <w:rFonts w:ascii="Bookman Old Style" w:hAnsi="Bookman Old Style"/>
        </w:rPr>
        <w:tab/>
      </w:r>
    </w:p>
    <w:p w:rsidR="0083212E" w:rsidRPr="0083212E" w:rsidRDefault="00215048" w:rsidP="0083212E">
      <w:pPr>
        <w:pStyle w:val="JudgmentText"/>
        <w:numPr>
          <w:ilvl w:val="0"/>
          <w:numId w:val="0"/>
        </w:numPr>
        <w:ind w:left="720" w:hanging="720"/>
        <w:rPr>
          <w:rFonts w:ascii="Bookman Old Style" w:hAnsi="Bookman Old Style"/>
        </w:rPr>
      </w:pPr>
      <w:r>
        <w:rPr>
          <w:rFonts w:ascii="Bookman Old Style" w:hAnsi="Bookman Old Style"/>
        </w:rPr>
        <w:t>[16</w:t>
      </w:r>
      <w:r w:rsidR="0060228F">
        <w:rPr>
          <w:rFonts w:ascii="Bookman Old Style" w:hAnsi="Bookman Old Style"/>
        </w:rPr>
        <w:t>]</w:t>
      </w:r>
      <w:r w:rsidR="0060228F">
        <w:rPr>
          <w:rFonts w:ascii="Bookman Old Style" w:hAnsi="Bookman Old Style"/>
        </w:rPr>
        <w:tab/>
      </w:r>
      <w:r w:rsidR="0083212E" w:rsidRPr="0083212E">
        <w:rPr>
          <w:rFonts w:ascii="Bookman Old Style" w:hAnsi="Bookman Old Style"/>
        </w:rPr>
        <w:t xml:space="preserve">Normally, a right of action accrues when the essential facts exists and, </w:t>
      </w:r>
      <w:r>
        <w:rPr>
          <w:rFonts w:ascii="Bookman Old Style" w:hAnsi="Bookman Old Style"/>
        </w:rPr>
        <w:t>barring statutory intervention</w:t>
      </w:r>
      <w:r w:rsidR="0083212E" w:rsidRPr="0083212E">
        <w:rPr>
          <w:rFonts w:ascii="Bookman Old Style" w:hAnsi="Bookman Old Style"/>
        </w:rPr>
        <w:t xml:space="preserve"> does not arise w</w:t>
      </w:r>
      <w:r w:rsidR="00636315">
        <w:rPr>
          <w:rFonts w:ascii="Bookman Old Style" w:hAnsi="Bookman Old Style"/>
        </w:rPr>
        <w:t>ith the awareness, for instance</w:t>
      </w:r>
      <w:r w:rsidR="0083212E" w:rsidRPr="0083212E">
        <w:rPr>
          <w:rFonts w:ascii="Bookman Old Style" w:hAnsi="Bookman Old Style"/>
        </w:rPr>
        <w:t xml:space="preserve">, of the </w:t>
      </w:r>
      <w:proofErr w:type="spellStart"/>
      <w:r w:rsidR="0083212E" w:rsidRPr="0083212E">
        <w:rPr>
          <w:rFonts w:ascii="Bookman Old Style" w:hAnsi="Bookman Old Style"/>
        </w:rPr>
        <w:t>attributability</w:t>
      </w:r>
      <w:proofErr w:type="spellEnd"/>
      <w:r w:rsidR="0083212E" w:rsidRPr="0083212E">
        <w:rPr>
          <w:rFonts w:ascii="Bookman Old Style" w:hAnsi="Bookman Old Style"/>
        </w:rPr>
        <w:t xml:space="preserve"> of the injury to the fault of the other party unless ther</w:t>
      </w:r>
      <w:r w:rsidR="00636315">
        <w:rPr>
          <w:rFonts w:ascii="Bookman Old Style" w:hAnsi="Bookman Old Style"/>
        </w:rPr>
        <w:t>e has been a fraudulent conceal</w:t>
      </w:r>
      <w:r w:rsidR="0083212E" w:rsidRPr="0083212E">
        <w:rPr>
          <w:rFonts w:ascii="Bookman Old Style" w:hAnsi="Bookman Old Style"/>
        </w:rPr>
        <w:t xml:space="preserve">ment of facts. </w:t>
      </w:r>
    </w:p>
    <w:p w:rsidR="006A23AD" w:rsidRDefault="0083212E" w:rsidP="0060228F">
      <w:pPr>
        <w:pStyle w:val="JudgmentText"/>
        <w:numPr>
          <w:ilvl w:val="0"/>
          <w:numId w:val="0"/>
        </w:numPr>
        <w:ind w:left="720" w:hanging="720"/>
        <w:rPr>
          <w:rFonts w:ascii="Bookman Old Style" w:hAnsi="Bookman Old Style"/>
        </w:rPr>
      </w:pPr>
      <w:r>
        <w:rPr>
          <w:rFonts w:ascii="Bookman Old Style" w:hAnsi="Bookman Old Style"/>
        </w:rPr>
        <w:t>[19]</w:t>
      </w:r>
      <w:r>
        <w:rPr>
          <w:rFonts w:ascii="Bookman Old Style" w:hAnsi="Bookman Old Style"/>
        </w:rPr>
        <w:tab/>
      </w:r>
      <w:r w:rsidR="006A23AD">
        <w:rPr>
          <w:rFonts w:ascii="Bookman Old Style" w:hAnsi="Bookman Old Style"/>
        </w:rPr>
        <w:t xml:space="preserve">Now, it is, </w:t>
      </w:r>
      <w:r w:rsidR="006A23AD" w:rsidRPr="00636315">
        <w:rPr>
          <w:rFonts w:ascii="Bookman Old Style" w:hAnsi="Bookman Old Style"/>
          <w:i/>
        </w:rPr>
        <w:t>ex-facie</w:t>
      </w:r>
      <w:r w:rsidR="006A23AD">
        <w:rPr>
          <w:rFonts w:ascii="Bookman Old Style" w:hAnsi="Bookman Old Style"/>
        </w:rPr>
        <w:t xml:space="preserve"> the pleadings, abundantly clear upon a careful scrutiny of the averments at paragraphs 12 as read with Paragraph 13 of the Plaint, that the action for which the 4</w:t>
      </w:r>
      <w:r w:rsidR="006A23AD" w:rsidRPr="006A23AD">
        <w:rPr>
          <w:rFonts w:ascii="Bookman Old Style" w:hAnsi="Bookman Old Style"/>
          <w:vertAlign w:val="superscript"/>
        </w:rPr>
        <w:t>th</w:t>
      </w:r>
      <w:r w:rsidR="006A23AD">
        <w:rPr>
          <w:rFonts w:ascii="Bookman Old Style" w:hAnsi="Bookman Old Style"/>
        </w:rPr>
        <w:t xml:space="preserve"> Defendant is being reproached on the basis of “</w:t>
      </w:r>
      <w:proofErr w:type="spellStart"/>
      <w:r w:rsidR="006A23AD">
        <w:rPr>
          <w:rFonts w:ascii="Bookman Old Style" w:hAnsi="Bookman Old Style"/>
        </w:rPr>
        <w:t>faute</w:t>
      </w:r>
      <w:proofErr w:type="spellEnd"/>
      <w:r w:rsidR="006A23AD">
        <w:rPr>
          <w:rFonts w:ascii="Bookman Old Style" w:hAnsi="Bookman Old Style"/>
        </w:rPr>
        <w:t>” arose on the 14</w:t>
      </w:r>
      <w:r w:rsidR="006A23AD" w:rsidRPr="006A23AD">
        <w:rPr>
          <w:rFonts w:ascii="Bookman Old Style" w:hAnsi="Bookman Old Style"/>
          <w:vertAlign w:val="superscript"/>
        </w:rPr>
        <w:t>th</w:t>
      </w:r>
      <w:r w:rsidR="006A23AD">
        <w:rPr>
          <w:rFonts w:ascii="Bookman Old Style" w:hAnsi="Bookman Old Style"/>
        </w:rPr>
        <w:t xml:space="preserve"> day of M</w:t>
      </w:r>
      <w:r w:rsidR="004A27AB">
        <w:rPr>
          <w:rFonts w:ascii="Bookman Old Style" w:hAnsi="Bookman Old Style"/>
        </w:rPr>
        <w:t xml:space="preserve">arch 2012, </w:t>
      </w:r>
      <w:r w:rsidR="006A23AD">
        <w:rPr>
          <w:rFonts w:ascii="Bookman Old Style" w:hAnsi="Bookman Old Style"/>
        </w:rPr>
        <w:t xml:space="preserve">when the pledge was as stated </w:t>
      </w:r>
      <w:r w:rsidR="006A23AD" w:rsidRPr="00215048">
        <w:rPr>
          <w:rFonts w:ascii="Bookman Old Style" w:hAnsi="Bookman Old Style"/>
          <w:i/>
        </w:rPr>
        <w:t>“duly registered in favour of the Government of Seychelles”</w:t>
      </w:r>
      <w:r w:rsidR="006A23AD">
        <w:rPr>
          <w:rFonts w:ascii="Bookman Old Style" w:hAnsi="Bookman Old Style"/>
        </w:rPr>
        <w:t xml:space="preserve"> and not on the 17</w:t>
      </w:r>
      <w:r w:rsidR="006A23AD" w:rsidRPr="006A23AD">
        <w:rPr>
          <w:rFonts w:ascii="Bookman Old Style" w:hAnsi="Bookman Old Style"/>
          <w:vertAlign w:val="superscript"/>
        </w:rPr>
        <w:t>th</w:t>
      </w:r>
      <w:r w:rsidR="006A23AD">
        <w:rPr>
          <w:rFonts w:ascii="Bookman Old Style" w:hAnsi="Bookman Old Style"/>
        </w:rPr>
        <w:t xml:space="preserve"> day of February 2014 as claimed by the Plaintiff. This would be so as against the 3</w:t>
      </w:r>
      <w:r w:rsidR="006A23AD" w:rsidRPr="006A23AD">
        <w:rPr>
          <w:rFonts w:ascii="Bookman Old Style" w:hAnsi="Bookman Old Style"/>
          <w:vertAlign w:val="superscript"/>
        </w:rPr>
        <w:t>rd</w:t>
      </w:r>
      <w:r w:rsidR="006A23AD">
        <w:rPr>
          <w:rFonts w:ascii="Bookman Old Style" w:hAnsi="Bookman Old Style"/>
        </w:rPr>
        <w:t xml:space="preserve"> Defendant as admitted by the 3</w:t>
      </w:r>
      <w:r w:rsidR="006A23AD" w:rsidRPr="006A23AD">
        <w:rPr>
          <w:rFonts w:ascii="Bookman Old Style" w:hAnsi="Bookman Old Style"/>
          <w:vertAlign w:val="superscript"/>
        </w:rPr>
        <w:t>rd</w:t>
      </w:r>
      <w:r w:rsidR="00636315">
        <w:rPr>
          <w:rFonts w:ascii="Bookman Old Style" w:hAnsi="Bookman Old Style"/>
        </w:rPr>
        <w:t xml:space="preserve"> D</w:t>
      </w:r>
      <w:r w:rsidR="006A23AD">
        <w:rPr>
          <w:rFonts w:ascii="Bookman Old Style" w:hAnsi="Bookman Old Style"/>
        </w:rPr>
        <w:t xml:space="preserve">efendant’s Counsel but not </w:t>
      </w:r>
      <w:r w:rsidR="006A23AD" w:rsidRPr="00636315">
        <w:rPr>
          <w:rFonts w:ascii="Bookman Old Style" w:hAnsi="Bookman Old Style"/>
          <w:i/>
        </w:rPr>
        <w:t>vis-à-vis</w:t>
      </w:r>
      <w:r w:rsidR="006A23AD">
        <w:rPr>
          <w:rFonts w:ascii="Bookman Old Style" w:hAnsi="Bookman Old Style"/>
        </w:rPr>
        <w:t xml:space="preserve"> the 4</w:t>
      </w:r>
      <w:r w:rsidR="006A23AD" w:rsidRPr="006A23AD">
        <w:rPr>
          <w:rFonts w:ascii="Bookman Old Style" w:hAnsi="Bookman Old Style"/>
          <w:vertAlign w:val="superscript"/>
        </w:rPr>
        <w:t>th</w:t>
      </w:r>
      <w:r w:rsidR="006A23AD">
        <w:rPr>
          <w:rFonts w:ascii="Bookman Old Style" w:hAnsi="Bookman Old Style"/>
        </w:rPr>
        <w:t xml:space="preserve"> Defendant</w:t>
      </w:r>
      <w:r w:rsidR="000505D3">
        <w:rPr>
          <w:rFonts w:ascii="Bookman Old Style" w:hAnsi="Bookman Old Style"/>
        </w:rPr>
        <w:t>,</w:t>
      </w:r>
      <w:r w:rsidR="006A23AD">
        <w:rPr>
          <w:rFonts w:ascii="Bookman Old Style" w:hAnsi="Bookman Old Style"/>
        </w:rPr>
        <w:t xml:space="preserve"> with respect. </w:t>
      </w:r>
    </w:p>
    <w:p w:rsidR="0083212E" w:rsidRDefault="00215048" w:rsidP="0083212E">
      <w:pPr>
        <w:pStyle w:val="JudgmentText"/>
        <w:numPr>
          <w:ilvl w:val="0"/>
          <w:numId w:val="0"/>
        </w:numPr>
        <w:ind w:left="720" w:hanging="720"/>
        <w:rPr>
          <w:rFonts w:ascii="Bookman Old Style" w:hAnsi="Bookman Old Style"/>
        </w:rPr>
      </w:pPr>
      <w:r>
        <w:rPr>
          <w:rFonts w:ascii="Bookman Old Style" w:hAnsi="Bookman Old Style"/>
        </w:rPr>
        <w:t>[20</w:t>
      </w:r>
      <w:r w:rsidR="0083212E">
        <w:rPr>
          <w:rFonts w:ascii="Bookman Old Style" w:hAnsi="Bookman Old Style"/>
        </w:rPr>
        <w:t>]</w:t>
      </w:r>
      <w:r w:rsidR="0083212E">
        <w:rPr>
          <w:rFonts w:ascii="Bookman Old Style" w:hAnsi="Bookman Old Style"/>
        </w:rPr>
        <w:tab/>
      </w:r>
      <w:r>
        <w:rPr>
          <w:rFonts w:ascii="Bookman Old Style" w:hAnsi="Bookman Old Style"/>
        </w:rPr>
        <w:t xml:space="preserve">The </w:t>
      </w:r>
      <w:r w:rsidRPr="00215048">
        <w:rPr>
          <w:rFonts w:ascii="Bookman Old Style" w:hAnsi="Bookman Old Style"/>
        </w:rPr>
        <w:t>e</w:t>
      </w:r>
      <w:r w:rsidR="0083212E" w:rsidRPr="00215048">
        <w:rPr>
          <w:rFonts w:ascii="Bookman Old Style" w:hAnsi="Bookman Old Style"/>
        </w:rPr>
        <w:t xml:space="preserve">xistence of facts essential to the accrual of a right of action must be distinguished from the evidence of such facts. </w:t>
      </w:r>
      <w:r w:rsidR="004A27AB">
        <w:rPr>
          <w:rFonts w:ascii="Bookman Old Style" w:hAnsi="Bookman Old Style"/>
        </w:rPr>
        <w:t>T</w:t>
      </w:r>
      <w:r w:rsidR="0083212E" w:rsidRPr="00215048">
        <w:rPr>
          <w:rFonts w:ascii="Bookman Old Style" w:hAnsi="Bookman Old Style"/>
        </w:rPr>
        <w:t>here is no statutory provi</w:t>
      </w:r>
      <w:r w:rsidR="00636315">
        <w:rPr>
          <w:rFonts w:ascii="Bookman Old Style" w:hAnsi="Bookman Old Style"/>
        </w:rPr>
        <w:t>sion that confers power on the C</w:t>
      </w:r>
      <w:r w:rsidR="0083212E" w:rsidRPr="00215048">
        <w:rPr>
          <w:rFonts w:ascii="Bookman Old Style" w:hAnsi="Bookman Old Style"/>
        </w:rPr>
        <w:t xml:space="preserve">ourt in this Jurisdiction to postpone the accrual of a right of action by reason of ignorance of the plaintiff of material facts relating to the cause of action. </w:t>
      </w:r>
      <w:r w:rsidR="0083212E">
        <w:rPr>
          <w:rFonts w:ascii="Bookman Old Style" w:hAnsi="Bookman Old Style"/>
        </w:rPr>
        <w:t xml:space="preserve">The same principle of interpretation as to the accrual of a right of action subject </w:t>
      </w:r>
      <w:r w:rsidR="0083212E">
        <w:rPr>
          <w:rFonts w:ascii="Bookman Old Style" w:hAnsi="Bookman Old Style"/>
        </w:rPr>
        <w:lastRenderedPageBreak/>
        <w:t xml:space="preserve">matter of section 3 of the Act, arose and was endorsed as set in the case of </w:t>
      </w:r>
      <w:proofErr w:type="spellStart"/>
      <w:r>
        <w:rPr>
          <w:rFonts w:ascii="Bookman Old Style" w:hAnsi="Bookman Old Style"/>
          <w:b/>
        </w:rPr>
        <w:t>Voysey</w:t>
      </w:r>
      <w:proofErr w:type="spellEnd"/>
      <w:r w:rsidR="004A27AB">
        <w:rPr>
          <w:rFonts w:ascii="Bookman Old Style" w:hAnsi="Bookman Old Style"/>
          <w:b/>
        </w:rPr>
        <w:t xml:space="preserve"> (supra)</w:t>
      </w:r>
      <w:r w:rsidR="0083212E">
        <w:rPr>
          <w:rFonts w:ascii="Bookman Old Style" w:hAnsi="Bookman Old Style"/>
        </w:rPr>
        <w:t xml:space="preserve">, in the case of </w:t>
      </w:r>
      <w:proofErr w:type="spellStart"/>
      <w:r w:rsidR="0083212E" w:rsidRPr="00C95987">
        <w:rPr>
          <w:rFonts w:ascii="Bookman Old Style" w:hAnsi="Bookman Old Style"/>
          <w:b/>
        </w:rPr>
        <w:t>Yvon</w:t>
      </w:r>
      <w:proofErr w:type="spellEnd"/>
      <w:r w:rsidR="0083212E" w:rsidRPr="00C95987">
        <w:rPr>
          <w:rFonts w:ascii="Bookman Old Style" w:hAnsi="Bookman Old Style"/>
          <w:b/>
        </w:rPr>
        <w:t xml:space="preserve"> Camille v Government of Seychelles </w:t>
      </w:r>
      <w:r w:rsidR="0083212E">
        <w:rPr>
          <w:rFonts w:ascii="Bookman Old Style" w:hAnsi="Bookman Old Style"/>
          <w:b/>
        </w:rPr>
        <w:t>(</w:t>
      </w:r>
      <w:r w:rsidR="0083212E" w:rsidRPr="00C95987">
        <w:rPr>
          <w:rFonts w:ascii="Bookman Old Style" w:hAnsi="Bookman Old Style"/>
          <w:b/>
        </w:rPr>
        <w:t>SCA No. 57 of 1998</w:t>
      </w:r>
      <w:r w:rsidR="0083212E">
        <w:rPr>
          <w:rFonts w:ascii="Bookman Old Style" w:hAnsi="Bookman Old Style"/>
          <w:b/>
        </w:rPr>
        <w:t>)</w:t>
      </w:r>
      <w:r w:rsidR="0083212E" w:rsidRPr="00C95987">
        <w:rPr>
          <w:rFonts w:ascii="Bookman Old Style" w:hAnsi="Bookman Old Style"/>
          <w:b/>
        </w:rPr>
        <w:t>, Lorraine Lewis</w:t>
      </w:r>
      <w:r w:rsidR="0083212E">
        <w:rPr>
          <w:rFonts w:ascii="Bookman Old Style" w:hAnsi="Bookman Old Style"/>
          <w:b/>
        </w:rPr>
        <w:t xml:space="preserve"> v/s The Government of Seychelles (</w:t>
      </w:r>
      <w:r w:rsidR="0083212E" w:rsidRPr="00C95987">
        <w:rPr>
          <w:rFonts w:ascii="Bookman Old Style" w:hAnsi="Bookman Old Style"/>
          <w:b/>
        </w:rPr>
        <w:t>Civil Side No. 17 of 2000</w:t>
      </w:r>
      <w:r w:rsidR="0083212E">
        <w:rPr>
          <w:rFonts w:ascii="Bookman Old Style" w:hAnsi="Bookman Old Style"/>
          <w:b/>
        </w:rPr>
        <w:t>)</w:t>
      </w:r>
      <w:r w:rsidR="0083212E" w:rsidRPr="00C95987">
        <w:rPr>
          <w:rFonts w:ascii="Bookman Old Style" w:hAnsi="Bookman Old Style"/>
          <w:b/>
        </w:rPr>
        <w:t xml:space="preserve">; </w:t>
      </w:r>
      <w:r w:rsidR="0083212E">
        <w:rPr>
          <w:rFonts w:ascii="Bookman Old Style" w:hAnsi="Bookman Old Style"/>
          <w:b/>
        </w:rPr>
        <w:t xml:space="preserve">Roderick Larue v /s </w:t>
      </w:r>
      <w:proofErr w:type="spellStart"/>
      <w:r w:rsidR="0083212E">
        <w:rPr>
          <w:rFonts w:ascii="Bookman Old Style" w:hAnsi="Bookman Old Style"/>
          <w:b/>
        </w:rPr>
        <w:t>Osman</w:t>
      </w:r>
      <w:proofErr w:type="spellEnd"/>
      <w:r w:rsidR="0083212E">
        <w:rPr>
          <w:rFonts w:ascii="Bookman Old Style" w:hAnsi="Bookman Old Style"/>
          <w:b/>
        </w:rPr>
        <w:t xml:space="preserve"> </w:t>
      </w:r>
      <w:proofErr w:type="spellStart"/>
      <w:r w:rsidR="0083212E">
        <w:rPr>
          <w:rFonts w:ascii="Bookman Old Style" w:hAnsi="Bookman Old Style"/>
          <w:b/>
        </w:rPr>
        <w:t>Legg</w:t>
      </w:r>
      <w:r w:rsidR="0083212E" w:rsidRPr="00C95987">
        <w:rPr>
          <w:rFonts w:ascii="Bookman Old Style" w:hAnsi="Bookman Old Style"/>
          <w:b/>
        </w:rPr>
        <w:t>aie</w:t>
      </w:r>
      <w:proofErr w:type="spellEnd"/>
      <w:r w:rsidR="00636315">
        <w:rPr>
          <w:rFonts w:ascii="Bookman Old Style" w:hAnsi="Bookman Old Style"/>
          <w:b/>
        </w:rPr>
        <w:t xml:space="preserve"> &amp; Attorney G</w:t>
      </w:r>
      <w:r w:rsidR="0083212E" w:rsidRPr="00C95987">
        <w:rPr>
          <w:rFonts w:ascii="Bookman Old Style" w:hAnsi="Bookman Old Style"/>
          <w:b/>
        </w:rPr>
        <w:t xml:space="preserve">eneral, </w:t>
      </w:r>
      <w:r w:rsidR="0083212E">
        <w:rPr>
          <w:rFonts w:ascii="Bookman Old Style" w:hAnsi="Bookman Old Style"/>
          <w:b/>
        </w:rPr>
        <w:t>(</w:t>
      </w:r>
      <w:r w:rsidR="0083212E" w:rsidRPr="00C95987">
        <w:rPr>
          <w:rFonts w:ascii="Bookman Old Style" w:hAnsi="Bookman Old Style"/>
          <w:b/>
        </w:rPr>
        <w:t>Civil Ap</w:t>
      </w:r>
      <w:r w:rsidR="0083212E">
        <w:rPr>
          <w:rFonts w:ascii="Bookman Old Style" w:hAnsi="Bookman Old Style"/>
          <w:b/>
        </w:rPr>
        <w:t xml:space="preserve">peal </w:t>
      </w:r>
      <w:r w:rsidR="0083212E" w:rsidRPr="00C95987">
        <w:rPr>
          <w:rFonts w:ascii="Bookman Old Style" w:hAnsi="Bookman Old Style"/>
          <w:b/>
        </w:rPr>
        <w:t>No. 19 of 2011</w:t>
      </w:r>
      <w:r w:rsidR="0083212E">
        <w:rPr>
          <w:rFonts w:ascii="Bookman Old Style" w:hAnsi="Bookman Old Style"/>
          <w:b/>
        </w:rPr>
        <w:t>)</w:t>
      </w:r>
      <w:r w:rsidR="0083212E" w:rsidRPr="00C95987">
        <w:rPr>
          <w:rFonts w:ascii="Bookman Old Style" w:hAnsi="Bookman Old Style"/>
          <w:b/>
        </w:rPr>
        <w:t xml:space="preserve"> and </w:t>
      </w:r>
      <w:proofErr w:type="spellStart"/>
      <w:r w:rsidR="0083212E" w:rsidRPr="00C95987">
        <w:rPr>
          <w:rFonts w:ascii="Bookman Old Style" w:hAnsi="Bookman Old Style"/>
          <w:b/>
        </w:rPr>
        <w:t>Jusheila</w:t>
      </w:r>
      <w:proofErr w:type="spellEnd"/>
      <w:r w:rsidR="0083212E" w:rsidRPr="00C95987">
        <w:rPr>
          <w:rFonts w:ascii="Bookman Old Style" w:hAnsi="Bookman Old Style"/>
          <w:b/>
        </w:rPr>
        <w:t xml:space="preserve"> Cecile Madeleine v/s Land Trans</w:t>
      </w:r>
      <w:r w:rsidR="0083212E">
        <w:rPr>
          <w:rFonts w:ascii="Bookman Old Style" w:hAnsi="Bookman Old Style"/>
          <w:b/>
        </w:rPr>
        <w:t>p</w:t>
      </w:r>
      <w:r w:rsidR="0083212E" w:rsidRPr="00C95987">
        <w:rPr>
          <w:rFonts w:ascii="Bookman Old Style" w:hAnsi="Bookman Old Style"/>
          <w:b/>
        </w:rPr>
        <w:t>ort Agency rep</w:t>
      </w:r>
      <w:r w:rsidR="0083212E">
        <w:rPr>
          <w:rFonts w:ascii="Bookman Old Style" w:hAnsi="Bookman Old Style"/>
          <w:b/>
        </w:rPr>
        <w:t>resented by CEO &amp; Attorney G</w:t>
      </w:r>
      <w:r w:rsidR="0083212E" w:rsidRPr="00C95987">
        <w:rPr>
          <w:rFonts w:ascii="Bookman Old Style" w:hAnsi="Bookman Old Style"/>
          <w:b/>
        </w:rPr>
        <w:t>eneral representing the G</w:t>
      </w:r>
      <w:r w:rsidR="0083212E">
        <w:rPr>
          <w:rFonts w:ascii="Bookman Old Style" w:hAnsi="Bookman Old Style"/>
          <w:b/>
        </w:rPr>
        <w:t>overnment of Seychelles (</w:t>
      </w:r>
      <w:r w:rsidR="0083212E" w:rsidRPr="00C95987">
        <w:rPr>
          <w:rFonts w:ascii="Bookman Old Style" w:hAnsi="Bookman Old Style"/>
          <w:b/>
        </w:rPr>
        <w:t>Civil side No. 67 of 2013</w:t>
      </w:r>
      <w:r w:rsidR="0083212E">
        <w:rPr>
          <w:rFonts w:ascii="Bookman Old Style" w:hAnsi="Bookman Old Style"/>
          <w:b/>
        </w:rPr>
        <w:t>)</w:t>
      </w:r>
      <w:r w:rsidR="0083212E">
        <w:rPr>
          <w:rFonts w:ascii="Bookman Old Style" w:hAnsi="Bookman Old Style"/>
        </w:rPr>
        <w:t xml:space="preserve">, amongst others. </w:t>
      </w:r>
    </w:p>
    <w:p w:rsidR="0083212E" w:rsidRDefault="004A27AB" w:rsidP="0060228F">
      <w:pPr>
        <w:pStyle w:val="JudgmentText"/>
        <w:numPr>
          <w:ilvl w:val="0"/>
          <w:numId w:val="0"/>
        </w:numPr>
        <w:ind w:left="720" w:hanging="720"/>
        <w:rPr>
          <w:rFonts w:ascii="Bookman Old Style" w:hAnsi="Bookman Old Style"/>
        </w:rPr>
      </w:pPr>
      <w:r>
        <w:rPr>
          <w:rFonts w:ascii="Bookman Old Style" w:hAnsi="Bookman Old Style"/>
        </w:rPr>
        <w:t>[21</w:t>
      </w:r>
      <w:r w:rsidR="0083212E">
        <w:rPr>
          <w:rFonts w:ascii="Bookman Old Style" w:hAnsi="Bookman Old Style"/>
        </w:rPr>
        <w:t>]</w:t>
      </w:r>
      <w:r w:rsidR="0083212E">
        <w:rPr>
          <w:rFonts w:ascii="Bookman Old Style" w:hAnsi="Bookman Old Style"/>
        </w:rPr>
        <w:tab/>
        <w:t xml:space="preserve">On the above basis, I do not believe there is a need to elaborate further on this argument and hence I allow the second plea in </w:t>
      </w:r>
      <w:proofErr w:type="spellStart"/>
      <w:r w:rsidR="0083212E">
        <w:rPr>
          <w:rFonts w:ascii="Bookman Old Style" w:hAnsi="Bookman Old Style"/>
        </w:rPr>
        <w:t>limine</w:t>
      </w:r>
      <w:proofErr w:type="spellEnd"/>
      <w:r w:rsidR="00636315">
        <w:rPr>
          <w:rFonts w:ascii="Bookman Old Style" w:hAnsi="Bookman Old Style"/>
        </w:rPr>
        <w:t xml:space="preserve"> </w:t>
      </w:r>
      <w:proofErr w:type="spellStart"/>
      <w:r>
        <w:rPr>
          <w:rFonts w:ascii="Bookman Old Style" w:hAnsi="Bookman Old Style"/>
        </w:rPr>
        <w:t>litis</w:t>
      </w:r>
      <w:proofErr w:type="spellEnd"/>
      <w:r w:rsidR="00636315">
        <w:rPr>
          <w:rFonts w:ascii="Bookman Old Style" w:hAnsi="Bookman Old Style"/>
        </w:rPr>
        <w:t xml:space="preserve"> </w:t>
      </w:r>
      <w:r w:rsidR="0083212E">
        <w:rPr>
          <w:rFonts w:ascii="Bookman Old Style" w:hAnsi="Bookman Old Style"/>
        </w:rPr>
        <w:t xml:space="preserve">as </w:t>
      </w:r>
      <w:r w:rsidR="000505D3">
        <w:rPr>
          <w:rFonts w:ascii="Bookman Old Style" w:hAnsi="Bookman Old Style"/>
        </w:rPr>
        <w:t xml:space="preserve">raised on behalf of the </w:t>
      </w:r>
      <w:r w:rsidR="0083212E">
        <w:rPr>
          <w:rFonts w:ascii="Bookman Old Style" w:hAnsi="Bookman Old Style"/>
        </w:rPr>
        <w:t>4</w:t>
      </w:r>
      <w:r w:rsidR="0083212E" w:rsidRPr="0083212E">
        <w:rPr>
          <w:rFonts w:ascii="Bookman Old Style" w:hAnsi="Bookman Old Style"/>
          <w:vertAlign w:val="superscript"/>
        </w:rPr>
        <w:t>th</w:t>
      </w:r>
      <w:r w:rsidR="0083212E">
        <w:rPr>
          <w:rFonts w:ascii="Bookman Old Style" w:hAnsi="Bookman Old Style"/>
        </w:rPr>
        <w:t xml:space="preserve"> Defendant and hence </w:t>
      </w:r>
      <w:r w:rsidR="00215048">
        <w:rPr>
          <w:rFonts w:ascii="Bookman Old Style" w:hAnsi="Bookman Old Style"/>
        </w:rPr>
        <w:t xml:space="preserve">it follows that </w:t>
      </w:r>
      <w:r w:rsidR="0083212E">
        <w:rPr>
          <w:rFonts w:ascii="Bookman Old Style" w:hAnsi="Bookman Old Style"/>
        </w:rPr>
        <w:t>the 4</w:t>
      </w:r>
      <w:r w:rsidR="0083212E" w:rsidRPr="0083212E">
        <w:rPr>
          <w:rFonts w:ascii="Bookman Old Style" w:hAnsi="Bookman Old Style"/>
          <w:vertAlign w:val="superscript"/>
        </w:rPr>
        <w:t>th</w:t>
      </w:r>
      <w:r w:rsidR="0083212E">
        <w:rPr>
          <w:rFonts w:ascii="Bookman Old Style" w:hAnsi="Bookman Old Style"/>
        </w:rPr>
        <w:t xml:space="preserve"> Defendant shall be struck off the Plaint </w:t>
      </w:r>
      <w:r w:rsidR="000505D3">
        <w:rPr>
          <w:rFonts w:ascii="Bookman Old Style" w:hAnsi="Bookman Old Style"/>
        </w:rPr>
        <w:t xml:space="preserve">as a Defendant </w:t>
      </w:r>
      <w:r w:rsidR="0083212E">
        <w:rPr>
          <w:rFonts w:ascii="Bookman Old Style" w:hAnsi="Bookman Old Style"/>
        </w:rPr>
        <w:t xml:space="preserve">accordingly. </w:t>
      </w:r>
    </w:p>
    <w:p w:rsidR="00DC3CA0" w:rsidRDefault="00DC3CA0" w:rsidP="0060228F">
      <w:pPr>
        <w:pStyle w:val="JudgmentText"/>
        <w:numPr>
          <w:ilvl w:val="0"/>
          <w:numId w:val="0"/>
        </w:numPr>
        <w:ind w:left="720" w:hanging="720"/>
        <w:rPr>
          <w:rFonts w:ascii="Bookman Old Style" w:hAnsi="Bookman Old Style"/>
        </w:rPr>
      </w:pPr>
      <w:r>
        <w:rPr>
          <w:rFonts w:ascii="Bookman Old Style" w:hAnsi="Bookman Old Style"/>
        </w:rPr>
        <w:t>[37]</w:t>
      </w:r>
      <w:r>
        <w:rPr>
          <w:rFonts w:ascii="Bookman Old Style" w:hAnsi="Bookman Old Style"/>
        </w:rPr>
        <w:tab/>
        <w:t>As ind</w:t>
      </w:r>
      <w:r w:rsidR="004A27AB">
        <w:rPr>
          <w:rFonts w:ascii="Bookman Old Style" w:hAnsi="Bookman Old Style"/>
        </w:rPr>
        <w:t>icated earlier, since the first point of law has not been entertained at this stage of the proceedings in favour of the 3</w:t>
      </w:r>
      <w:r w:rsidR="004A27AB" w:rsidRPr="004A27AB">
        <w:rPr>
          <w:rFonts w:ascii="Bookman Old Style" w:hAnsi="Bookman Old Style"/>
          <w:vertAlign w:val="superscript"/>
        </w:rPr>
        <w:t>rd</w:t>
      </w:r>
      <w:r w:rsidR="004A27AB">
        <w:rPr>
          <w:rFonts w:ascii="Bookman Old Style" w:hAnsi="Bookman Old Style"/>
        </w:rPr>
        <w:t xml:space="preserve"> Defendant, then the matter shall proceed on a hearing on the merits as against the second and 3</w:t>
      </w:r>
      <w:r w:rsidR="004A27AB" w:rsidRPr="004A27AB">
        <w:rPr>
          <w:rFonts w:ascii="Bookman Old Style" w:hAnsi="Bookman Old Style"/>
          <w:vertAlign w:val="superscript"/>
        </w:rPr>
        <w:t>rd</w:t>
      </w:r>
      <w:r w:rsidR="004A27AB">
        <w:rPr>
          <w:rFonts w:ascii="Bookman Old Style" w:hAnsi="Bookman Old Style"/>
        </w:rPr>
        <w:t xml:space="preserve"> Defendants noting that Judgement has been entered as against the 1</w:t>
      </w:r>
      <w:r w:rsidR="004A27AB" w:rsidRPr="004A27AB">
        <w:rPr>
          <w:rFonts w:ascii="Bookman Old Style" w:hAnsi="Bookman Old Style"/>
          <w:vertAlign w:val="superscript"/>
        </w:rPr>
        <w:t>st</w:t>
      </w:r>
      <w:r w:rsidR="004A27AB">
        <w:rPr>
          <w:rFonts w:ascii="Bookman Old Style" w:hAnsi="Bookman Old Style"/>
        </w:rPr>
        <w:t xml:space="preserve"> Defendant. </w:t>
      </w:r>
      <w:bookmarkStart w:id="13" w:name="_GoBack"/>
      <w:bookmarkEnd w:id="13"/>
    </w:p>
    <w:p w:rsidR="00CE6414" w:rsidRPr="00720EA9" w:rsidRDefault="00CE6414" w:rsidP="00546E79">
      <w:pPr>
        <w:pStyle w:val="JudgmentText"/>
        <w:numPr>
          <w:ilvl w:val="0"/>
          <w:numId w:val="0"/>
        </w:numPr>
        <w:rPr>
          <w:rFonts w:ascii="Bookman Old Style" w:hAnsi="Bookman Old Style"/>
        </w:rPr>
      </w:pPr>
    </w:p>
    <w:p w:rsidR="00E6492F" w:rsidRPr="00720EA9" w:rsidRDefault="00A645F2" w:rsidP="00E33F35">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highlight w:val="lightGray"/>
        </w:rPr>
        <w:fldChar w:fldCharType="begin"/>
      </w:r>
      <w:r w:rsidRPr="00720EA9">
        <w:rPr>
          <w:rFonts w:ascii="Bookman Old Style" w:hAnsi="Bookman Old Style"/>
          <w:sz w:val="24"/>
          <w:szCs w:val="24"/>
          <w:highlight w:val="lightGray"/>
        </w:rPr>
        <w:fldChar w:fldCharType="end"/>
      </w:r>
    </w:p>
    <w:p w:rsidR="00EF2051" w:rsidRPr="00720EA9"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720EA9" w:rsidSect="00EF2051">
          <w:type w:val="continuous"/>
          <w:pgSz w:w="12240" w:h="15840"/>
          <w:pgMar w:top="1440" w:right="1440" w:bottom="1440" w:left="1440" w:header="720" w:footer="720" w:gutter="0"/>
          <w:cols w:space="720"/>
          <w:formProt w:val="0"/>
          <w:docGrid w:linePitch="360"/>
        </w:sectPr>
      </w:pPr>
    </w:p>
    <w:p w:rsidR="001E4ED8" w:rsidRPr="00720EA9"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rPr>
        <w:lastRenderedPageBreak/>
        <w:t xml:space="preserve">Signed, </w:t>
      </w:r>
      <w:r w:rsidR="00E33F35" w:rsidRPr="00720EA9">
        <w:rPr>
          <w:rFonts w:ascii="Bookman Old Style" w:hAnsi="Bookman Old Style"/>
          <w:sz w:val="24"/>
          <w:szCs w:val="24"/>
        </w:rPr>
        <w:t xml:space="preserve">dated and delivered at Ile du Port </w:t>
      </w:r>
      <w:r w:rsidRPr="00720EA9">
        <w:rPr>
          <w:rFonts w:ascii="Bookman Old Style" w:hAnsi="Bookman Old Style"/>
          <w:sz w:val="24"/>
          <w:szCs w:val="24"/>
        </w:rPr>
        <w:t xml:space="preserve">on </w:t>
      </w:r>
      <w:bookmarkStart w:id="14" w:name="Text19"/>
      <w:r w:rsidR="004A27AB">
        <w:rPr>
          <w:rFonts w:ascii="Bookman Old Style" w:hAnsi="Bookman Old Style"/>
          <w:sz w:val="24"/>
          <w:szCs w:val="24"/>
        </w:rPr>
        <w:t>5</w:t>
      </w:r>
      <w:r w:rsidR="004A27AB" w:rsidRPr="004A27AB">
        <w:rPr>
          <w:rFonts w:ascii="Bookman Old Style" w:hAnsi="Bookman Old Style"/>
          <w:sz w:val="24"/>
          <w:szCs w:val="24"/>
          <w:vertAlign w:val="superscript"/>
        </w:rPr>
        <w:t>th</w:t>
      </w:r>
      <w:bookmarkEnd w:id="14"/>
      <w:r w:rsidR="00B93CD0">
        <w:rPr>
          <w:rFonts w:ascii="Bookman Old Style" w:hAnsi="Bookman Old Style"/>
          <w:sz w:val="24"/>
          <w:szCs w:val="24"/>
          <w:vertAlign w:val="superscript"/>
        </w:rPr>
        <w:t xml:space="preserve"> </w:t>
      </w:r>
      <w:r w:rsidR="00546E79">
        <w:rPr>
          <w:rFonts w:ascii="Bookman Old Style" w:hAnsi="Bookman Old Style"/>
          <w:sz w:val="24"/>
          <w:szCs w:val="24"/>
        </w:rPr>
        <w:t xml:space="preserve">day of </w:t>
      </w:r>
      <w:r w:rsidR="004A27AB">
        <w:rPr>
          <w:rFonts w:ascii="Bookman Old Style" w:hAnsi="Bookman Old Style"/>
          <w:sz w:val="24"/>
          <w:szCs w:val="24"/>
        </w:rPr>
        <w:t>April, 2016.</w:t>
      </w:r>
    </w:p>
    <w:p w:rsidR="005C5493" w:rsidRPr="00720EA9" w:rsidRDefault="005C5493"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docGrid w:linePitch="360"/>
        </w:sectPr>
      </w:pPr>
    </w:p>
    <w:p w:rsidR="0006489F" w:rsidRPr="00720EA9"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5C5493" w:rsidRPr="00720EA9" w:rsidRDefault="005C5493" w:rsidP="0006489F">
      <w:pPr>
        <w:pStyle w:val="ListParagraph"/>
        <w:widowControl/>
        <w:autoSpaceDE/>
        <w:autoSpaceDN/>
        <w:adjustRightInd/>
        <w:spacing w:after="120"/>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4A27AB" w:rsidRDefault="004A27AB"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4A27AB" w:rsidRDefault="004A27AB"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4A27AB" w:rsidRDefault="004A27AB"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720EA9" w:rsidRDefault="00A645F2" w:rsidP="0006489F">
      <w:pPr>
        <w:pStyle w:val="ListParagraph"/>
        <w:widowControl/>
        <w:autoSpaceDE/>
        <w:autoSpaceDN/>
        <w:adjustRightInd/>
        <w:ind w:left="0"/>
        <w:contextualSpacing w:val="0"/>
        <w:jc w:val="both"/>
        <w:rPr>
          <w:rFonts w:ascii="Bookman Old Style" w:hAnsi="Bookman Old Style"/>
          <w:sz w:val="24"/>
          <w:szCs w:val="24"/>
        </w:rPr>
      </w:pPr>
      <w:r w:rsidRPr="00720EA9">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5" w:name="Dropdown6"/>
      <w:r w:rsidR="002474D4"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15"/>
    </w:p>
    <w:bookmarkStart w:id="16" w:name="Dropdown7"/>
    <w:p w:rsidR="009E05E5" w:rsidRPr="00720EA9" w:rsidRDefault="00A645F2" w:rsidP="00E33F35">
      <w:pPr>
        <w:pStyle w:val="ListParagraph"/>
        <w:widowControl/>
        <w:autoSpaceDE/>
        <w:autoSpaceDN/>
        <w:adjustRightInd/>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6"/>
      <w:r w:rsidRPr="00720EA9">
        <w:rPr>
          <w:rFonts w:ascii="Bookman Old Style" w:hAnsi="Bookman Old Style"/>
          <w:b/>
          <w:sz w:val="24"/>
          <w:szCs w:val="24"/>
        </w:rPr>
        <w:fldChar w:fldCharType="begin"/>
      </w:r>
      <w:r w:rsidRPr="00720EA9">
        <w:rPr>
          <w:rFonts w:ascii="Bookman Old Style" w:hAnsi="Bookman Old Style"/>
          <w:b/>
          <w:sz w:val="24"/>
          <w:szCs w:val="24"/>
        </w:rPr>
        <w:fldChar w:fldCharType="end"/>
      </w:r>
    </w:p>
    <w:sectPr w:rsidR="009E05E5" w:rsidRPr="00720EA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15" w:rsidRDefault="00636315" w:rsidP="00DB6D34">
      <w:r>
        <w:separator/>
      </w:r>
    </w:p>
  </w:endnote>
  <w:endnote w:type="continuationSeparator" w:id="1">
    <w:p w:rsidR="00636315" w:rsidRDefault="0063631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15" w:rsidRDefault="00636315">
    <w:pPr>
      <w:pStyle w:val="Footer"/>
      <w:jc w:val="center"/>
    </w:pPr>
    <w:fldSimple w:instr=" PAGE   \* MERGEFORMAT ">
      <w:r w:rsidR="00B93CD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15" w:rsidRDefault="00636315" w:rsidP="00DB6D34">
      <w:r>
        <w:separator/>
      </w:r>
    </w:p>
  </w:footnote>
  <w:footnote w:type="continuationSeparator" w:id="1">
    <w:p w:rsidR="00636315" w:rsidRDefault="0063631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C7047AC"/>
    <w:multiLevelType w:val="hybridMultilevel"/>
    <w:tmpl w:val="FF20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5650F"/>
    <w:multiLevelType w:val="hybridMultilevel"/>
    <w:tmpl w:val="80106548"/>
    <w:lvl w:ilvl="0" w:tplc="ED8EF3A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D1882"/>
    <w:multiLevelType w:val="hybridMultilevel"/>
    <w:tmpl w:val="AD30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10BD6"/>
    <w:multiLevelType w:val="hybridMultilevel"/>
    <w:tmpl w:val="67A0FDA4"/>
    <w:lvl w:ilvl="0" w:tplc="7B0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382D65"/>
    <w:multiLevelType w:val="hybridMultilevel"/>
    <w:tmpl w:val="832C9D04"/>
    <w:lvl w:ilvl="0" w:tplc="DC2AD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58404943"/>
    <w:multiLevelType w:val="hybridMultilevel"/>
    <w:tmpl w:val="9A088A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9"/>
  </w:num>
  <w:num w:numId="6">
    <w:abstractNumId w:val="5"/>
  </w:num>
  <w:num w:numId="7">
    <w:abstractNumId w:val="7"/>
  </w:num>
  <w:num w:numId="8">
    <w:abstractNumId w:val="2"/>
  </w:num>
  <w:num w:numId="9">
    <w:abstractNumId w:val="4"/>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573DD"/>
    <w:rsid w:val="00000320"/>
    <w:rsid w:val="000052F3"/>
    <w:rsid w:val="00005BEF"/>
    <w:rsid w:val="00030C81"/>
    <w:rsid w:val="000339C3"/>
    <w:rsid w:val="00037B3F"/>
    <w:rsid w:val="000505D3"/>
    <w:rsid w:val="0006489F"/>
    <w:rsid w:val="00067B0A"/>
    <w:rsid w:val="00075573"/>
    <w:rsid w:val="00087F58"/>
    <w:rsid w:val="00091036"/>
    <w:rsid w:val="00093374"/>
    <w:rsid w:val="000A10B8"/>
    <w:rsid w:val="000D1DD3"/>
    <w:rsid w:val="000D4035"/>
    <w:rsid w:val="000D75BF"/>
    <w:rsid w:val="000E39A5"/>
    <w:rsid w:val="000E7400"/>
    <w:rsid w:val="001008BC"/>
    <w:rsid w:val="00101D12"/>
    <w:rsid w:val="00104284"/>
    <w:rsid w:val="00117CBF"/>
    <w:rsid w:val="00126A10"/>
    <w:rsid w:val="001376AB"/>
    <w:rsid w:val="001439BF"/>
    <w:rsid w:val="00144612"/>
    <w:rsid w:val="00147E93"/>
    <w:rsid w:val="001529B0"/>
    <w:rsid w:val="0016510C"/>
    <w:rsid w:val="00180158"/>
    <w:rsid w:val="0019348E"/>
    <w:rsid w:val="001B4125"/>
    <w:rsid w:val="001C49D0"/>
    <w:rsid w:val="001D30F7"/>
    <w:rsid w:val="001E4ED8"/>
    <w:rsid w:val="001F059D"/>
    <w:rsid w:val="00202376"/>
    <w:rsid w:val="0020244B"/>
    <w:rsid w:val="00215048"/>
    <w:rsid w:val="00216BEB"/>
    <w:rsid w:val="00231C17"/>
    <w:rsid w:val="00236AAC"/>
    <w:rsid w:val="00242DF4"/>
    <w:rsid w:val="0024353F"/>
    <w:rsid w:val="002474D4"/>
    <w:rsid w:val="00290E14"/>
    <w:rsid w:val="002A7376"/>
    <w:rsid w:val="002B2255"/>
    <w:rsid w:val="002B4478"/>
    <w:rsid w:val="002C7560"/>
    <w:rsid w:val="002D06AA"/>
    <w:rsid w:val="002D67FC"/>
    <w:rsid w:val="002E6963"/>
    <w:rsid w:val="002E6A47"/>
    <w:rsid w:val="002F40A1"/>
    <w:rsid w:val="002F4A1B"/>
    <w:rsid w:val="00301D88"/>
    <w:rsid w:val="00304E76"/>
    <w:rsid w:val="003100C3"/>
    <w:rsid w:val="0031329C"/>
    <w:rsid w:val="003647E7"/>
    <w:rsid w:val="003651F4"/>
    <w:rsid w:val="0037270D"/>
    <w:rsid w:val="00377341"/>
    <w:rsid w:val="003820A5"/>
    <w:rsid w:val="003838CC"/>
    <w:rsid w:val="003862CB"/>
    <w:rsid w:val="0038700C"/>
    <w:rsid w:val="003B2E3F"/>
    <w:rsid w:val="003B461C"/>
    <w:rsid w:val="003B4C19"/>
    <w:rsid w:val="003D58AA"/>
    <w:rsid w:val="003D7B97"/>
    <w:rsid w:val="003E2ABC"/>
    <w:rsid w:val="003E4907"/>
    <w:rsid w:val="003F0F8D"/>
    <w:rsid w:val="00411370"/>
    <w:rsid w:val="004156B9"/>
    <w:rsid w:val="004162D0"/>
    <w:rsid w:val="0042368F"/>
    <w:rsid w:val="00445BFA"/>
    <w:rsid w:val="00452BB6"/>
    <w:rsid w:val="00453A09"/>
    <w:rsid w:val="0046133B"/>
    <w:rsid w:val="00483189"/>
    <w:rsid w:val="004A00A5"/>
    <w:rsid w:val="004A27AB"/>
    <w:rsid w:val="004B05AE"/>
    <w:rsid w:val="004B57B1"/>
    <w:rsid w:val="004C0BB3"/>
    <w:rsid w:val="004C3D80"/>
    <w:rsid w:val="004F3823"/>
    <w:rsid w:val="00514CB6"/>
    <w:rsid w:val="005207C8"/>
    <w:rsid w:val="005248A7"/>
    <w:rsid w:val="00530663"/>
    <w:rsid w:val="00546E79"/>
    <w:rsid w:val="0055036F"/>
    <w:rsid w:val="005514D6"/>
    <w:rsid w:val="0055241A"/>
    <w:rsid w:val="00552704"/>
    <w:rsid w:val="00554577"/>
    <w:rsid w:val="00564987"/>
    <w:rsid w:val="00572AB3"/>
    <w:rsid w:val="00580531"/>
    <w:rsid w:val="005836AC"/>
    <w:rsid w:val="00584583"/>
    <w:rsid w:val="00594FAC"/>
    <w:rsid w:val="005B7B62"/>
    <w:rsid w:val="005C157B"/>
    <w:rsid w:val="005C5493"/>
    <w:rsid w:val="005C5690"/>
    <w:rsid w:val="005F5FB0"/>
    <w:rsid w:val="0060228F"/>
    <w:rsid w:val="00606587"/>
    <w:rsid w:val="00606EEA"/>
    <w:rsid w:val="00612AD5"/>
    <w:rsid w:val="006174DB"/>
    <w:rsid w:val="00631448"/>
    <w:rsid w:val="0063610A"/>
    <w:rsid w:val="00636315"/>
    <w:rsid w:val="0064023C"/>
    <w:rsid w:val="00654CAA"/>
    <w:rsid w:val="006578C2"/>
    <w:rsid w:val="00666D33"/>
    <w:rsid w:val="0068598F"/>
    <w:rsid w:val="00695110"/>
    <w:rsid w:val="006A23AD"/>
    <w:rsid w:val="006A58E4"/>
    <w:rsid w:val="006A792C"/>
    <w:rsid w:val="006C4389"/>
    <w:rsid w:val="006C4FFF"/>
    <w:rsid w:val="006D36C9"/>
    <w:rsid w:val="006D5139"/>
    <w:rsid w:val="0070785D"/>
    <w:rsid w:val="007175A6"/>
    <w:rsid w:val="00720EA9"/>
    <w:rsid w:val="00725C5E"/>
    <w:rsid w:val="00744508"/>
    <w:rsid w:val="007541BC"/>
    <w:rsid w:val="007728D0"/>
    <w:rsid w:val="00785812"/>
    <w:rsid w:val="007A31D6"/>
    <w:rsid w:val="007A47DC"/>
    <w:rsid w:val="007B6178"/>
    <w:rsid w:val="007C2809"/>
    <w:rsid w:val="007D416E"/>
    <w:rsid w:val="00807411"/>
    <w:rsid w:val="00813302"/>
    <w:rsid w:val="00814CF5"/>
    <w:rsid w:val="00816425"/>
    <w:rsid w:val="00821758"/>
    <w:rsid w:val="00823079"/>
    <w:rsid w:val="0083212E"/>
    <w:rsid w:val="0083298A"/>
    <w:rsid w:val="008365B7"/>
    <w:rsid w:val="00841387"/>
    <w:rsid w:val="008472B3"/>
    <w:rsid w:val="008478D6"/>
    <w:rsid w:val="00857A7F"/>
    <w:rsid w:val="008602C0"/>
    <w:rsid w:val="008A5208"/>
    <w:rsid w:val="008B75CE"/>
    <w:rsid w:val="008B773E"/>
    <w:rsid w:val="008B7D40"/>
    <w:rsid w:val="008C0FD6"/>
    <w:rsid w:val="008E1DB1"/>
    <w:rsid w:val="008E512C"/>
    <w:rsid w:val="008E7749"/>
    <w:rsid w:val="008E7F92"/>
    <w:rsid w:val="008F0C10"/>
    <w:rsid w:val="008F38F7"/>
    <w:rsid w:val="008F6E37"/>
    <w:rsid w:val="00902D3C"/>
    <w:rsid w:val="0090417E"/>
    <w:rsid w:val="009106DC"/>
    <w:rsid w:val="00926D09"/>
    <w:rsid w:val="00927982"/>
    <w:rsid w:val="009336BA"/>
    <w:rsid w:val="00937FB4"/>
    <w:rsid w:val="0094087C"/>
    <w:rsid w:val="00951EC0"/>
    <w:rsid w:val="0096041D"/>
    <w:rsid w:val="0096428F"/>
    <w:rsid w:val="00970B08"/>
    <w:rsid w:val="0097460D"/>
    <w:rsid w:val="00981287"/>
    <w:rsid w:val="00983045"/>
    <w:rsid w:val="009927D3"/>
    <w:rsid w:val="009C437E"/>
    <w:rsid w:val="009E05E5"/>
    <w:rsid w:val="009E15F5"/>
    <w:rsid w:val="009F1B68"/>
    <w:rsid w:val="009F4DC4"/>
    <w:rsid w:val="00A11166"/>
    <w:rsid w:val="00A14038"/>
    <w:rsid w:val="00A42850"/>
    <w:rsid w:val="00A53837"/>
    <w:rsid w:val="00A544D0"/>
    <w:rsid w:val="00A573DD"/>
    <w:rsid w:val="00A645F2"/>
    <w:rsid w:val="00A80E4E"/>
    <w:rsid w:val="00AC3885"/>
    <w:rsid w:val="00AD0BF3"/>
    <w:rsid w:val="00AD75CD"/>
    <w:rsid w:val="00B05D6E"/>
    <w:rsid w:val="00B10C1C"/>
    <w:rsid w:val="00B119B1"/>
    <w:rsid w:val="00B14612"/>
    <w:rsid w:val="00B23BB4"/>
    <w:rsid w:val="00B23E73"/>
    <w:rsid w:val="00B36852"/>
    <w:rsid w:val="00B40898"/>
    <w:rsid w:val="00B4124C"/>
    <w:rsid w:val="00B4625E"/>
    <w:rsid w:val="00B626B1"/>
    <w:rsid w:val="00B75AE2"/>
    <w:rsid w:val="00B9148E"/>
    <w:rsid w:val="00B93CD0"/>
    <w:rsid w:val="00B94805"/>
    <w:rsid w:val="00BA6027"/>
    <w:rsid w:val="00BC1D95"/>
    <w:rsid w:val="00BC3B4B"/>
    <w:rsid w:val="00BD4287"/>
    <w:rsid w:val="00BD60D5"/>
    <w:rsid w:val="00BE1D00"/>
    <w:rsid w:val="00BE3628"/>
    <w:rsid w:val="00BE424C"/>
    <w:rsid w:val="00BF5CC9"/>
    <w:rsid w:val="00C036A5"/>
    <w:rsid w:val="00C065A3"/>
    <w:rsid w:val="00C14327"/>
    <w:rsid w:val="00C212FB"/>
    <w:rsid w:val="00C22967"/>
    <w:rsid w:val="00C35333"/>
    <w:rsid w:val="00C41821"/>
    <w:rsid w:val="00C529F4"/>
    <w:rsid w:val="00C55FDF"/>
    <w:rsid w:val="00C57205"/>
    <w:rsid w:val="00C5739F"/>
    <w:rsid w:val="00C87FCA"/>
    <w:rsid w:val="00C92E5A"/>
    <w:rsid w:val="00C95987"/>
    <w:rsid w:val="00CA1B0C"/>
    <w:rsid w:val="00CA7795"/>
    <w:rsid w:val="00CA7F40"/>
    <w:rsid w:val="00CB31FB"/>
    <w:rsid w:val="00CB3C7E"/>
    <w:rsid w:val="00CC1101"/>
    <w:rsid w:val="00CC2A46"/>
    <w:rsid w:val="00CC4199"/>
    <w:rsid w:val="00CE6414"/>
    <w:rsid w:val="00CF041D"/>
    <w:rsid w:val="00CF4041"/>
    <w:rsid w:val="00D03314"/>
    <w:rsid w:val="00D06A0F"/>
    <w:rsid w:val="00D10FA3"/>
    <w:rsid w:val="00D31AB7"/>
    <w:rsid w:val="00D50CB6"/>
    <w:rsid w:val="00D63CA2"/>
    <w:rsid w:val="00D82047"/>
    <w:rsid w:val="00DA351C"/>
    <w:rsid w:val="00DB6D34"/>
    <w:rsid w:val="00DC3CA0"/>
    <w:rsid w:val="00DD4E02"/>
    <w:rsid w:val="00DE08C1"/>
    <w:rsid w:val="00DE2BE8"/>
    <w:rsid w:val="00DE7747"/>
    <w:rsid w:val="00DF2970"/>
    <w:rsid w:val="00DF303A"/>
    <w:rsid w:val="00E0467F"/>
    <w:rsid w:val="00E0505F"/>
    <w:rsid w:val="00E07F07"/>
    <w:rsid w:val="00E30B60"/>
    <w:rsid w:val="00E33F35"/>
    <w:rsid w:val="00E35862"/>
    <w:rsid w:val="00E4132E"/>
    <w:rsid w:val="00E41E94"/>
    <w:rsid w:val="00E55C69"/>
    <w:rsid w:val="00E57D4D"/>
    <w:rsid w:val="00E6492F"/>
    <w:rsid w:val="00E65691"/>
    <w:rsid w:val="00E77C1F"/>
    <w:rsid w:val="00E80F85"/>
    <w:rsid w:val="00E91FA1"/>
    <w:rsid w:val="00E944E2"/>
    <w:rsid w:val="00EA6F17"/>
    <w:rsid w:val="00EC12D0"/>
    <w:rsid w:val="00EC2355"/>
    <w:rsid w:val="00EC6290"/>
    <w:rsid w:val="00EC6F0A"/>
    <w:rsid w:val="00ED76D9"/>
    <w:rsid w:val="00EE0DAA"/>
    <w:rsid w:val="00EE1219"/>
    <w:rsid w:val="00EF2051"/>
    <w:rsid w:val="00F00A19"/>
    <w:rsid w:val="00F34FB5"/>
    <w:rsid w:val="00F3644F"/>
    <w:rsid w:val="00F40FF4"/>
    <w:rsid w:val="00F47FF3"/>
    <w:rsid w:val="00F804CC"/>
    <w:rsid w:val="00F82A83"/>
    <w:rsid w:val="00F83B3D"/>
    <w:rsid w:val="00FA1D82"/>
    <w:rsid w:val="00FB0AFB"/>
    <w:rsid w:val="00FB2453"/>
    <w:rsid w:val="00FB39BA"/>
    <w:rsid w:val="00FB446C"/>
    <w:rsid w:val="00FC61E3"/>
    <w:rsid w:val="00FC6823"/>
    <w:rsid w:val="00FD16BD"/>
    <w:rsid w:val="00FD4D1D"/>
    <w:rsid w:val="00FD7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CIVIL%20SIDE%20PLEA%20IN%20LIME%20LITIS%20MOHAN%20NAIDOO%20ANETTE%20ANDRE%20Civi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F48E-E5BB-4DAD-9337-53B79452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CIVIL SIDE PLEA IN LIME LITIS MOHAN NAIDOO ANETTE ANDRE Civil suits (CS,CC,CM) - not MA - plaintiff-defendant</Template>
  <TotalTime>42</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3</cp:revision>
  <cp:lastPrinted>2016-04-05T11:40:00Z</cp:lastPrinted>
  <dcterms:created xsi:type="dcterms:W3CDTF">2016-04-01T11:18:00Z</dcterms:created>
  <dcterms:modified xsi:type="dcterms:W3CDTF">2016-04-05T11:40:00Z</dcterms:modified>
</cp:coreProperties>
</file>