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660ED3" w:rsidP="001960B8">
      <w:pPr>
        <w:jc w:val="both"/>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A573DD">
        <w:rPr>
          <w:b/>
          <w:sz w:val="24"/>
          <w:szCs w:val="24"/>
        </w:rPr>
        <w:t> </w:t>
      </w:r>
      <w:r w:rsidR="00A573DD">
        <w:rPr>
          <w:b/>
          <w:sz w:val="24"/>
          <w:szCs w:val="24"/>
        </w:rPr>
        <w:t> </w:t>
      </w:r>
      <w:r w:rsidR="00A573DD">
        <w:rPr>
          <w:b/>
          <w:sz w:val="24"/>
          <w:szCs w:val="24"/>
        </w:rPr>
        <w:t> </w:t>
      </w:r>
      <w:r w:rsidR="00A573DD">
        <w:rPr>
          <w:b/>
          <w:sz w:val="24"/>
          <w:szCs w:val="24"/>
        </w:rPr>
        <w:t> </w:t>
      </w:r>
      <w:r w:rsidR="00A573DD">
        <w:rPr>
          <w:b/>
          <w:sz w:val="24"/>
          <w:szCs w:val="24"/>
        </w:rPr>
        <w:t> </w:t>
      </w:r>
      <w:r w:rsidRPr="0096251D">
        <w:rPr>
          <w:b/>
          <w:sz w:val="24"/>
          <w:szCs w:val="24"/>
        </w:rPr>
        <w:fldChar w:fldCharType="end"/>
      </w:r>
      <w:bookmarkEnd w:id="0"/>
    </w:p>
    <w:bookmarkStart w:id="1" w:name="Text42"/>
    <w:p w:rsidR="00F34FB5" w:rsidRPr="00B938BB" w:rsidRDefault="00660ED3" w:rsidP="001960B8">
      <w:pPr>
        <w:jc w:val="both"/>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A573DD">
        <w:rPr>
          <w:i/>
          <w:sz w:val="24"/>
          <w:szCs w:val="24"/>
        </w:rPr>
        <w:t> </w:t>
      </w:r>
      <w:r w:rsidR="00A573DD">
        <w:rPr>
          <w:i/>
          <w:sz w:val="24"/>
          <w:szCs w:val="24"/>
        </w:rPr>
        <w:t> </w:t>
      </w:r>
      <w:r w:rsidR="00A573DD">
        <w:rPr>
          <w:i/>
          <w:sz w:val="24"/>
          <w:szCs w:val="24"/>
        </w:rPr>
        <w:t> </w:t>
      </w:r>
      <w:r w:rsidR="00A573DD">
        <w:rPr>
          <w:i/>
          <w:sz w:val="24"/>
          <w:szCs w:val="24"/>
        </w:rPr>
        <w:t> </w:t>
      </w:r>
      <w:r w:rsidR="00A573DD">
        <w:rPr>
          <w:i/>
          <w:sz w:val="24"/>
          <w:szCs w:val="24"/>
        </w:rPr>
        <w:t> </w:t>
      </w:r>
      <w:r>
        <w:rPr>
          <w:i/>
          <w:sz w:val="24"/>
          <w:szCs w:val="24"/>
        </w:rPr>
        <w:fldChar w:fldCharType="end"/>
      </w:r>
      <w:bookmarkEnd w:id="1"/>
    </w:p>
    <w:p w:rsidR="00F34FB5" w:rsidRDefault="00F34FB5" w:rsidP="00E548F3">
      <w:pPr>
        <w:jc w:val="center"/>
        <w:rPr>
          <w:b/>
          <w:sz w:val="28"/>
          <w:szCs w:val="28"/>
        </w:rPr>
      </w:pPr>
    </w:p>
    <w:p w:rsidR="00AD75CD" w:rsidRPr="00720EA9" w:rsidRDefault="00C55FDF" w:rsidP="00E548F3">
      <w:pPr>
        <w:jc w:val="center"/>
        <w:rPr>
          <w:rFonts w:ascii="Bookman Old Style" w:hAnsi="Bookman Old Style"/>
          <w:b/>
          <w:sz w:val="24"/>
          <w:szCs w:val="24"/>
        </w:rPr>
      </w:pPr>
      <w:r w:rsidRPr="00720EA9">
        <w:rPr>
          <w:rFonts w:ascii="Bookman Old Style" w:hAnsi="Bookman Old Style"/>
          <w:b/>
          <w:sz w:val="24"/>
          <w:szCs w:val="24"/>
        </w:rPr>
        <w:t>IN THE SUPREME COURT OF SEYCHELLES</w:t>
      </w:r>
    </w:p>
    <w:p w:rsidR="00C55FDF" w:rsidRPr="00720EA9" w:rsidRDefault="00C55FDF" w:rsidP="00E548F3">
      <w:pPr>
        <w:spacing w:before="240"/>
        <w:jc w:val="center"/>
        <w:rPr>
          <w:rFonts w:ascii="Bookman Old Style" w:hAnsi="Bookman Old Style"/>
          <w:b/>
          <w:sz w:val="24"/>
          <w:szCs w:val="24"/>
        </w:rPr>
      </w:pPr>
      <w:r w:rsidRPr="00720EA9">
        <w:rPr>
          <w:rFonts w:ascii="Bookman Old Style" w:hAnsi="Bookman Old Style"/>
          <w:b/>
          <w:sz w:val="24"/>
          <w:szCs w:val="24"/>
        </w:rPr>
        <w:t>C</w:t>
      </w:r>
      <w:r w:rsidR="00B23E73" w:rsidRPr="00720EA9">
        <w:rPr>
          <w:rFonts w:ascii="Bookman Old Style" w:hAnsi="Bookman Old Style"/>
          <w:b/>
          <w:sz w:val="24"/>
          <w:szCs w:val="24"/>
        </w:rPr>
        <w:t xml:space="preserve">ivil </w:t>
      </w:r>
      <w:r w:rsidRPr="00720EA9">
        <w:rPr>
          <w:rFonts w:ascii="Bookman Old Style" w:hAnsi="Bookman Old Style"/>
          <w:b/>
          <w:sz w:val="24"/>
          <w:szCs w:val="24"/>
        </w:rPr>
        <w:t>S</w:t>
      </w:r>
      <w:r w:rsidR="00BF5CC9" w:rsidRPr="00720EA9">
        <w:rPr>
          <w:rFonts w:ascii="Bookman Old Style" w:hAnsi="Bookman Old Style"/>
          <w:b/>
          <w:sz w:val="24"/>
          <w:szCs w:val="24"/>
        </w:rPr>
        <w:t xml:space="preserve">ide: </w:t>
      </w:r>
      <w:bookmarkStart w:id="2" w:name="Dropdown10"/>
      <w:r w:rsidR="00660ED3" w:rsidRPr="00720EA9">
        <w:rPr>
          <w:rFonts w:ascii="Bookman Old Style" w:hAnsi="Bookman Old Style"/>
          <w:b/>
          <w:sz w:val="24"/>
          <w:szCs w:val="24"/>
        </w:rPr>
        <w:fldChar w:fldCharType="begin">
          <w:ffData>
            <w:name w:val="Dropdown10"/>
            <w:enabled/>
            <w:calcOnExit w:val="0"/>
            <w:ddList>
              <w:listEntry w:val="CS"/>
              <w:listEntry w:val="CC"/>
              <w:listEntry w:val="CM"/>
            </w:ddList>
          </w:ffData>
        </w:fldChar>
      </w:r>
      <w:r w:rsidR="00B40898" w:rsidRPr="00720EA9">
        <w:rPr>
          <w:rFonts w:ascii="Bookman Old Style" w:hAnsi="Bookman Old Style"/>
          <w:b/>
          <w:sz w:val="24"/>
          <w:szCs w:val="24"/>
        </w:rPr>
        <w:instrText xml:space="preserve"> FORMDROPDOWN </w:instrText>
      </w:r>
      <w:r w:rsidR="00660ED3" w:rsidRPr="00720EA9">
        <w:rPr>
          <w:rFonts w:ascii="Bookman Old Style" w:hAnsi="Bookman Old Style"/>
          <w:b/>
          <w:sz w:val="24"/>
          <w:szCs w:val="24"/>
        </w:rPr>
      </w:r>
      <w:r w:rsidR="00660ED3" w:rsidRPr="00720EA9">
        <w:rPr>
          <w:rFonts w:ascii="Bookman Old Style" w:hAnsi="Bookman Old Style"/>
          <w:b/>
          <w:sz w:val="24"/>
          <w:szCs w:val="24"/>
        </w:rPr>
        <w:fldChar w:fldCharType="end"/>
      </w:r>
      <w:bookmarkEnd w:id="2"/>
      <w:r w:rsidR="0044432C">
        <w:rPr>
          <w:rFonts w:ascii="Bookman Old Style" w:hAnsi="Bookman Old Style"/>
          <w:b/>
          <w:sz w:val="24"/>
          <w:szCs w:val="24"/>
        </w:rPr>
        <w:t>57</w:t>
      </w:r>
      <w:r w:rsidRPr="00720EA9">
        <w:rPr>
          <w:rFonts w:ascii="Bookman Old Style" w:hAnsi="Bookman Old Style"/>
          <w:b/>
          <w:sz w:val="24"/>
          <w:szCs w:val="24"/>
        </w:rPr>
        <w:t>/</w:t>
      </w:r>
      <w:r w:rsidR="00C87FCA" w:rsidRPr="00720EA9">
        <w:rPr>
          <w:rFonts w:ascii="Bookman Old Style" w:hAnsi="Bookman Old Style"/>
          <w:b/>
          <w:sz w:val="24"/>
          <w:szCs w:val="24"/>
        </w:rPr>
        <w:t>20</w:t>
      </w:r>
      <w:r w:rsidR="0044432C">
        <w:rPr>
          <w:rFonts w:ascii="Bookman Old Style" w:hAnsi="Bookman Old Style"/>
          <w:b/>
          <w:sz w:val="24"/>
          <w:szCs w:val="24"/>
        </w:rPr>
        <w:t>14</w:t>
      </w:r>
    </w:p>
    <w:p w:rsidR="00DB6D34" w:rsidRPr="00720EA9" w:rsidRDefault="00DB6D34" w:rsidP="00E548F3">
      <w:pPr>
        <w:spacing w:before="240" w:after="160"/>
        <w:ind w:left="6480"/>
        <w:jc w:val="center"/>
        <w:rPr>
          <w:rFonts w:ascii="Bookman Old Style" w:hAnsi="Bookman Old Style"/>
          <w:b/>
          <w:sz w:val="24"/>
          <w:szCs w:val="24"/>
        </w:rPr>
      </w:pPr>
      <w:r w:rsidRPr="00720EA9">
        <w:rPr>
          <w:rFonts w:ascii="Bookman Old Style" w:hAnsi="Bookman Old Style"/>
          <w:b/>
          <w:sz w:val="24"/>
          <w:szCs w:val="24"/>
        </w:rPr>
        <w:t>[201</w:t>
      </w:r>
      <w:r w:rsidR="0044432C">
        <w:rPr>
          <w:rFonts w:ascii="Bookman Old Style" w:hAnsi="Bookman Old Style"/>
          <w:b/>
          <w:sz w:val="24"/>
          <w:szCs w:val="24"/>
        </w:rPr>
        <w:t>6</w:t>
      </w:r>
      <w:r w:rsidR="00660ED3" w:rsidRPr="00720EA9">
        <w:rPr>
          <w:rFonts w:ascii="Bookman Old Style" w:hAnsi="Bookman Old Style"/>
          <w:b/>
          <w:sz w:val="24"/>
          <w:szCs w:val="24"/>
        </w:rPr>
        <w:fldChar w:fldCharType="begin"/>
      </w:r>
      <w:r w:rsidR="00660ED3" w:rsidRPr="00720EA9">
        <w:rPr>
          <w:rFonts w:ascii="Bookman Old Style" w:hAnsi="Bookman Old Style"/>
          <w:b/>
          <w:sz w:val="24"/>
          <w:szCs w:val="24"/>
        </w:rPr>
        <w:fldChar w:fldCharType="end"/>
      </w:r>
      <w:r w:rsidRPr="00720EA9">
        <w:rPr>
          <w:rFonts w:ascii="Bookman Old Style" w:hAnsi="Bookman Old Style"/>
          <w:b/>
          <w:sz w:val="24"/>
          <w:szCs w:val="24"/>
        </w:rPr>
        <w:t>] SCSC</w:t>
      </w:r>
      <w:r w:rsidR="00292DE2">
        <w:rPr>
          <w:rFonts w:ascii="Bookman Old Style" w:hAnsi="Bookman Old Style"/>
          <w:b/>
          <w:sz w:val="24"/>
          <w:szCs w:val="24"/>
        </w:rPr>
        <w:t xml:space="preserve"> 374</w:t>
      </w:r>
      <w:r w:rsidR="00660ED3" w:rsidRPr="00720EA9">
        <w:rPr>
          <w:rFonts w:ascii="Bookman Old Style" w:hAnsi="Bookman Old Style"/>
          <w:b/>
          <w:sz w:val="24"/>
          <w:szCs w:val="24"/>
        </w:rPr>
        <w:fldChar w:fldCharType="begin">
          <w:ffData>
            <w:name w:val="Text43"/>
            <w:enabled/>
            <w:calcOnExit w:val="0"/>
            <w:textInput/>
          </w:ffData>
        </w:fldChar>
      </w:r>
      <w:bookmarkStart w:id="3" w:name="Text43"/>
      <w:r w:rsidR="003651F4" w:rsidRPr="00720EA9">
        <w:rPr>
          <w:rFonts w:ascii="Bookman Old Style" w:hAnsi="Bookman Old Style"/>
          <w:b/>
          <w:sz w:val="24"/>
          <w:szCs w:val="24"/>
        </w:rPr>
        <w:instrText xml:space="preserve"> FORMTEXT </w:instrText>
      </w:r>
      <w:r w:rsidR="00660ED3" w:rsidRPr="00720EA9">
        <w:rPr>
          <w:rFonts w:ascii="Bookman Old Style" w:hAnsi="Bookman Old Style"/>
          <w:b/>
          <w:sz w:val="24"/>
          <w:szCs w:val="24"/>
        </w:rPr>
      </w:r>
      <w:r w:rsidR="00660ED3" w:rsidRPr="00720EA9">
        <w:rPr>
          <w:rFonts w:ascii="Bookman Old Style" w:hAnsi="Bookman Old Style"/>
          <w:b/>
          <w:sz w:val="24"/>
          <w:szCs w:val="24"/>
        </w:rPr>
        <w:fldChar w:fldCharType="separate"/>
      </w:r>
      <w:r w:rsidR="003651F4" w:rsidRPr="00720EA9">
        <w:rPr>
          <w:rFonts w:ascii="Bookman Old Style" w:hAnsi="Bookman Old Style"/>
          <w:b/>
          <w:noProof/>
          <w:sz w:val="24"/>
          <w:szCs w:val="24"/>
        </w:rPr>
        <w:t> </w:t>
      </w:r>
      <w:r w:rsidR="003651F4" w:rsidRPr="00720EA9">
        <w:rPr>
          <w:rFonts w:ascii="Bookman Old Style" w:hAnsi="Bookman Old Style"/>
          <w:b/>
          <w:noProof/>
          <w:sz w:val="24"/>
          <w:szCs w:val="24"/>
        </w:rPr>
        <w:t> </w:t>
      </w:r>
      <w:r w:rsidR="003651F4" w:rsidRPr="00720EA9">
        <w:rPr>
          <w:rFonts w:ascii="Bookman Old Style" w:hAnsi="Bookman Old Style"/>
          <w:b/>
          <w:noProof/>
          <w:sz w:val="24"/>
          <w:szCs w:val="24"/>
        </w:rPr>
        <w:t> </w:t>
      </w:r>
      <w:r w:rsidR="003651F4" w:rsidRPr="00720EA9">
        <w:rPr>
          <w:rFonts w:ascii="Bookman Old Style" w:hAnsi="Bookman Old Style"/>
          <w:b/>
          <w:noProof/>
          <w:sz w:val="24"/>
          <w:szCs w:val="24"/>
        </w:rPr>
        <w:t> </w:t>
      </w:r>
      <w:r w:rsidR="003651F4" w:rsidRPr="00720EA9">
        <w:rPr>
          <w:rFonts w:ascii="Bookman Old Style" w:hAnsi="Bookman Old Style"/>
          <w:b/>
          <w:noProof/>
          <w:sz w:val="24"/>
          <w:szCs w:val="24"/>
        </w:rPr>
        <w:t> </w:t>
      </w:r>
      <w:r w:rsidR="00660ED3" w:rsidRPr="00720EA9">
        <w:rPr>
          <w:rFonts w:ascii="Bookman Old Style" w:hAnsi="Bookman Old Style"/>
          <w:b/>
          <w:sz w:val="24"/>
          <w:szCs w:val="24"/>
        </w:rPr>
        <w:fldChar w:fldCharType="end"/>
      </w:r>
      <w:bookmarkEnd w:id="3"/>
    </w:p>
    <w:p w:rsidR="00C55FDF" w:rsidRPr="00720EA9" w:rsidRDefault="00C55FDF" w:rsidP="00E548F3">
      <w:pPr>
        <w:pBdr>
          <w:bottom w:val="single" w:sz="4" w:space="5" w:color="auto"/>
        </w:pBdr>
        <w:jc w:val="center"/>
        <w:rPr>
          <w:rFonts w:ascii="Bookman Old Style" w:hAnsi="Bookman Old Style"/>
          <w:b/>
          <w:sz w:val="24"/>
          <w:szCs w:val="24"/>
        </w:rPr>
      </w:pPr>
    </w:p>
    <w:p w:rsidR="00612AD5" w:rsidRDefault="00612AD5" w:rsidP="00E548F3">
      <w:pPr>
        <w:jc w:val="center"/>
        <w:rPr>
          <w:rFonts w:ascii="Bookman Old Style" w:hAnsi="Bookman Old Style"/>
          <w:sz w:val="24"/>
          <w:szCs w:val="24"/>
        </w:rPr>
      </w:pPr>
      <w:bookmarkStart w:id="4" w:name="Text20"/>
    </w:p>
    <w:p w:rsidR="0096428F" w:rsidRPr="00720EA9" w:rsidRDefault="0044432C" w:rsidP="00E548F3">
      <w:pPr>
        <w:spacing w:after="240"/>
        <w:jc w:val="center"/>
        <w:rPr>
          <w:rFonts w:ascii="Bookman Old Style" w:hAnsi="Bookman Old Style"/>
          <w:b/>
          <w:sz w:val="24"/>
          <w:szCs w:val="24"/>
        </w:rPr>
      </w:pPr>
      <w:bookmarkStart w:id="5" w:name="Dropdown13"/>
      <w:bookmarkEnd w:id="4"/>
      <w:r>
        <w:rPr>
          <w:rFonts w:ascii="Bookman Old Style" w:hAnsi="Bookman Old Style"/>
          <w:b/>
          <w:sz w:val="24"/>
          <w:szCs w:val="24"/>
        </w:rPr>
        <w:t>YVONE OTAR OF ROCHE BOIS, MAHE</w:t>
      </w:r>
    </w:p>
    <w:p w:rsidR="00B40898" w:rsidRPr="00720EA9" w:rsidRDefault="00660ED3" w:rsidP="00E548F3">
      <w:pPr>
        <w:spacing w:after="240"/>
        <w:jc w:val="center"/>
        <w:rPr>
          <w:rFonts w:ascii="Bookman Old Style" w:hAnsi="Bookman Old Style"/>
          <w:sz w:val="24"/>
          <w:szCs w:val="24"/>
        </w:rPr>
        <w:sectPr w:rsidR="00B40898" w:rsidRPr="00720EA9" w:rsidSect="00F34FB5">
          <w:footerReference w:type="default" r:id="rId8"/>
          <w:type w:val="continuous"/>
          <w:pgSz w:w="12240" w:h="15840"/>
          <w:pgMar w:top="1080" w:right="1440" w:bottom="1440" w:left="1440" w:header="720" w:footer="720" w:gutter="0"/>
          <w:cols w:space="720"/>
          <w:docGrid w:linePitch="360"/>
        </w:sectPr>
      </w:pPr>
      <w:r w:rsidRPr="00720EA9">
        <w:rPr>
          <w:rFonts w:ascii="Bookman Old Style" w:hAnsi="Bookman Old Style"/>
          <w:sz w:val="24"/>
          <w:szCs w:val="24"/>
        </w:rPr>
        <w:fldChar w:fldCharType="begin">
          <w:ffData>
            <w:name w:val="Dropdown13"/>
            <w:enabled/>
            <w:calcOnExit w:val="0"/>
            <w:ddList>
              <w:listEntry w:val="Plaintiff"/>
              <w:listEntry w:val="First Plaintiff"/>
            </w:ddList>
          </w:ffData>
        </w:fldChar>
      </w:r>
      <w:r w:rsidR="00B40898" w:rsidRPr="00720EA9">
        <w:rPr>
          <w:rFonts w:ascii="Bookman Old Style" w:hAnsi="Bookman Old Style"/>
          <w:sz w:val="24"/>
          <w:szCs w:val="24"/>
        </w:rPr>
        <w:instrText xml:space="preserve"> FORMDROPDOWN </w:instrText>
      </w:r>
      <w:r w:rsidRPr="00720EA9">
        <w:rPr>
          <w:rFonts w:ascii="Bookman Old Style" w:hAnsi="Bookman Old Style"/>
          <w:sz w:val="24"/>
          <w:szCs w:val="24"/>
        </w:rPr>
      </w:r>
      <w:r w:rsidRPr="00720EA9">
        <w:rPr>
          <w:rFonts w:ascii="Bookman Old Style" w:hAnsi="Bookman Old Style"/>
          <w:sz w:val="24"/>
          <w:szCs w:val="24"/>
        </w:rPr>
        <w:fldChar w:fldCharType="end"/>
      </w:r>
      <w:bookmarkEnd w:id="5"/>
    </w:p>
    <w:p w:rsidR="00FB2453" w:rsidRPr="00720EA9" w:rsidRDefault="00FB2453" w:rsidP="00E548F3">
      <w:pPr>
        <w:spacing w:before="120"/>
        <w:jc w:val="center"/>
        <w:rPr>
          <w:rFonts w:ascii="Bookman Old Style" w:hAnsi="Bookman Old Style"/>
          <w:sz w:val="24"/>
          <w:szCs w:val="24"/>
        </w:rPr>
      </w:pPr>
      <w:r w:rsidRPr="00720EA9">
        <w:rPr>
          <w:rFonts w:ascii="Bookman Old Style" w:hAnsi="Bookman Old Style"/>
          <w:sz w:val="24"/>
          <w:szCs w:val="24"/>
        </w:rPr>
        <w:lastRenderedPageBreak/>
        <w:t>versus</w:t>
      </w:r>
    </w:p>
    <w:p w:rsidR="00FB2453" w:rsidRDefault="00FB2453" w:rsidP="00E548F3">
      <w:pPr>
        <w:jc w:val="center"/>
        <w:rPr>
          <w:rFonts w:ascii="Bookman Old Style" w:hAnsi="Bookman Old Style"/>
          <w:sz w:val="24"/>
          <w:szCs w:val="24"/>
        </w:rPr>
      </w:pPr>
    </w:p>
    <w:p w:rsidR="0044432C" w:rsidRDefault="0044432C" w:rsidP="00E548F3">
      <w:pPr>
        <w:jc w:val="center"/>
        <w:rPr>
          <w:rFonts w:ascii="Bookman Old Style" w:hAnsi="Bookman Old Style"/>
          <w:b/>
          <w:sz w:val="24"/>
          <w:szCs w:val="24"/>
        </w:rPr>
      </w:pPr>
      <w:r w:rsidRPr="0044432C">
        <w:rPr>
          <w:rFonts w:ascii="Bookman Old Style" w:hAnsi="Bookman Old Style"/>
          <w:b/>
          <w:sz w:val="24"/>
          <w:szCs w:val="24"/>
        </w:rPr>
        <w:t>BRINA OTAR OF ROCHE BOIS, MAHE</w:t>
      </w:r>
    </w:p>
    <w:p w:rsidR="00B36D23" w:rsidRPr="0044432C" w:rsidRDefault="00B36D23" w:rsidP="00E548F3">
      <w:pPr>
        <w:jc w:val="center"/>
        <w:rPr>
          <w:rFonts w:ascii="Bookman Old Style" w:hAnsi="Bookman Old Style"/>
          <w:b/>
          <w:sz w:val="24"/>
          <w:szCs w:val="24"/>
        </w:rPr>
      </w:pPr>
    </w:p>
    <w:p w:rsidR="00612AD5" w:rsidRDefault="00B36D23" w:rsidP="00E548F3">
      <w:pPr>
        <w:jc w:val="center"/>
        <w:rPr>
          <w:rFonts w:ascii="Bookman Old Style" w:hAnsi="Bookman Old Style"/>
          <w:sz w:val="24"/>
          <w:szCs w:val="24"/>
        </w:rPr>
      </w:pPr>
      <w:r>
        <w:rPr>
          <w:rFonts w:ascii="Bookman Old Style" w:hAnsi="Bookman Old Style"/>
          <w:sz w:val="24"/>
          <w:szCs w:val="24"/>
        </w:rPr>
        <w:t>1</w:t>
      </w:r>
      <w:r w:rsidRPr="00B36D23">
        <w:rPr>
          <w:rFonts w:ascii="Bookman Old Style" w:hAnsi="Bookman Old Style"/>
          <w:sz w:val="24"/>
          <w:szCs w:val="24"/>
          <w:vertAlign w:val="superscript"/>
        </w:rPr>
        <w:t>st</w:t>
      </w:r>
      <w:r>
        <w:rPr>
          <w:rFonts w:ascii="Bookman Old Style" w:hAnsi="Bookman Old Style"/>
          <w:sz w:val="24"/>
          <w:szCs w:val="24"/>
        </w:rPr>
        <w:t xml:space="preserve"> Defendant</w:t>
      </w:r>
    </w:p>
    <w:p w:rsidR="00B36D23" w:rsidRDefault="00B36D23" w:rsidP="00E548F3">
      <w:pPr>
        <w:jc w:val="center"/>
        <w:rPr>
          <w:rFonts w:ascii="Bookman Old Style" w:hAnsi="Bookman Old Style"/>
          <w:sz w:val="24"/>
          <w:szCs w:val="24"/>
        </w:rPr>
      </w:pPr>
    </w:p>
    <w:p w:rsidR="0096428F" w:rsidRDefault="0096428F" w:rsidP="00E548F3">
      <w:pPr>
        <w:jc w:val="center"/>
        <w:rPr>
          <w:rFonts w:ascii="Bookman Old Style" w:hAnsi="Bookman Old Style"/>
          <w:b/>
          <w:sz w:val="24"/>
          <w:szCs w:val="24"/>
        </w:rPr>
      </w:pPr>
      <w:r w:rsidRPr="00720EA9">
        <w:rPr>
          <w:rFonts w:ascii="Bookman Old Style" w:hAnsi="Bookman Old Style"/>
          <w:b/>
          <w:sz w:val="24"/>
          <w:szCs w:val="24"/>
        </w:rPr>
        <w:t xml:space="preserve">THE GOVERNMENT OF SEYCHELLES HEREIN REPRESENTED BY THE ATTORNEY GENERAL OF NATIONAL HOUSE </w:t>
      </w:r>
      <w:r w:rsidR="0044432C">
        <w:rPr>
          <w:rFonts w:ascii="Bookman Old Style" w:hAnsi="Bookman Old Style"/>
          <w:b/>
          <w:sz w:val="24"/>
          <w:szCs w:val="24"/>
        </w:rPr>
        <w:t>VICTORIA</w:t>
      </w:r>
      <w:r w:rsidRPr="00720EA9">
        <w:rPr>
          <w:rFonts w:ascii="Bookman Old Style" w:hAnsi="Bookman Old Style"/>
          <w:b/>
          <w:sz w:val="24"/>
          <w:szCs w:val="24"/>
        </w:rPr>
        <w:t xml:space="preserve"> MAHE SEYCHELLES.</w:t>
      </w:r>
    </w:p>
    <w:p w:rsidR="00B36D23" w:rsidRPr="00720EA9" w:rsidRDefault="00B36D23" w:rsidP="00E548F3">
      <w:pPr>
        <w:jc w:val="center"/>
        <w:rPr>
          <w:rFonts w:ascii="Bookman Old Style" w:hAnsi="Bookman Old Style"/>
          <w:sz w:val="24"/>
          <w:szCs w:val="24"/>
        </w:rPr>
      </w:pPr>
    </w:p>
    <w:p w:rsidR="00B40898" w:rsidRPr="00720EA9" w:rsidRDefault="00B36D23" w:rsidP="00E548F3">
      <w:pPr>
        <w:spacing w:after="240"/>
        <w:jc w:val="center"/>
        <w:rPr>
          <w:rFonts w:ascii="Bookman Old Style" w:hAnsi="Bookman Old Style"/>
          <w:sz w:val="24"/>
          <w:szCs w:val="24"/>
        </w:rPr>
        <w:sectPr w:rsidR="00B40898" w:rsidRPr="00720EA9" w:rsidSect="00EF2051">
          <w:type w:val="continuous"/>
          <w:pgSz w:w="12240" w:h="15840"/>
          <w:pgMar w:top="1440" w:right="1440" w:bottom="1440" w:left="1440" w:header="720" w:footer="720" w:gutter="0"/>
          <w:cols w:space="720"/>
          <w:docGrid w:linePitch="360"/>
        </w:sectPr>
      </w:pPr>
      <w:bookmarkStart w:id="6" w:name="Dropdown14"/>
      <w:r>
        <w:rPr>
          <w:rFonts w:ascii="Bookman Old Style" w:hAnsi="Bookman Old Style"/>
          <w:sz w:val="24"/>
          <w:szCs w:val="24"/>
        </w:rPr>
        <w:t>2</w:t>
      </w:r>
      <w:r w:rsidRPr="00B36D23">
        <w:rPr>
          <w:rFonts w:ascii="Bookman Old Style" w:hAnsi="Bookman Old Style"/>
          <w:sz w:val="24"/>
          <w:szCs w:val="24"/>
          <w:vertAlign w:val="superscript"/>
        </w:rPr>
        <w:t>nd</w:t>
      </w:r>
      <w:r w:rsidR="00381ED2">
        <w:rPr>
          <w:rFonts w:ascii="Bookman Old Style" w:hAnsi="Bookman Old Style"/>
          <w:sz w:val="24"/>
          <w:szCs w:val="24"/>
          <w:vertAlign w:val="superscript"/>
        </w:rPr>
        <w:t xml:space="preserve"> </w:t>
      </w:r>
      <w:r w:rsidR="00660ED3" w:rsidRPr="00720EA9">
        <w:rPr>
          <w:rFonts w:ascii="Bookman Old Style" w:hAnsi="Bookman Old Style"/>
          <w:sz w:val="24"/>
          <w:szCs w:val="24"/>
        </w:rPr>
        <w:fldChar w:fldCharType="begin">
          <w:ffData>
            <w:name w:val="Dropdown14"/>
            <w:enabled/>
            <w:calcOnExit w:val="0"/>
            <w:ddList>
              <w:listEntry w:val="Defendant"/>
              <w:listEntry w:val="First Defendant"/>
            </w:ddList>
          </w:ffData>
        </w:fldChar>
      </w:r>
      <w:r w:rsidR="00B40898" w:rsidRPr="00720EA9">
        <w:rPr>
          <w:rFonts w:ascii="Bookman Old Style" w:hAnsi="Bookman Old Style"/>
          <w:sz w:val="24"/>
          <w:szCs w:val="24"/>
        </w:rPr>
        <w:instrText xml:space="preserve"> FORMDROPDOWN </w:instrText>
      </w:r>
      <w:r w:rsidR="00660ED3" w:rsidRPr="00720EA9">
        <w:rPr>
          <w:rFonts w:ascii="Bookman Old Style" w:hAnsi="Bookman Old Style"/>
          <w:sz w:val="24"/>
          <w:szCs w:val="24"/>
        </w:rPr>
      </w:r>
      <w:r w:rsidR="00660ED3" w:rsidRPr="00720EA9">
        <w:rPr>
          <w:rFonts w:ascii="Bookman Old Style" w:hAnsi="Bookman Old Style"/>
          <w:sz w:val="24"/>
          <w:szCs w:val="24"/>
        </w:rPr>
        <w:fldChar w:fldCharType="end"/>
      </w:r>
      <w:bookmarkEnd w:id="6"/>
    </w:p>
    <w:p w:rsidR="00E0467F" w:rsidRPr="00720EA9" w:rsidRDefault="00E0467F" w:rsidP="00E548F3">
      <w:pPr>
        <w:pBdr>
          <w:bottom w:val="single" w:sz="4" w:space="1" w:color="auto"/>
        </w:pBdr>
        <w:jc w:val="center"/>
        <w:rPr>
          <w:rFonts w:ascii="Bookman Old Style" w:hAnsi="Bookman Old Style"/>
          <w:sz w:val="24"/>
          <w:szCs w:val="24"/>
        </w:rPr>
      </w:pPr>
    </w:p>
    <w:p w:rsidR="00E0467F" w:rsidRPr="00720EA9" w:rsidRDefault="00E0467F" w:rsidP="00E548F3">
      <w:pPr>
        <w:spacing w:before="240" w:after="120"/>
        <w:rPr>
          <w:rFonts w:ascii="Bookman Old Style" w:hAnsi="Bookman Old Style"/>
          <w:sz w:val="24"/>
          <w:szCs w:val="24"/>
        </w:rPr>
      </w:pPr>
      <w:r w:rsidRPr="00720EA9">
        <w:rPr>
          <w:rFonts w:ascii="Bookman Old Style" w:hAnsi="Bookman Old Style"/>
          <w:sz w:val="24"/>
          <w:szCs w:val="24"/>
        </w:rPr>
        <w:t>Hear</w:t>
      </w:r>
      <w:r w:rsidR="00E6492F" w:rsidRPr="00720EA9">
        <w:rPr>
          <w:rFonts w:ascii="Bookman Old Style" w:hAnsi="Bookman Old Style"/>
          <w:sz w:val="24"/>
          <w:szCs w:val="24"/>
        </w:rPr>
        <w:t>d</w:t>
      </w:r>
      <w:r w:rsidRPr="00720EA9">
        <w:rPr>
          <w:rFonts w:ascii="Bookman Old Style" w:hAnsi="Bookman Old Style"/>
          <w:sz w:val="24"/>
          <w:szCs w:val="24"/>
        </w:rPr>
        <w:t>:</w:t>
      </w:r>
      <w:r w:rsidR="00E6492F" w:rsidRPr="00720EA9">
        <w:rPr>
          <w:rFonts w:ascii="Bookman Old Style" w:hAnsi="Bookman Old Style"/>
          <w:sz w:val="24"/>
          <w:szCs w:val="24"/>
        </w:rPr>
        <w:tab/>
      </w:r>
      <w:r w:rsidRPr="00720EA9">
        <w:rPr>
          <w:rFonts w:ascii="Bookman Old Style" w:hAnsi="Bookman Old Style"/>
          <w:sz w:val="24"/>
          <w:szCs w:val="24"/>
        </w:rPr>
        <w:tab/>
      </w:r>
      <w:r w:rsidR="0044432C">
        <w:rPr>
          <w:rFonts w:ascii="Bookman Old Style" w:hAnsi="Bookman Old Style"/>
          <w:sz w:val="24"/>
          <w:szCs w:val="24"/>
        </w:rPr>
        <w:t>16</w:t>
      </w:r>
      <w:r w:rsidR="0044432C" w:rsidRPr="0044432C">
        <w:rPr>
          <w:rFonts w:ascii="Bookman Old Style" w:hAnsi="Bookman Old Style"/>
          <w:sz w:val="24"/>
          <w:szCs w:val="24"/>
          <w:vertAlign w:val="superscript"/>
        </w:rPr>
        <w:t>th</w:t>
      </w:r>
      <w:r w:rsidR="0044432C">
        <w:rPr>
          <w:rFonts w:ascii="Bookman Old Style" w:hAnsi="Bookman Old Style"/>
          <w:sz w:val="24"/>
          <w:szCs w:val="24"/>
        </w:rPr>
        <w:t xml:space="preserve"> day of March 2016</w:t>
      </w:r>
      <w:r w:rsidR="00660ED3" w:rsidRPr="00720EA9">
        <w:rPr>
          <w:rFonts w:ascii="Bookman Old Style" w:hAnsi="Bookman Old Style"/>
          <w:sz w:val="24"/>
          <w:szCs w:val="24"/>
        </w:rPr>
        <w:fldChar w:fldCharType="begin"/>
      </w:r>
      <w:r w:rsidR="00660ED3" w:rsidRPr="00720EA9">
        <w:rPr>
          <w:rFonts w:ascii="Bookman Old Style" w:hAnsi="Bookman Old Style"/>
          <w:sz w:val="24"/>
          <w:szCs w:val="24"/>
        </w:rPr>
        <w:fldChar w:fldCharType="end"/>
      </w:r>
    </w:p>
    <w:p w:rsidR="005F5FB0" w:rsidRPr="00720EA9" w:rsidRDefault="00E0467F" w:rsidP="00E548F3">
      <w:pPr>
        <w:rPr>
          <w:rFonts w:ascii="Bookman Old Style" w:hAnsi="Bookman Old Style"/>
          <w:sz w:val="24"/>
          <w:szCs w:val="24"/>
        </w:rPr>
        <w:sectPr w:rsidR="005F5FB0" w:rsidRPr="00720EA9" w:rsidSect="00EF2051">
          <w:type w:val="continuous"/>
          <w:pgSz w:w="12240" w:h="15840"/>
          <w:pgMar w:top="1440" w:right="1440" w:bottom="1440" w:left="1440" w:header="720" w:footer="720" w:gutter="0"/>
          <w:cols w:space="720"/>
          <w:docGrid w:linePitch="360"/>
        </w:sectPr>
      </w:pPr>
      <w:r w:rsidRPr="00720EA9">
        <w:rPr>
          <w:rFonts w:ascii="Bookman Old Style" w:hAnsi="Bookman Old Style"/>
          <w:sz w:val="24"/>
          <w:szCs w:val="24"/>
        </w:rPr>
        <w:t>Counsel:</w:t>
      </w:r>
      <w:r w:rsidRPr="00720EA9">
        <w:rPr>
          <w:rFonts w:ascii="Bookman Old Style" w:hAnsi="Bookman Old Style"/>
          <w:sz w:val="24"/>
          <w:szCs w:val="24"/>
        </w:rPr>
        <w:tab/>
      </w:r>
      <w:r w:rsidRPr="00720EA9">
        <w:rPr>
          <w:rFonts w:ascii="Bookman Old Style" w:hAnsi="Bookman Old Style"/>
          <w:sz w:val="24"/>
          <w:szCs w:val="24"/>
        </w:rPr>
        <w:tab/>
      </w:r>
      <w:r w:rsidR="0044432C">
        <w:rPr>
          <w:rFonts w:ascii="Bookman Old Style" w:hAnsi="Bookman Old Style"/>
          <w:sz w:val="24"/>
          <w:szCs w:val="24"/>
        </w:rPr>
        <w:t xml:space="preserve">Mr. J. Camille </w:t>
      </w:r>
      <w:r w:rsidR="00660ED3" w:rsidRPr="00720EA9">
        <w:rPr>
          <w:rFonts w:ascii="Bookman Old Style" w:hAnsi="Bookman Old Style"/>
          <w:sz w:val="24"/>
          <w:szCs w:val="24"/>
        </w:rPr>
        <w:fldChar w:fldCharType="begin"/>
      </w:r>
      <w:r w:rsidR="00F804CC" w:rsidRPr="00720EA9">
        <w:rPr>
          <w:rFonts w:ascii="Bookman Old Style" w:hAnsi="Bookman Old Style"/>
          <w:sz w:val="24"/>
          <w:szCs w:val="24"/>
        </w:rPr>
        <w:instrText xml:space="preserve"> ASK  "Enter Appellant Lawyer full name"  \* MERGEFORMAT </w:instrText>
      </w:r>
      <w:r w:rsidR="00660ED3" w:rsidRPr="00720EA9">
        <w:rPr>
          <w:rFonts w:ascii="Bookman Old Style" w:hAnsi="Bookman Old Style"/>
          <w:sz w:val="24"/>
          <w:szCs w:val="24"/>
        </w:rPr>
        <w:fldChar w:fldCharType="end"/>
      </w:r>
      <w:r w:rsidR="00660ED3" w:rsidRPr="00720EA9">
        <w:rPr>
          <w:rFonts w:ascii="Bookman Old Style" w:hAnsi="Bookman Old Style"/>
          <w:sz w:val="24"/>
          <w:szCs w:val="24"/>
        </w:rPr>
        <w:fldChar w:fldCharType="begin"/>
      </w:r>
      <w:r w:rsidR="00660ED3" w:rsidRPr="00720EA9">
        <w:rPr>
          <w:rFonts w:ascii="Bookman Old Style" w:hAnsi="Bookman Old Style"/>
          <w:sz w:val="24"/>
          <w:szCs w:val="24"/>
        </w:rPr>
        <w:fldChar w:fldCharType="end"/>
      </w:r>
      <w:r w:rsidR="009E05E5" w:rsidRPr="00720EA9">
        <w:rPr>
          <w:rFonts w:ascii="Bookman Old Style" w:hAnsi="Bookman Old Style"/>
          <w:sz w:val="24"/>
          <w:szCs w:val="24"/>
        </w:rPr>
        <w:t xml:space="preserve">for </w:t>
      </w:r>
      <w:bookmarkStart w:id="7" w:name="Dropdown11"/>
      <w:r w:rsidR="00660ED3" w:rsidRPr="00720EA9">
        <w:rPr>
          <w:rFonts w:ascii="Bookman Old Style" w:hAnsi="Bookman Old Style"/>
          <w:sz w:val="24"/>
          <w:szCs w:val="24"/>
        </w:rPr>
        <w:fldChar w:fldCharType="begin">
          <w:ffData>
            <w:name w:val="Dropdown11"/>
            <w:enabled/>
            <w:calcOnExit w:val="0"/>
            <w:ddList>
              <w:listEntry w:val="plaintiff"/>
              <w:listEntry w:val="first plaintiff"/>
              <w:listEntry w:val="plaintiffs"/>
            </w:ddList>
          </w:ffData>
        </w:fldChar>
      </w:r>
      <w:r w:rsidR="00E07F07" w:rsidRPr="00720EA9">
        <w:rPr>
          <w:rFonts w:ascii="Bookman Old Style" w:hAnsi="Bookman Old Style"/>
          <w:sz w:val="24"/>
          <w:szCs w:val="24"/>
        </w:rPr>
        <w:instrText xml:space="preserve"> FORMDROPDOWN </w:instrText>
      </w:r>
      <w:r w:rsidR="00660ED3" w:rsidRPr="00720EA9">
        <w:rPr>
          <w:rFonts w:ascii="Bookman Old Style" w:hAnsi="Bookman Old Style"/>
          <w:sz w:val="24"/>
          <w:szCs w:val="24"/>
        </w:rPr>
      </w:r>
      <w:r w:rsidR="00660ED3" w:rsidRPr="00720EA9">
        <w:rPr>
          <w:rFonts w:ascii="Bookman Old Style" w:hAnsi="Bookman Old Style"/>
          <w:sz w:val="24"/>
          <w:szCs w:val="24"/>
        </w:rPr>
        <w:fldChar w:fldCharType="end"/>
      </w:r>
      <w:bookmarkEnd w:id="7"/>
    </w:p>
    <w:p w:rsidR="005F5FB0" w:rsidRPr="00720EA9" w:rsidRDefault="005F5FB0" w:rsidP="00E548F3">
      <w:pPr>
        <w:rPr>
          <w:rFonts w:ascii="Bookman Old Style" w:hAnsi="Bookman Old Style"/>
          <w:sz w:val="24"/>
          <w:szCs w:val="24"/>
        </w:rPr>
        <w:sectPr w:rsidR="005F5FB0" w:rsidRPr="00720EA9" w:rsidSect="00EF2051">
          <w:type w:val="continuous"/>
          <w:pgSz w:w="12240" w:h="15840"/>
          <w:pgMar w:top="1440" w:right="1440" w:bottom="1440" w:left="1440" w:header="720" w:footer="720" w:gutter="0"/>
          <w:cols w:space="720"/>
          <w:docGrid w:linePitch="360"/>
        </w:sectPr>
      </w:pPr>
      <w:r w:rsidRPr="00720EA9">
        <w:rPr>
          <w:rFonts w:ascii="Bookman Old Style" w:hAnsi="Bookman Old Style"/>
          <w:sz w:val="24"/>
          <w:szCs w:val="24"/>
        </w:rPr>
        <w:lastRenderedPageBreak/>
        <w:tab/>
      </w:r>
      <w:r w:rsidRPr="00720EA9">
        <w:rPr>
          <w:rFonts w:ascii="Bookman Old Style" w:hAnsi="Bookman Old Style"/>
          <w:sz w:val="24"/>
          <w:szCs w:val="24"/>
        </w:rPr>
        <w:tab/>
      </w:r>
      <w:r w:rsidRPr="00720EA9">
        <w:rPr>
          <w:rFonts w:ascii="Bookman Old Style" w:hAnsi="Bookman Old Style"/>
          <w:sz w:val="24"/>
          <w:szCs w:val="24"/>
        </w:rPr>
        <w:tab/>
      </w:r>
      <w:r w:rsidR="00660ED3" w:rsidRPr="00720EA9">
        <w:rPr>
          <w:rFonts w:ascii="Bookman Old Style" w:hAnsi="Bookman Old Style"/>
          <w:sz w:val="24"/>
          <w:szCs w:val="24"/>
        </w:rPr>
        <w:fldChar w:fldCharType="begin">
          <w:ffData>
            <w:name w:val="Text36"/>
            <w:enabled/>
            <w:calcOnExit w:val="0"/>
            <w:textInput/>
          </w:ffData>
        </w:fldChar>
      </w:r>
      <w:bookmarkStart w:id="8" w:name="Text36"/>
      <w:r w:rsidRPr="00720EA9">
        <w:rPr>
          <w:rFonts w:ascii="Bookman Old Style" w:hAnsi="Bookman Old Style"/>
          <w:sz w:val="24"/>
          <w:szCs w:val="24"/>
        </w:rPr>
        <w:instrText xml:space="preserve"> FORMTEXT </w:instrText>
      </w:r>
      <w:r w:rsidR="00660ED3" w:rsidRPr="00720EA9">
        <w:rPr>
          <w:rFonts w:ascii="Bookman Old Style" w:hAnsi="Bookman Old Style"/>
          <w:sz w:val="24"/>
          <w:szCs w:val="24"/>
        </w:rPr>
      </w:r>
      <w:r w:rsidR="00660ED3" w:rsidRPr="00720EA9">
        <w:rPr>
          <w:rFonts w:ascii="Bookman Old Style" w:hAnsi="Bookman Old Style"/>
          <w:sz w:val="24"/>
          <w:szCs w:val="24"/>
        </w:rPr>
        <w:fldChar w:fldCharType="separate"/>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00660ED3" w:rsidRPr="00720EA9">
        <w:rPr>
          <w:rFonts w:ascii="Bookman Old Style" w:hAnsi="Bookman Old Style"/>
          <w:sz w:val="24"/>
          <w:szCs w:val="24"/>
        </w:rPr>
        <w:fldChar w:fldCharType="end"/>
      </w:r>
      <w:bookmarkEnd w:id="8"/>
    </w:p>
    <w:p w:rsidR="005F5FB0" w:rsidRDefault="009E05E5" w:rsidP="00E548F3">
      <w:pPr>
        <w:rPr>
          <w:rFonts w:ascii="Bookman Old Style" w:hAnsi="Bookman Old Style"/>
          <w:sz w:val="24"/>
          <w:szCs w:val="24"/>
        </w:rPr>
      </w:pPr>
      <w:r w:rsidRPr="00720EA9">
        <w:rPr>
          <w:rFonts w:ascii="Bookman Old Style" w:hAnsi="Bookman Old Style"/>
          <w:sz w:val="24"/>
          <w:szCs w:val="24"/>
        </w:rPr>
        <w:lastRenderedPageBreak/>
        <w:tab/>
      </w:r>
      <w:r w:rsidRPr="00720EA9">
        <w:rPr>
          <w:rFonts w:ascii="Bookman Old Style" w:hAnsi="Bookman Old Style"/>
          <w:sz w:val="24"/>
          <w:szCs w:val="24"/>
        </w:rPr>
        <w:tab/>
      </w:r>
      <w:r w:rsidRPr="00720EA9">
        <w:rPr>
          <w:rFonts w:ascii="Bookman Old Style" w:hAnsi="Bookman Old Style"/>
          <w:sz w:val="24"/>
          <w:szCs w:val="24"/>
        </w:rPr>
        <w:tab/>
      </w:r>
      <w:r w:rsidR="0044432C">
        <w:rPr>
          <w:rFonts w:ascii="Bookman Old Style" w:hAnsi="Bookman Old Style"/>
          <w:sz w:val="24"/>
          <w:szCs w:val="24"/>
        </w:rPr>
        <w:t xml:space="preserve">Mr. B. Julie </w:t>
      </w:r>
      <w:r w:rsidR="00660ED3" w:rsidRPr="00720EA9">
        <w:rPr>
          <w:rFonts w:ascii="Bookman Old Style" w:hAnsi="Bookman Old Style"/>
          <w:sz w:val="24"/>
          <w:szCs w:val="24"/>
        </w:rPr>
        <w:fldChar w:fldCharType="begin"/>
      </w:r>
      <w:r w:rsidR="00F804CC" w:rsidRPr="00720EA9">
        <w:rPr>
          <w:rFonts w:ascii="Bookman Old Style" w:hAnsi="Bookman Old Style"/>
          <w:sz w:val="24"/>
          <w:szCs w:val="24"/>
        </w:rPr>
        <w:instrText xml:space="preserve"> ASK  "Enter Respondent Lawyer Full Name"  \* MERGEFORMAT </w:instrText>
      </w:r>
      <w:r w:rsidR="00660ED3" w:rsidRPr="00720EA9">
        <w:rPr>
          <w:rFonts w:ascii="Bookman Old Style" w:hAnsi="Bookman Old Style"/>
          <w:sz w:val="24"/>
          <w:szCs w:val="24"/>
        </w:rPr>
        <w:fldChar w:fldCharType="end"/>
      </w:r>
      <w:r w:rsidR="00660ED3" w:rsidRPr="00720EA9">
        <w:rPr>
          <w:rFonts w:ascii="Bookman Old Style" w:hAnsi="Bookman Old Style"/>
          <w:sz w:val="24"/>
          <w:szCs w:val="24"/>
        </w:rPr>
        <w:fldChar w:fldCharType="begin"/>
      </w:r>
      <w:r w:rsidR="00660ED3" w:rsidRPr="00720EA9">
        <w:rPr>
          <w:rFonts w:ascii="Bookman Old Style" w:hAnsi="Bookman Old Style"/>
          <w:sz w:val="24"/>
          <w:szCs w:val="24"/>
        </w:rPr>
        <w:fldChar w:fldCharType="end"/>
      </w:r>
      <w:r w:rsidRPr="00720EA9">
        <w:rPr>
          <w:rFonts w:ascii="Bookman Old Style" w:hAnsi="Bookman Old Style"/>
          <w:sz w:val="24"/>
          <w:szCs w:val="24"/>
        </w:rPr>
        <w:t xml:space="preserve">for </w:t>
      </w:r>
      <w:bookmarkStart w:id="9" w:name="Dropdown12"/>
      <w:r w:rsidR="0044432C">
        <w:rPr>
          <w:rFonts w:ascii="Bookman Old Style" w:hAnsi="Bookman Old Style"/>
          <w:sz w:val="24"/>
          <w:szCs w:val="24"/>
        </w:rPr>
        <w:t>1</w:t>
      </w:r>
      <w:r w:rsidR="0044432C" w:rsidRPr="0044432C">
        <w:rPr>
          <w:rFonts w:ascii="Bookman Old Style" w:hAnsi="Bookman Old Style"/>
          <w:sz w:val="24"/>
          <w:szCs w:val="24"/>
          <w:vertAlign w:val="superscript"/>
        </w:rPr>
        <w:t>st</w:t>
      </w:r>
      <w:r w:rsidR="00444EC6">
        <w:rPr>
          <w:rFonts w:ascii="Bookman Old Style" w:hAnsi="Bookman Old Style"/>
          <w:sz w:val="24"/>
          <w:szCs w:val="24"/>
          <w:vertAlign w:val="superscript"/>
        </w:rPr>
        <w:t xml:space="preserve"> </w:t>
      </w:r>
      <w:r w:rsidR="00660ED3" w:rsidRPr="00720EA9">
        <w:rPr>
          <w:rFonts w:ascii="Bookman Old Style" w:hAnsi="Bookman Old Style"/>
          <w:sz w:val="24"/>
          <w:szCs w:val="24"/>
        </w:rPr>
        <w:fldChar w:fldCharType="begin">
          <w:ffData>
            <w:name w:val="Dropdown12"/>
            <w:enabled/>
            <w:calcOnExit w:val="0"/>
            <w:ddList>
              <w:listEntry w:val="defendant"/>
              <w:listEntry w:val="first defendant"/>
              <w:listEntry w:val="defendants"/>
            </w:ddList>
          </w:ffData>
        </w:fldChar>
      </w:r>
      <w:r w:rsidR="00E07F07" w:rsidRPr="00720EA9">
        <w:rPr>
          <w:rFonts w:ascii="Bookman Old Style" w:hAnsi="Bookman Old Style"/>
          <w:sz w:val="24"/>
          <w:szCs w:val="24"/>
        </w:rPr>
        <w:instrText xml:space="preserve"> FORMDROPDOWN </w:instrText>
      </w:r>
      <w:r w:rsidR="00660ED3" w:rsidRPr="00720EA9">
        <w:rPr>
          <w:rFonts w:ascii="Bookman Old Style" w:hAnsi="Bookman Old Style"/>
          <w:sz w:val="24"/>
          <w:szCs w:val="24"/>
        </w:rPr>
      </w:r>
      <w:r w:rsidR="00660ED3" w:rsidRPr="00720EA9">
        <w:rPr>
          <w:rFonts w:ascii="Bookman Old Style" w:hAnsi="Bookman Old Style"/>
          <w:sz w:val="24"/>
          <w:szCs w:val="24"/>
        </w:rPr>
        <w:fldChar w:fldCharType="end"/>
      </w:r>
      <w:bookmarkEnd w:id="9"/>
    </w:p>
    <w:p w:rsidR="0044432C" w:rsidRPr="00720EA9" w:rsidRDefault="0044432C" w:rsidP="00E548F3">
      <w:pPr>
        <w:rPr>
          <w:rFonts w:ascii="Bookman Old Style" w:hAnsi="Bookman Old Style"/>
          <w:sz w:val="24"/>
          <w:szCs w:val="24"/>
        </w:rPr>
        <w:sectPr w:rsidR="0044432C" w:rsidRPr="00720EA9" w:rsidSect="00EF2051">
          <w:type w:val="continuous"/>
          <w:pgSz w:w="12240" w:h="15840"/>
          <w:pgMar w:top="1440" w:right="1440" w:bottom="1440" w:left="1440" w:header="720" w:footer="720" w:gutter="0"/>
          <w:cols w:space="720"/>
          <w:docGrid w:linePitch="360"/>
        </w:sectPr>
      </w:pPr>
    </w:p>
    <w:p w:rsidR="005F5FB0" w:rsidRPr="00720EA9" w:rsidRDefault="00E548F3" w:rsidP="00E548F3">
      <w:pPr>
        <w:rPr>
          <w:rFonts w:ascii="Bookman Old Style" w:hAnsi="Bookman Old Style"/>
          <w:sz w:val="24"/>
          <w:szCs w:val="24"/>
        </w:rPr>
        <w:sectPr w:rsidR="005F5FB0" w:rsidRPr="00720EA9" w:rsidSect="00EF2051">
          <w:type w:val="continuous"/>
          <w:pgSz w:w="12240" w:h="15840"/>
          <w:pgMar w:top="1440" w:right="1440" w:bottom="1440" w:left="1440" w:header="720" w:footer="720" w:gutter="0"/>
          <w:cols w:space="720"/>
          <w:docGrid w:linePitch="360"/>
        </w:sectPr>
      </w:pPr>
      <w:r>
        <w:rPr>
          <w:rFonts w:ascii="Bookman Old Style" w:hAnsi="Bookman Old Style"/>
          <w:sz w:val="24"/>
          <w:szCs w:val="24"/>
        </w:rPr>
        <w:lastRenderedPageBreak/>
        <w:tab/>
      </w:r>
      <w:r>
        <w:rPr>
          <w:rFonts w:ascii="Bookman Old Style" w:hAnsi="Bookman Old Style"/>
          <w:sz w:val="24"/>
          <w:szCs w:val="24"/>
        </w:rPr>
        <w:tab/>
      </w:r>
      <w:r>
        <w:rPr>
          <w:rFonts w:ascii="Bookman Old Style" w:hAnsi="Bookman Old Style"/>
          <w:sz w:val="24"/>
          <w:szCs w:val="24"/>
        </w:rPr>
        <w:tab/>
      </w:r>
      <w:bookmarkStart w:id="10" w:name="_GoBack"/>
      <w:bookmarkEnd w:id="10"/>
      <w:r w:rsidR="0044432C">
        <w:rPr>
          <w:rFonts w:ascii="Bookman Old Style" w:hAnsi="Bookman Old Style"/>
          <w:sz w:val="24"/>
          <w:szCs w:val="24"/>
        </w:rPr>
        <w:t xml:space="preserve">Ms. </w:t>
      </w:r>
      <w:r w:rsidR="00B36D23">
        <w:rPr>
          <w:rFonts w:ascii="Bookman Old Style" w:hAnsi="Bookman Old Style"/>
          <w:sz w:val="24"/>
          <w:szCs w:val="24"/>
        </w:rPr>
        <w:t xml:space="preserve">B. </w:t>
      </w:r>
      <w:proofErr w:type="spellStart"/>
      <w:r w:rsidR="0044432C">
        <w:rPr>
          <w:rFonts w:ascii="Bookman Old Style" w:hAnsi="Bookman Old Style"/>
          <w:sz w:val="24"/>
          <w:szCs w:val="24"/>
        </w:rPr>
        <w:t>Confait</w:t>
      </w:r>
      <w:proofErr w:type="spellEnd"/>
      <w:r w:rsidR="0044432C">
        <w:rPr>
          <w:rFonts w:ascii="Bookman Old Style" w:hAnsi="Bookman Old Style"/>
          <w:sz w:val="24"/>
          <w:szCs w:val="24"/>
        </w:rPr>
        <w:t xml:space="preserve"> for the 2</w:t>
      </w:r>
      <w:r w:rsidR="0044432C" w:rsidRPr="0044432C">
        <w:rPr>
          <w:rFonts w:ascii="Bookman Old Style" w:hAnsi="Bookman Old Style"/>
          <w:sz w:val="24"/>
          <w:szCs w:val="24"/>
          <w:vertAlign w:val="superscript"/>
        </w:rPr>
        <w:t>nd</w:t>
      </w:r>
      <w:r w:rsidR="0044432C">
        <w:rPr>
          <w:rFonts w:ascii="Bookman Old Style" w:hAnsi="Bookman Old Style"/>
          <w:sz w:val="24"/>
          <w:szCs w:val="24"/>
        </w:rPr>
        <w:t xml:space="preserve"> defendant</w:t>
      </w:r>
    </w:p>
    <w:p w:rsidR="00E6492F" w:rsidRPr="00720EA9" w:rsidRDefault="00E6492F" w:rsidP="00E548F3">
      <w:pPr>
        <w:spacing w:before="120" w:after="240"/>
        <w:rPr>
          <w:rFonts w:ascii="Bookman Old Style" w:hAnsi="Bookman Old Style"/>
          <w:b/>
          <w:sz w:val="24"/>
          <w:szCs w:val="24"/>
        </w:rPr>
      </w:pPr>
      <w:r w:rsidRPr="00720EA9">
        <w:rPr>
          <w:rFonts w:ascii="Bookman Old Style" w:hAnsi="Bookman Old Style"/>
          <w:sz w:val="24"/>
          <w:szCs w:val="24"/>
        </w:rPr>
        <w:lastRenderedPageBreak/>
        <w:t>Delivered</w:t>
      </w:r>
      <w:r w:rsidR="00E0467F" w:rsidRPr="00720EA9">
        <w:rPr>
          <w:rFonts w:ascii="Bookman Old Style" w:hAnsi="Bookman Old Style"/>
          <w:sz w:val="24"/>
          <w:szCs w:val="24"/>
        </w:rPr>
        <w:t>:</w:t>
      </w:r>
      <w:r w:rsidR="00E0467F" w:rsidRPr="00720EA9">
        <w:rPr>
          <w:rFonts w:ascii="Bookman Old Style" w:hAnsi="Bookman Old Style"/>
          <w:sz w:val="24"/>
          <w:szCs w:val="24"/>
        </w:rPr>
        <w:tab/>
      </w:r>
      <w:r w:rsidR="00E0467F" w:rsidRPr="00720EA9">
        <w:rPr>
          <w:rFonts w:ascii="Bookman Old Style" w:hAnsi="Bookman Old Style"/>
          <w:sz w:val="24"/>
          <w:szCs w:val="24"/>
        </w:rPr>
        <w:tab/>
      </w:r>
      <w:r w:rsidR="0044432C">
        <w:rPr>
          <w:rFonts w:ascii="Bookman Old Style" w:hAnsi="Bookman Old Style"/>
          <w:sz w:val="24"/>
          <w:szCs w:val="24"/>
        </w:rPr>
        <w:t>30</w:t>
      </w:r>
      <w:r w:rsidR="0044432C" w:rsidRPr="0044432C">
        <w:rPr>
          <w:rFonts w:ascii="Bookman Old Style" w:hAnsi="Bookman Old Style"/>
          <w:sz w:val="24"/>
          <w:szCs w:val="24"/>
          <w:vertAlign w:val="superscript"/>
        </w:rPr>
        <w:t>th</w:t>
      </w:r>
      <w:r w:rsidR="0044432C">
        <w:rPr>
          <w:rFonts w:ascii="Bookman Old Style" w:hAnsi="Bookman Old Style"/>
          <w:sz w:val="24"/>
          <w:szCs w:val="24"/>
        </w:rPr>
        <w:t xml:space="preserve"> day of May 2016</w:t>
      </w:r>
    </w:p>
    <w:p w:rsidR="00D06A0F" w:rsidRPr="00720EA9" w:rsidRDefault="00D06A0F" w:rsidP="00E548F3">
      <w:pPr>
        <w:pBdr>
          <w:top w:val="dotted" w:sz="4" w:space="1" w:color="auto"/>
          <w:bottom w:val="dotted" w:sz="4" w:space="1" w:color="auto"/>
        </w:pBdr>
        <w:jc w:val="center"/>
        <w:rPr>
          <w:rFonts w:ascii="Bookman Old Style" w:hAnsi="Bookman Old Style"/>
          <w:sz w:val="24"/>
          <w:szCs w:val="24"/>
          <w:highlight w:val="lightGray"/>
        </w:rPr>
      </w:pPr>
      <w:bookmarkStart w:id="11" w:name="Dropdown2"/>
    </w:p>
    <w:bookmarkStart w:id="12" w:name="Dropdown8"/>
    <w:bookmarkEnd w:id="11"/>
    <w:p w:rsidR="00C87FCA" w:rsidRPr="00720EA9" w:rsidRDefault="00660ED3" w:rsidP="00E548F3">
      <w:pPr>
        <w:pBdr>
          <w:top w:val="dotted" w:sz="4" w:space="1" w:color="auto"/>
          <w:bottom w:val="dotted" w:sz="4" w:space="1" w:color="auto"/>
        </w:pBdr>
        <w:jc w:val="center"/>
        <w:rPr>
          <w:rFonts w:ascii="Bookman Old Style" w:hAnsi="Bookman Old Style"/>
          <w:b/>
          <w:sz w:val="24"/>
          <w:szCs w:val="24"/>
        </w:rPr>
      </w:pPr>
      <w:r w:rsidRPr="00720EA9">
        <w:rPr>
          <w:rFonts w:ascii="Bookman Old Style" w:hAnsi="Bookman Old Style"/>
          <w:b/>
          <w:sz w:val="24"/>
          <w:szCs w:val="24"/>
        </w:rPr>
        <w:fldChar w:fldCharType="begin">
          <w:ffData>
            <w:name w:val="Dropdown8"/>
            <w:enabled/>
            <w:calcOnExit w:val="0"/>
            <w:ddList>
              <w:result w:val="2"/>
              <w:listEntry w:val="JUDGMENT"/>
              <w:listEntry w:val="ORDER"/>
              <w:listEntry w:val="RULING"/>
              <w:listEntry w:val="JUDGMENT BY CONSENT"/>
            </w:ddList>
          </w:ffData>
        </w:fldChar>
      </w:r>
      <w:r w:rsidR="00A544D0"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12"/>
    </w:p>
    <w:p w:rsidR="001008BC" w:rsidRPr="00720EA9" w:rsidRDefault="001008BC" w:rsidP="00E548F3">
      <w:pPr>
        <w:pBdr>
          <w:top w:val="dotted" w:sz="4" w:space="1" w:color="auto"/>
          <w:bottom w:val="dotted" w:sz="4" w:space="1" w:color="auto"/>
        </w:pBdr>
        <w:jc w:val="center"/>
        <w:rPr>
          <w:rFonts w:ascii="Bookman Old Style" w:hAnsi="Bookman Old Style"/>
          <w:b/>
          <w:sz w:val="24"/>
          <w:szCs w:val="24"/>
        </w:rPr>
      </w:pPr>
    </w:p>
    <w:p w:rsidR="001008BC" w:rsidRPr="00720EA9" w:rsidRDefault="001008BC" w:rsidP="00E548F3">
      <w:pPr>
        <w:pStyle w:val="ListParagraph"/>
        <w:widowControl/>
        <w:autoSpaceDE/>
        <w:autoSpaceDN/>
        <w:adjustRightInd/>
        <w:spacing w:line="360" w:lineRule="auto"/>
        <w:ind w:left="0"/>
        <w:contextualSpacing w:val="0"/>
        <w:jc w:val="center"/>
        <w:rPr>
          <w:rFonts w:ascii="Bookman Old Style" w:hAnsi="Bookman Old Style"/>
          <w:b/>
          <w:sz w:val="24"/>
          <w:szCs w:val="24"/>
        </w:rPr>
      </w:pPr>
    </w:p>
    <w:p w:rsidR="00C87FCA" w:rsidRPr="00720EA9" w:rsidRDefault="00660ED3" w:rsidP="00E548F3">
      <w:pPr>
        <w:pStyle w:val="ListParagraph"/>
        <w:widowControl/>
        <w:autoSpaceDE/>
        <w:autoSpaceDN/>
        <w:adjustRightInd/>
        <w:spacing w:after="240" w:line="360" w:lineRule="auto"/>
        <w:ind w:left="0"/>
        <w:contextualSpacing w:val="0"/>
        <w:jc w:val="center"/>
        <w:rPr>
          <w:rFonts w:ascii="Bookman Old Style" w:hAnsi="Bookman Old Style"/>
          <w:b/>
          <w:sz w:val="24"/>
          <w:szCs w:val="24"/>
        </w:rPr>
      </w:pPr>
      <w:r w:rsidRPr="00720EA9">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3" w:name="Dropdown9"/>
      <w:r w:rsidR="001439BF"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13"/>
    </w:p>
    <w:p w:rsidR="001008BC" w:rsidRPr="00720EA9" w:rsidRDefault="001008BC" w:rsidP="001960B8">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720EA9" w:rsidSect="00EF2051">
          <w:type w:val="continuous"/>
          <w:pgSz w:w="12240" w:h="15840"/>
          <w:pgMar w:top="1440" w:right="1440" w:bottom="1440" w:left="1440" w:header="720" w:footer="720" w:gutter="0"/>
          <w:cols w:space="720"/>
          <w:docGrid w:linePitch="360"/>
        </w:sectPr>
      </w:pPr>
    </w:p>
    <w:p w:rsidR="00E46182" w:rsidRDefault="00E46182" w:rsidP="001960B8">
      <w:pPr>
        <w:pStyle w:val="JudgmentText"/>
        <w:rPr>
          <w:rFonts w:ascii="Bookman Old Style" w:hAnsi="Bookman Old Style"/>
        </w:rPr>
      </w:pPr>
      <w:r>
        <w:rPr>
          <w:rFonts w:ascii="Bookman Old Style" w:hAnsi="Bookman Old Style"/>
        </w:rPr>
        <w:lastRenderedPageBreak/>
        <w:t>Both the 1</w:t>
      </w:r>
      <w:r w:rsidRPr="00E46182">
        <w:rPr>
          <w:rFonts w:ascii="Bookman Old Style" w:hAnsi="Bookman Old Style"/>
          <w:vertAlign w:val="superscript"/>
        </w:rPr>
        <w:t>st</w:t>
      </w:r>
      <w:r>
        <w:rPr>
          <w:rFonts w:ascii="Bookman Old Style" w:hAnsi="Bookman Old Style"/>
        </w:rPr>
        <w:t xml:space="preserve"> and 2</w:t>
      </w:r>
      <w:r w:rsidRPr="00E46182">
        <w:rPr>
          <w:rFonts w:ascii="Bookman Old Style" w:hAnsi="Bookman Old Style"/>
          <w:vertAlign w:val="superscript"/>
        </w:rPr>
        <w:t>nd</w:t>
      </w:r>
      <w:r w:rsidR="005248A7" w:rsidRPr="00720EA9">
        <w:rPr>
          <w:rFonts w:ascii="Bookman Old Style" w:hAnsi="Bookman Old Style"/>
        </w:rPr>
        <w:t xml:space="preserve"> Defendant</w:t>
      </w:r>
      <w:r w:rsidR="00CF4041" w:rsidRPr="00720EA9">
        <w:rPr>
          <w:rFonts w:ascii="Bookman Old Style" w:hAnsi="Bookman Old Style"/>
        </w:rPr>
        <w:t>s</w:t>
      </w:r>
      <w:r w:rsidR="00CA2458">
        <w:rPr>
          <w:rFonts w:ascii="Bookman Old Style" w:hAnsi="Bookman Old Style"/>
        </w:rPr>
        <w:t xml:space="preserve"> in this case have</w:t>
      </w:r>
      <w:r w:rsidR="005248A7" w:rsidRPr="00720EA9">
        <w:rPr>
          <w:rFonts w:ascii="Bookman Old Style" w:hAnsi="Bookman Old Style"/>
        </w:rPr>
        <w:t xml:space="preserve"> raised a “plea in </w:t>
      </w:r>
      <w:proofErr w:type="spellStart"/>
      <w:r w:rsidR="005248A7" w:rsidRPr="00720EA9">
        <w:rPr>
          <w:rFonts w:ascii="Bookman Old Style" w:hAnsi="Bookman Old Style"/>
        </w:rPr>
        <w:t>limine</w:t>
      </w:r>
      <w:proofErr w:type="spellEnd"/>
      <w:r w:rsidR="005248A7" w:rsidRPr="00720EA9">
        <w:rPr>
          <w:rFonts w:ascii="Bookman Old Style" w:hAnsi="Bookman Old Style"/>
        </w:rPr>
        <w:t xml:space="preserve"> </w:t>
      </w:r>
      <w:proofErr w:type="spellStart"/>
      <w:r w:rsidR="005248A7" w:rsidRPr="00720EA9">
        <w:rPr>
          <w:rFonts w:ascii="Bookman Old Style" w:hAnsi="Bookman Old Style"/>
        </w:rPr>
        <w:t>litis</w:t>
      </w:r>
      <w:proofErr w:type="spellEnd"/>
      <w:r w:rsidR="005248A7" w:rsidRPr="00720EA9">
        <w:rPr>
          <w:rFonts w:ascii="Bookman Old Style" w:hAnsi="Bookman Old Style"/>
        </w:rPr>
        <w:t>” dated</w:t>
      </w:r>
      <w:r>
        <w:rPr>
          <w:rFonts w:ascii="Bookman Old Style" w:hAnsi="Bookman Old Style"/>
        </w:rPr>
        <w:t xml:space="preserve"> the 4</w:t>
      </w:r>
      <w:r w:rsidRPr="00E46182">
        <w:rPr>
          <w:rFonts w:ascii="Bookman Old Style" w:hAnsi="Bookman Old Style"/>
          <w:vertAlign w:val="superscript"/>
        </w:rPr>
        <w:t>th</w:t>
      </w:r>
      <w:r>
        <w:rPr>
          <w:rFonts w:ascii="Bookman Old Style" w:hAnsi="Bookman Old Style"/>
        </w:rPr>
        <w:t xml:space="preserve"> day of November 2014 and the 29</w:t>
      </w:r>
      <w:r w:rsidRPr="00E46182">
        <w:rPr>
          <w:rFonts w:ascii="Bookman Old Style" w:hAnsi="Bookman Old Style"/>
          <w:vertAlign w:val="superscript"/>
        </w:rPr>
        <w:t>th</w:t>
      </w:r>
      <w:r>
        <w:rPr>
          <w:rFonts w:ascii="Bookman Old Style" w:hAnsi="Bookman Old Style"/>
        </w:rPr>
        <w:t xml:space="preserve"> day of September 2015 respectively. </w:t>
      </w:r>
    </w:p>
    <w:p w:rsidR="00E46182" w:rsidRDefault="00E46182" w:rsidP="001960B8">
      <w:pPr>
        <w:pStyle w:val="JudgmentText"/>
        <w:rPr>
          <w:rFonts w:ascii="Bookman Old Style" w:hAnsi="Bookman Old Style"/>
        </w:rPr>
      </w:pPr>
      <w:r>
        <w:rPr>
          <w:rFonts w:ascii="Bookman Old Style" w:hAnsi="Bookman Old Style"/>
        </w:rPr>
        <w:lastRenderedPageBreak/>
        <w:t>The 1</w:t>
      </w:r>
      <w:r w:rsidRPr="00E46182">
        <w:rPr>
          <w:rFonts w:ascii="Bookman Old Style" w:hAnsi="Bookman Old Style"/>
          <w:vertAlign w:val="superscript"/>
        </w:rPr>
        <w:t>st</w:t>
      </w:r>
      <w:r>
        <w:rPr>
          <w:rFonts w:ascii="Bookman Old Style" w:hAnsi="Bookman Old Style"/>
        </w:rPr>
        <w:t xml:space="preserve"> Defendant’s plea in </w:t>
      </w:r>
      <w:proofErr w:type="spellStart"/>
      <w:r>
        <w:rPr>
          <w:rFonts w:ascii="Bookman Old Style" w:hAnsi="Bookman Old Style"/>
        </w:rPr>
        <w:t>limine</w:t>
      </w:r>
      <w:proofErr w:type="spellEnd"/>
      <w:r w:rsidR="00CA2458">
        <w:rPr>
          <w:rFonts w:ascii="Bookman Old Style" w:hAnsi="Bookman Old Style"/>
        </w:rPr>
        <w:t xml:space="preserve"> </w:t>
      </w:r>
      <w:proofErr w:type="spellStart"/>
      <w:r w:rsidR="00CA2458">
        <w:rPr>
          <w:rFonts w:ascii="Bookman Old Style" w:hAnsi="Bookman Old Style"/>
        </w:rPr>
        <w:t>litis</w:t>
      </w:r>
      <w:proofErr w:type="spellEnd"/>
      <w:r w:rsidR="00CA2458">
        <w:rPr>
          <w:rFonts w:ascii="Bookman Old Style" w:hAnsi="Bookman Old Style"/>
        </w:rPr>
        <w:t xml:space="preserve"> </w:t>
      </w:r>
      <w:r>
        <w:rPr>
          <w:rFonts w:ascii="Bookman Old Style" w:hAnsi="Bookman Old Style"/>
        </w:rPr>
        <w:t>is in essence to the following effect:</w:t>
      </w:r>
    </w:p>
    <w:p w:rsidR="00E46182" w:rsidRDefault="00E46182" w:rsidP="001960B8">
      <w:pPr>
        <w:pStyle w:val="JudgmentText"/>
        <w:numPr>
          <w:ilvl w:val="3"/>
          <w:numId w:val="6"/>
        </w:numPr>
        <w:rPr>
          <w:rFonts w:ascii="Bookman Old Style" w:hAnsi="Bookman Old Style"/>
          <w:i/>
        </w:rPr>
      </w:pPr>
      <w:r>
        <w:rPr>
          <w:rFonts w:ascii="Bookman Old Style" w:hAnsi="Bookman Old Style"/>
          <w:i/>
        </w:rPr>
        <w:t>The Plaintiff’</w:t>
      </w:r>
      <w:r w:rsidR="00CA2458">
        <w:rPr>
          <w:rFonts w:ascii="Bookman Old Style" w:hAnsi="Bookman Old Style"/>
          <w:i/>
        </w:rPr>
        <w:t>s action should be st</w:t>
      </w:r>
      <w:r>
        <w:rPr>
          <w:rFonts w:ascii="Bookman Old Style" w:hAnsi="Bookman Old Style"/>
          <w:i/>
        </w:rPr>
        <w:t>ruck off or dismissed on the ground t</w:t>
      </w:r>
      <w:r w:rsidR="00CA2458">
        <w:rPr>
          <w:rFonts w:ascii="Bookman Old Style" w:hAnsi="Bookman Old Style"/>
          <w:i/>
        </w:rPr>
        <w:t>hat it discloses no re</w:t>
      </w:r>
      <w:r>
        <w:rPr>
          <w:rFonts w:ascii="Bookman Old Style" w:hAnsi="Bookman Old Style"/>
          <w:i/>
        </w:rPr>
        <w:t>asonable cause of action against the 1</w:t>
      </w:r>
      <w:r w:rsidRPr="00E46182">
        <w:rPr>
          <w:rFonts w:ascii="Bookman Old Style" w:hAnsi="Bookman Old Style"/>
          <w:i/>
          <w:vertAlign w:val="superscript"/>
        </w:rPr>
        <w:t>st</w:t>
      </w:r>
      <w:r w:rsidR="00444EC6">
        <w:rPr>
          <w:rFonts w:ascii="Bookman Old Style" w:hAnsi="Bookman Old Style"/>
          <w:i/>
        </w:rPr>
        <w:t xml:space="preserve"> D</w:t>
      </w:r>
      <w:r>
        <w:rPr>
          <w:rFonts w:ascii="Bookman Old Style" w:hAnsi="Bookman Old Style"/>
          <w:i/>
        </w:rPr>
        <w:t xml:space="preserve">efendant and/or </w:t>
      </w:r>
      <w:r w:rsidR="00444EC6">
        <w:rPr>
          <w:rFonts w:ascii="Bookman Old Style" w:hAnsi="Bookman Old Style"/>
          <w:i/>
        </w:rPr>
        <w:t xml:space="preserve">the </w:t>
      </w:r>
      <w:r>
        <w:rPr>
          <w:rFonts w:ascii="Bookman Old Style" w:hAnsi="Bookman Old Style"/>
          <w:i/>
        </w:rPr>
        <w:t>pleadings are shown to be frivolous and vexatious, as the purported cause that gives rise to</w:t>
      </w:r>
      <w:r w:rsidR="00CA2458">
        <w:rPr>
          <w:rFonts w:ascii="Bookman Old Style" w:hAnsi="Bookman Old Style"/>
          <w:i/>
        </w:rPr>
        <w:t xml:space="preserve"> the Plaintiff’s </w:t>
      </w:r>
      <w:r>
        <w:rPr>
          <w:rFonts w:ascii="Bookman Old Style" w:hAnsi="Bookman Old Style"/>
          <w:i/>
        </w:rPr>
        <w:t>claim is an ongoing dispute between the Plaintiff and the 2</w:t>
      </w:r>
      <w:r w:rsidRPr="00E46182">
        <w:rPr>
          <w:rFonts w:ascii="Bookman Old Style" w:hAnsi="Bookman Old Style"/>
          <w:i/>
          <w:vertAlign w:val="superscript"/>
        </w:rPr>
        <w:t>nd</w:t>
      </w:r>
      <w:r w:rsidR="00444EC6">
        <w:rPr>
          <w:rFonts w:ascii="Bookman Old Style" w:hAnsi="Bookman Old Style"/>
          <w:i/>
          <w:vertAlign w:val="superscript"/>
        </w:rPr>
        <w:t xml:space="preserve"> </w:t>
      </w:r>
      <w:r w:rsidR="00CA2458">
        <w:rPr>
          <w:rFonts w:ascii="Bookman Old Style" w:hAnsi="Bookman Old Style"/>
          <w:i/>
        </w:rPr>
        <w:t>Defendant.</w:t>
      </w:r>
    </w:p>
    <w:p w:rsidR="00E46182" w:rsidRPr="00E46182" w:rsidRDefault="00E46182" w:rsidP="001960B8">
      <w:pPr>
        <w:pStyle w:val="JudgmentText"/>
        <w:numPr>
          <w:ilvl w:val="3"/>
          <w:numId w:val="6"/>
        </w:numPr>
        <w:rPr>
          <w:rFonts w:ascii="Bookman Old Style" w:hAnsi="Bookman Old Style"/>
          <w:i/>
        </w:rPr>
      </w:pPr>
      <w:r>
        <w:rPr>
          <w:rFonts w:ascii="Bookman Old Style" w:hAnsi="Bookman Old Style"/>
          <w:i/>
        </w:rPr>
        <w:t>This action amounts to an abuse of right and of t</w:t>
      </w:r>
      <w:r w:rsidR="00444EC6">
        <w:rPr>
          <w:rFonts w:ascii="Bookman Old Style" w:hAnsi="Bookman Old Style"/>
          <w:i/>
        </w:rPr>
        <w:t>he process of the Court by the P</w:t>
      </w:r>
      <w:r>
        <w:rPr>
          <w:rFonts w:ascii="Bookman Old Style" w:hAnsi="Bookman Old Style"/>
          <w:i/>
        </w:rPr>
        <w:t>laintiff in all the circumstances of the case against</w:t>
      </w:r>
      <w:r w:rsidR="00C57EBB">
        <w:rPr>
          <w:rFonts w:ascii="Bookman Old Style" w:hAnsi="Bookman Old Style"/>
          <w:i/>
        </w:rPr>
        <w:t xml:space="preserve"> </w:t>
      </w:r>
      <w:r>
        <w:rPr>
          <w:rFonts w:ascii="Bookman Old Style" w:hAnsi="Bookman Old Style"/>
          <w:i/>
        </w:rPr>
        <w:t>the 1</w:t>
      </w:r>
      <w:r w:rsidRPr="00E46182">
        <w:rPr>
          <w:rFonts w:ascii="Bookman Old Style" w:hAnsi="Bookman Old Style"/>
          <w:i/>
          <w:vertAlign w:val="superscript"/>
        </w:rPr>
        <w:t>st</w:t>
      </w:r>
      <w:r>
        <w:rPr>
          <w:rFonts w:ascii="Bookman Old Style" w:hAnsi="Bookman Old Style"/>
          <w:i/>
        </w:rPr>
        <w:t xml:space="preserve"> Def</w:t>
      </w:r>
      <w:r w:rsidR="00CA2458">
        <w:rPr>
          <w:rFonts w:ascii="Bookman Old Style" w:hAnsi="Bookman Old Style"/>
          <w:i/>
        </w:rPr>
        <w:t>e</w:t>
      </w:r>
      <w:r>
        <w:rPr>
          <w:rFonts w:ascii="Bookman Old Style" w:hAnsi="Bookman Old Style"/>
          <w:i/>
        </w:rPr>
        <w:t xml:space="preserve">ndant. </w:t>
      </w:r>
    </w:p>
    <w:p w:rsidR="00E46182" w:rsidRDefault="00CA2458" w:rsidP="001960B8">
      <w:pPr>
        <w:pStyle w:val="JudgmentText"/>
        <w:numPr>
          <w:ilvl w:val="0"/>
          <w:numId w:val="0"/>
        </w:numPr>
        <w:ind w:left="720" w:hanging="720"/>
        <w:rPr>
          <w:rFonts w:ascii="Bookman Old Style" w:hAnsi="Bookman Old Style"/>
        </w:rPr>
      </w:pPr>
      <w:r>
        <w:rPr>
          <w:rFonts w:ascii="Bookman Old Style" w:hAnsi="Bookman Old Style"/>
        </w:rPr>
        <w:t>[3</w:t>
      </w:r>
      <w:r w:rsidR="005248A7" w:rsidRPr="00720EA9">
        <w:rPr>
          <w:rFonts w:ascii="Bookman Old Style" w:hAnsi="Bookman Old Style"/>
        </w:rPr>
        <w:t>]</w:t>
      </w:r>
      <w:r w:rsidR="005248A7" w:rsidRPr="00720EA9">
        <w:rPr>
          <w:rFonts w:ascii="Bookman Old Style" w:hAnsi="Bookman Old Style"/>
        </w:rPr>
        <w:tab/>
      </w:r>
      <w:r>
        <w:rPr>
          <w:rFonts w:ascii="Bookman Old Style" w:hAnsi="Bookman Old Style"/>
        </w:rPr>
        <w:t>The 2</w:t>
      </w:r>
      <w:r w:rsidRPr="00CA2458">
        <w:rPr>
          <w:rFonts w:ascii="Bookman Old Style" w:hAnsi="Bookman Old Style"/>
          <w:vertAlign w:val="superscript"/>
        </w:rPr>
        <w:t>nd</w:t>
      </w:r>
      <w:r w:rsidR="00444EC6">
        <w:rPr>
          <w:rFonts w:ascii="Bookman Old Style" w:hAnsi="Bookman Old Style"/>
          <w:vertAlign w:val="superscript"/>
        </w:rPr>
        <w:t xml:space="preserve"> </w:t>
      </w:r>
      <w:r w:rsidR="00E46182">
        <w:rPr>
          <w:rFonts w:ascii="Bookman Old Style" w:hAnsi="Bookman Old Style"/>
        </w:rPr>
        <w:t xml:space="preserve">Defendant’s plea in </w:t>
      </w:r>
      <w:proofErr w:type="spellStart"/>
      <w:r w:rsidR="00E46182">
        <w:rPr>
          <w:rFonts w:ascii="Bookman Old Style" w:hAnsi="Bookman Old Style"/>
        </w:rPr>
        <w:t>limine</w:t>
      </w:r>
      <w:proofErr w:type="spellEnd"/>
      <w:r w:rsidR="00E46182">
        <w:rPr>
          <w:rFonts w:ascii="Bookman Old Style" w:hAnsi="Bookman Old Style"/>
        </w:rPr>
        <w:t xml:space="preserve"> </w:t>
      </w:r>
      <w:proofErr w:type="spellStart"/>
      <w:r w:rsidR="00E46182">
        <w:rPr>
          <w:rFonts w:ascii="Bookman Old Style" w:hAnsi="Bookman Old Style"/>
        </w:rPr>
        <w:t>litis</w:t>
      </w:r>
      <w:proofErr w:type="spellEnd"/>
      <w:r w:rsidR="00E46182">
        <w:rPr>
          <w:rFonts w:ascii="Bookman Old Style" w:hAnsi="Bookman Old Style"/>
        </w:rPr>
        <w:t xml:space="preserve"> in a gist is as follows:</w:t>
      </w:r>
    </w:p>
    <w:p w:rsidR="00E46182" w:rsidRDefault="00E46182" w:rsidP="001960B8">
      <w:pPr>
        <w:pStyle w:val="JudgmentText"/>
        <w:numPr>
          <w:ilvl w:val="3"/>
          <w:numId w:val="11"/>
        </w:numPr>
        <w:rPr>
          <w:rFonts w:ascii="Bookman Old Style" w:hAnsi="Bookman Old Style"/>
          <w:i/>
        </w:rPr>
      </w:pPr>
      <w:r w:rsidRPr="00E46182">
        <w:rPr>
          <w:rFonts w:ascii="Bookman Old Style" w:hAnsi="Bookman Old Style"/>
          <w:i/>
        </w:rPr>
        <w:t>The plaint discloses no cause of</w:t>
      </w:r>
      <w:r w:rsidR="00444EC6">
        <w:rPr>
          <w:rFonts w:ascii="Bookman Old Style" w:hAnsi="Bookman Old Style"/>
          <w:i/>
        </w:rPr>
        <w:t xml:space="preserve"> action against the second D</w:t>
      </w:r>
      <w:r w:rsidRPr="00E46182">
        <w:rPr>
          <w:rFonts w:ascii="Bookman Old Style" w:hAnsi="Bookman Old Style"/>
          <w:i/>
        </w:rPr>
        <w:t>efendant</w:t>
      </w:r>
      <w:r w:rsidR="00CA2458">
        <w:rPr>
          <w:rFonts w:ascii="Bookman Old Style" w:hAnsi="Bookman Old Style"/>
          <w:i/>
        </w:rPr>
        <w:t xml:space="preserve">. </w:t>
      </w:r>
    </w:p>
    <w:p w:rsidR="00E46182" w:rsidRPr="00E46182" w:rsidRDefault="00444EC6" w:rsidP="001960B8">
      <w:pPr>
        <w:pStyle w:val="JudgmentText"/>
        <w:numPr>
          <w:ilvl w:val="3"/>
          <w:numId w:val="11"/>
        </w:numPr>
        <w:rPr>
          <w:rFonts w:ascii="Bookman Old Style" w:hAnsi="Bookman Old Style"/>
          <w:i/>
        </w:rPr>
      </w:pPr>
      <w:r>
        <w:rPr>
          <w:rFonts w:ascii="Bookman Old Style" w:hAnsi="Bookman Old Style"/>
          <w:i/>
        </w:rPr>
        <w:t>The P</w:t>
      </w:r>
      <w:r w:rsidR="00E46182">
        <w:rPr>
          <w:rFonts w:ascii="Bookman Old Style" w:hAnsi="Bookman Old Style"/>
          <w:i/>
        </w:rPr>
        <w:t xml:space="preserve">laintiff does not have legal capacity to bring this action by virtue of the fact </w:t>
      </w:r>
      <w:r w:rsidR="00CA2458">
        <w:rPr>
          <w:rFonts w:ascii="Bookman Old Style" w:hAnsi="Bookman Old Style"/>
          <w:i/>
        </w:rPr>
        <w:t xml:space="preserve">that she </w:t>
      </w:r>
      <w:r w:rsidR="00E46182">
        <w:rPr>
          <w:rFonts w:ascii="Bookman Old Style" w:hAnsi="Bookman Old Style"/>
          <w:i/>
        </w:rPr>
        <w:t xml:space="preserve">is not the registered owner of land parcel V538 at Roche Bois, </w:t>
      </w:r>
      <w:proofErr w:type="spellStart"/>
      <w:r w:rsidR="00E46182">
        <w:rPr>
          <w:rFonts w:ascii="Bookman Old Style" w:hAnsi="Bookman Old Style"/>
          <w:i/>
        </w:rPr>
        <w:t>Mahe</w:t>
      </w:r>
      <w:proofErr w:type="spellEnd"/>
      <w:r w:rsidR="00CA2458">
        <w:rPr>
          <w:rFonts w:ascii="Bookman Old Style" w:hAnsi="Bookman Old Style"/>
          <w:i/>
        </w:rPr>
        <w:t>.</w:t>
      </w:r>
    </w:p>
    <w:p w:rsidR="005248A7" w:rsidRDefault="00CA2458" w:rsidP="001960B8">
      <w:pPr>
        <w:pStyle w:val="JudgmentText"/>
        <w:numPr>
          <w:ilvl w:val="0"/>
          <w:numId w:val="0"/>
        </w:numPr>
        <w:ind w:left="720" w:hanging="720"/>
        <w:rPr>
          <w:rFonts w:ascii="Bookman Old Style" w:hAnsi="Bookman Old Style"/>
        </w:rPr>
      </w:pPr>
      <w:r>
        <w:rPr>
          <w:rFonts w:ascii="Bookman Old Style" w:hAnsi="Bookman Old Style"/>
        </w:rPr>
        <w:t>[4</w:t>
      </w:r>
      <w:r w:rsidR="00E46182">
        <w:rPr>
          <w:rFonts w:ascii="Bookman Old Style" w:hAnsi="Bookman Old Style"/>
        </w:rPr>
        <w:t>]</w:t>
      </w:r>
      <w:r w:rsidR="00E46182">
        <w:rPr>
          <w:rFonts w:ascii="Bookman Old Style" w:hAnsi="Bookman Old Style"/>
        </w:rPr>
        <w:tab/>
      </w:r>
      <w:r w:rsidR="005248A7" w:rsidRPr="00720EA9">
        <w:rPr>
          <w:rFonts w:ascii="Bookman Old Style" w:hAnsi="Bookman Old Style"/>
        </w:rPr>
        <w:t xml:space="preserve">Learned Counsels </w:t>
      </w:r>
      <w:r w:rsidR="00E46182">
        <w:rPr>
          <w:rFonts w:ascii="Bookman Old Style" w:hAnsi="Bookman Old Style"/>
        </w:rPr>
        <w:t xml:space="preserve">for </w:t>
      </w:r>
      <w:r w:rsidR="00444EC6">
        <w:rPr>
          <w:rFonts w:ascii="Bookman Old Style" w:hAnsi="Bookman Old Style"/>
        </w:rPr>
        <w:t>the Plaintiff and D</w:t>
      </w:r>
      <w:r w:rsidR="00E46182">
        <w:rPr>
          <w:rFonts w:ascii="Bookman Old Style" w:hAnsi="Bookman Old Style"/>
        </w:rPr>
        <w:t xml:space="preserve">efendants </w:t>
      </w:r>
      <w:r w:rsidR="005248A7" w:rsidRPr="00720EA9">
        <w:rPr>
          <w:rFonts w:ascii="Bookman Old Style" w:hAnsi="Bookman Old Style"/>
        </w:rPr>
        <w:t>as above-referred</w:t>
      </w:r>
      <w:r>
        <w:rPr>
          <w:rFonts w:ascii="Bookman Old Style" w:hAnsi="Bookman Old Style"/>
        </w:rPr>
        <w:t>,</w:t>
      </w:r>
      <w:r w:rsidR="005248A7" w:rsidRPr="00720EA9">
        <w:rPr>
          <w:rFonts w:ascii="Bookman Old Style" w:hAnsi="Bookman Old Style"/>
        </w:rPr>
        <w:t xml:space="preserve"> filed written</w:t>
      </w:r>
      <w:r w:rsidR="00E77C1F" w:rsidRPr="00720EA9">
        <w:rPr>
          <w:rFonts w:ascii="Bookman Old Style" w:hAnsi="Bookman Old Style"/>
        </w:rPr>
        <w:t xml:space="preserve"> submissions on behalf of their respective</w:t>
      </w:r>
      <w:r w:rsidR="005248A7" w:rsidRPr="00720EA9">
        <w:rPr>
          <w:rFonts w:ascii="Bookman Old Style" w:hAnsi="Bookman Old Style"/>
        </w:rPr>
        <w:t xml:space="preserve"> clients </w:t>
      </w:r>
      <w:r w:rsidR="00FA1D82" w:rsidRPr="00720EA9">
        <w:rPr>
          <w:rFonts w:ascii="Bookman Old Style" w:hAnsi="Bookman Old Style"/>
        </w:rPr>
        <w:t xml:space="preserve">as to their legal stance </w:t>
      </w:r>
      <w:proofErr w:type="spellStart"/>
      <w:r w:rsidR="00FA1D82" w:rsidRPr="00720EA9">
        <w:rPr>
          <w:rFonts w:ascii="Bookman Old Style" w:hAnsi="Bookman Old Style"/>
        </w:rPr>
        <w:t>vis</w:t>
      </w:r>
      <w:proofErr w:type="spellEnd"/>
      <w:r w:rsidR="00CB31FB" w:rsidRPr="00720EA9">
        <w:rPr>
          <w:rFonts w:ascii="Bookman Old Style" w:hAnsi="Bookman Old Style"/>
        </w:rPr>
        <w:t>-a-</w:t>
      </w:r>
      <w:proofErr w:type="spellStart"/>
      <w:r w:rsidR="00FA1D82" w:rsidRPr="00720EA9">
        <w:rPr>
          <w:rFonts w:ascii="Bookman Old Style" w:hAnsi="Bookman Old Style"/>
        </w:rPr>
        <w:t>vis</w:t>
      </w:r>
      <w:proofErr w:type="spellEnd"/>
      <w:r w:rsidR="005248A7" w:rsidRPr="00720EA9">
        <w:rPr>
          <w:rFonts w:ascii="Bookman Old Style" w:hAnsi="Bookman Old Style"/>
        </w:rPr>
        <w:t xml:space="preserve"> the </w:t>
      </w:r>
      <w:r w:rsidR="00CB31FB" w:rsidRPr="00720EA9">
        <w:rPr>
          <w:rFonts w:ascii="Bookman Old Style" w:hAnsi="Bookman Old Style"/>
        </w:rPr>
        <w:t>points of law</w:t>
      </w:r>
      <w:r w:rsidR="00444EC6">
        <w:rPr>
          <w:rFonts w:ascii="Bookman Old Style" w:hAnsi="Bookman Old Style"/>
        </w:rPr>
        <w:t xml:space="preserve">s </w:t>
      </w:r>
      <w:r w:rsidR="00FA1D82" w:rsidRPr="00720EA9">
        <w:rPr>
          <w:rFonts w:ascii="Bookman Old Style" w:hAnsi="Bookman Old Style"/>
        </w:rPr>
        <w:t xml:space="preserve">raised on the </w:t>
      </w:r>
      <w:r w:rsidR="00E46182">
        <w:rPr>
          <w:rFonts w:ascii="Bookman Old Style" w:hAnsi="Bookman Old Style"/>
        </w:rPr>
        <w:t>1</w:t>
      </w:r>
      <w:r w:rsidR="00E46182" w:rsidRPr="00E46182">
        <w:rPr>
          <w:rFonts w:ascii="Bookman Old Style" w:hAnsi="Bookman Old Style"/>
          <w:vertAlign w:val="superscript"/>
        </w:rPr>
        <w:t>st</w:t>
      </w:r>
      <w:r w:rsidR="00E46182">
        <w:rPr>
          <w:rFonts w:ascii="Bookman Old Style" w:hAnsi="Bookman Old Style"/>
        </w:rPr>
        <w:t xml:space="preserve"> day of September 2015, </w:t>
      </w:r>
      <w:r w:rsidR="001A0D5F">
        <w:rPr>
          <w:rFonts w:ascii="Bookman Old Style" w:hAnsi="Bookman Old Style"/>
        </w:rPr>
        <w:t>2</w:t>
      </w:r>
      <w:r w:rsidR="001A0D5F" w:rsidRPr="001A0D5F">
        <w:rPr>
          <w:rFonts w:ascii="Bookman Old Style" w:hAnsi="Bookman Old Style"/>
          <w:vertAlign w:val="superscript"/>
        </w:rPr>
        <w:t>nd</w:t>
      </w:r>
      <w:r w:rsidR="001A0D5F">
        <w:rPr>
          <w:rFonts w:ascii="Bookman Old Style" w:hAnsi="Bookman Old Style"/>
        </w:rPr>
        <w:t xml:space="preserve"> day of December 2015 and 2</w:t>
      </w:r>
      <w:r w:rsidR="001A0D5F" w:rsidRPr="001A0D5F">
        <w:rPr>
          <w:rFonts w:ascii="Bookman Old Style" w:hAnsi="Bookman Old Style"/>
          <w:vertAlign w:val="superscript"/>
        </w:rPr>
        <w:t>nd</w:t>
      </w:r>
      <w:r w:rsidR="001A0D5F">
        <w:rPr>
          <w:rFonts w:ascii="Bookman Old Style" w:hAnsi="Bookman Old Style"/>
        </w:rPr>
        <w:t xml:space="preserve"> day of March 2016 </w:t>
      </w:r>
      <w:r w:rsidR="00612AD5">
        <w:rPr>
          <w:rFonts w:ascii="Bookman Old Style" w:hAnsi="Bookman Old Style"/>
        </w:rPr>
        <w:t>respectively of which con</w:t>
      </w:r>
      <w:r w:rsidR="001A0D5F">
        <w:rPr>
          <w:rFonts w:ascii="Bookman Old Style" w:hAnsi="Bookman Old Style"/>
        </w:rPr>
        <w:t xml:space="preserve">tents have been duly considered </w:t>
      </w:r>
      <w:r w:rsidR="00444EC6">
        <w:rPr>
          <w:rFonts w:ascii="Bookman Old Style" w:hAnsi="Bookman Old Style"/>
        </w:rPr>
        <w:t xml:space="preserve">by this Court </w:t>
      </w:r>
      <w:r w:rsidR="001A0D5F">
        <w:rPr>
          <w:rFonts w:ascii="Bookman Old Style" w:hAnsi="Bookman Old Style"/>
        </w:rPr>
        <w:t>for the purpose of this Ruling.</w:t>
      </w:r>
    </w:p>
    <w:p w:rsidR="001A0D5F" w:rsidRDefault="00CA2458" w:rsidP="001960B8">
      <w:pPr>
        <w:pStyle w:val="JudgmentText"/>
        <w:numPr>
          <w:ilvl w:val="0"/>
          <w:numId w:val="0"/>
        </w:numPr>
        <w:ind w:left="720" w:hanging="720"/>
        <w:rPr>
          <w:rFonts w:ascii="Bookman Old Style" w:hAnsi="Bookman Old Style"/>
        </w:rPr>
      </w:pPr>
      <w:r>
        <w:rPr>
          <w:rFonts w:ascii="Bookman Old Style" w:hAnsi="Bookman Old Style"/>
        </w:rPr>
        <w:t>[5</w:t>
      </w:r>
      <w:r w:rsidR="004B05AE">
        <w:rPr>
          <w:rFonts w:ascii="Bookman Old Style" w:hAnsi="Bookman Old Style"/>
        </w:rPr>
        <w:t>]</w:t>
      </w:r>
      <w:r w:rsidR="004B05AE">
        <w:rPr>
          <w:rFonts w:ascii="Bookman Old Style" w:hAnsi="Bookman Old Style"/>
        </w:rPr>
        <w:tab/>
        <w:t xml:space="preserve">A brief history of the facts of the case giving rise to the plaint as transpired on pleadings filed thus far, reveals that the </w:t>
      </w:r>
      <w:r w:rsidR="001A0D5F">
        <w:rPr>
          <w:rFonts w:ascii="Bookman Old Style" w:hAnsi="Bookman Old Style"/>
        </w:rPr>
        <w:t>2</w:t>
      </w:r>
      <w:r w:rsidR="001A0D5F" w:rsidRPr="001A0D5F">
        <w:rPr>
          <w:rFonts w:ascii="Bookman Old Style" w:hAnsi="Bookman Old Style"/>
          <w:vertAlign w:val="superscript"/>
        </w:rPr>
        <w:t>nd</w:t>
      </w:r>
      <w:r w:rsidR="001A0D5F">
        <w:rPr>
          <w:rFonts w:ascii="Bookman Old Style" w:hAnsi="Bookman Old Style"/>
        </w:rPr>
        <w:t xml:space="preserve"> Defendant in </w:t>
      </w:r>
      <w:r w:rsidR="001A0D5F">
        <w:rPr>
          <w:rFonts w:ascii="Bookman Old Style" w:hAnsi="Bookman Old Style"/>
        </w:rPr>
        <w:lastRenderedPageBreak/>
        <w:t xml:space="preserve">the year 2013 had started construction of a </w:t>
      </w:r>
      <w:proofErr w:type="spellStart"/>
      <w:r w:rsidR="001A0D5F">
        <w:rPr>
          <w:rFonts w:ascii="Bookman Old Style" w:hAnsi="Bookman Old Style"/>
        </w:rPr>
        <w:t>motorable</w:t>
      </w:r>
      <w:proofErr w:type="spellEnd"/>
      <w:r w:rsidR="001A0D5F">
        <w:rPr>
          <w:rFonts w:ascii="Bookman Old Style" w:hAnsi="Bookman Old Style"/>
        </w:rPr>
        <w:t xml:space="preserve"> access road onto part of </w:t>
      </w:r>
      <w:r w:rsidR="00444EC6">
        <w:rPr>
          <w:rFonts w:ascii="Bookman Old Style" w:hAnsi="Bookman Old Style"/>
        </w:rPr>
        <w:t>P</w:t>
      </w:r>
      <w:r>
        <w:rPr>
          <w:rFonts w:ascii="Bookman Old Style" w:hAnsi="Bookman Old Style"/>
        </w:rPr>
        <w:t>laintiff’s</w:t>
      </w:r>
      <w:r w:rsidR="001A0D5F">
        <w:rPr>
          <w:rFonts w:ascii="Bookman Old Style" w:hAnsi="Bookman Old Style"/>
        </w:rPr>
        <w:t xml:space="preserve"> property, namely land parcel V4874 </w:t>
      </w:r>
      <w:r>
        <w:rPr>
          <w:rFonts w:ascii="Bookman Old Style" w:hAnsi="Bookman Old Style"/>
        </w:rPr>
        <w:t>with</w:t>
      </w:r>
      <w:r w:rsidR="001A0D5F">
        <w:rPr>
          <w:rFonts w:ascii="Bookman Old Style" w:hAnsi="Bookman Old Style"/>
        </w:rPr>
        <w:t>out having obtained her prior consen</w:t>
      </w:r>
      <w:r>
        <w:rPr>
          <w:rFonts w:ascii="Bookman Old Style" w:hAnsi="Bookman Old Style"/>
        </w:rPr>
        <w:t>t for the said</w:t>
      </w:r>
      <w:r w:rsidR="001A0D5F">
        <w:rPr>
          <w:rFonts w:ascii="Bookman Old Style" w:hAnsi="Bookman Old Style"/>
        </w:rPr>
        <w:t xml:space="preserve"> construction onto her land. It</w:t>
      </w:r>
      <w:r>
        <w:rPr>
          <w:rFonts w:ascii="Bookman Old Style" w:hAnsi="Bookman Old Style"/>
        </w:rPr>
        <w:t xml:space="preserve"> is further alleged that as a re</w:t>
      </w:r>
      <w:r w:rsidR="001A0D5F">
        <w:rPr>
          <w:rFonts w:ascii="Bookman Old Style" w:hAnsi="Bookman Old Style"/>
        </w:rPr>
        <w:t>sult of the actions of the 2</w:t>
      </w:r>
      <w:r w:rsidR="001A0D5F" w:rsidRPr="001A0D5F">
        <w:rPr>
          <w:rFonts w:ascii="Bookman Old Style" w:hAnsi="Bookman Old Style"/>
          <w:vertAlign w:val="superscript"/>
        </w:rPr>
        <w:t>nd</w:t>
      </w:r>
      <w:r w:rsidR="00444EC6">
        <w:rPr>
          <w:rFonts w:ascii="Bookman Old Style" w:hAnsi="Bookman Old Style"/>
        </w:rPr>
        <w:t xml:space="preserve"> D</w:t>
      </w:r>
      <w:r w:rsidR="001A0D5F">
        <w:rPr>
          <w:rFonts w:ascii="Bookman Old Style" w:hAnsi="Bookman Old Style"/>
        </w:rPr>
        <w:t xml:space="preserve">efendant as referred, the </w:t>
      </w:r>
      <w:r>
        <w:rPr>
          <w:rFonts w:ascii="Bookman Old Style" w:hAnsi="Bookman Old Style"/>
        </w:rPr>
        <w:t>be</w:t>
      </w:r>
      <w:r w:rsidR="00444EC6">
        <w:rPr>
          <w:rFonts w:ascii="Bookman Old Style" w:hAnsi="Bookman Old Style"/>
        </w:rPr>
        <w:t>acon demarcation of the P</w:t>
      </w:r>
      <w:r>
        <w:rPr>
          <w:rFonts w:ascii="Bookman Old Style" w:hAnsi="Bookman Old Style"/>
        </w:rPr>
        <w:t>laint</w:t>
      </w:r>
      <w:r w:rsidR="001A0D5F">
        <w:rPr>
          <w:rFonts w:ascii="Bookman Old Style" w:hAnsi="Bookman Old Style"/>
        </w:rPr>
        <w:t xml:space="preserve">iff’s property </w:t>
      </w:r>
      <w:r>
        <w:rPr>
          <w:rFonts w:ascii="Bookman Old Style" w:hAnsi="Bookman Old Style"/>
        </w:rPr>
        <w:t>namely V4874</w:t>
      </w:r>
      <w:r w:rsidR="00257F38">
        <w:rPr>
          <w:rFonts w:ascii="Bookman Old Style" w:hAnsi="Bookman Old Style"/>
        </w:rPr>
        <w:t xml:space="preserve"> </w:t>
      </w:r>
      <w:r>
        <w:rPr>
          <w:rFonts w:ascii="Bookman Old Style" w:hAnsi="Bookman Old Style"/>
        </w:rPr>
        <w:t>were inter</w:t>
      </w:r>
      <w:r w:rsidR="001A0D5F">
        <w:rPr>
          <w:rFonts w:ascii="Bookman Old Style" w:hAnsi="Bookman Old Style"/>
        </w:rPr>
        <w:t>fered with</w:t>
      </w:r>
      <w:r w:rsidR="00257F38">
        <w:rPr>
          <w:rFonts w:ascii="Bookman Old Style" w:hAnsi="Bookman Old Style"/>
        </w:rPr>
        <w:t xml:space="preserve"> </w:t>
      </w:r>
      <w:r w:rsidR="001A0D5F">
        <w:rPr>
          <w:rFonts w:ascii="Bookman Old Style" w:hAnsi="Bookman Old Style"/>
        </w:rPr>
        <w:t xml:space="preserve">and/or removed, the result of which the exact demarcation of her property </w:t>
      </w:r>
      <w:proofErr w:type="spellStart"/>
      <w:r w:rsidR="001A0D5F">
        <w:rPr>
          <w:rFonts w:ascii="Bookman Old Style" w:hAnsi="Bookman Old Style"/>
        </w:rPr>
        <w:t>vis</w:t>
      </w:r>
      <w:proofErr w:type="spellEnd"/>
      <w:r w:rsidR="001A0D5F">
        <w:rPr>
          <w:rFonts w:ascii="Bookman Old Style" w:hAnsi="Bookman Old Style"/>
        </w:rPr>
        <w:t xml:space="preserve"> a </w:t>
      </w:r>
      <w:proofErr w:type="spellStart"/>
      <w:r w:rsidR="001A0D5F">
        <w:rPr>
          <w:rFonts w:ascii="Bookman Old Style" w:hAnsi="Bookman Old Style"/>
        </w:rPr>
        <w:t>vis</w:t>
      </w:r>
      <w:proofErr w:type="spellEnd"/>
      <w:r w:rsidR="001A0D5F">
        <w:rPr>
          <w:rFonts w:ascii="Bookman Old Style" w:hAnsi="Bookman Old Style"/>
        </w:rPr>
        <w:t xml:space="preserve"> the 1</w:t>
      </w:r>
      <w:r w:rsidR="001A0D5F" w:rsidRPr="001A0D5F">
        <w:rPr>
          <w:rFonts w:ascii="Bookman Old Style" w:hAnsi="Bookman Old Style"/>
          <w:vertAlign w:val="superscript"/>
        </w:rPr>
        <w:t>st</w:t>
      </w:r>
      <w:r w:rsidR="00257F38">
        <w:rPr>
          <w:rFonts w:ascii="Bookman Old Style" w:hAnsi="Bookman Old Style"/>
        </w:rPr>
        <w:t xml:space="preserve"> D</w:t>
      </w:r>
      <w:r w:rsidR="001A0D5F">
        <w:rPr>
          <w:rFonts w:ascii="Bookman Old Style" w:hAnsi="Bookman Old Style"/>
        </w:rPr>
        <w:t>efendant cannot now be ascertained on sit</w:t>
      </w:r>
      <w:r>
        <w:rPr>
          <w:rFonts w:ascii="Bookman Old Style" w:hAnsi="Bookman Old Style"/>
        </w:rPr>
        <w:t>e and in law hence allegedly ren</w:t>
      </w:r>
      <w:r w:rsidR="001A0D5F">
        <w:rPr>
          <w:rFonts w:ascii="Bookman Old Style" w:hAnsi="Bookman Old Style"/>
        </w:rPr>
        <w:t>dering the actions of the 2</w:t>
      </w:r>
      <w:r w:rsidR="001A0D5F" w:rsidRPr="001A0D5F">
        <w:rPr>
          <w:rFonts w:ascii="Bookman Old Style" w:hAnsi="Bookman Old Style"/>
          <w:vertAlign w:val="superscript"/>
        </w:rPr>
        <w:t>nd</w:t>
      </w:r>
      <w:r w:rsidR="00257F38">
        <w:rPr>
          <w:rFonts w:ascii="Bookman Old Style" w:hAnsi="Bookman Old Style"/>
          <w:vertAlign w:val="superscript"/>
        </w:rPr>
        <w:t xml:space="preserve"> </w:t>
      </w:r>
      <w:r w:rsidR="00257F38">
        <w:rPr>
          <w:rFonts w:ascii="Bookman Old Style" w:hAnsi="Bookman Old Style"/>
        </w:rPr>
        <w:t>D</w:t>
      </w:r>
      <w:r>
        <w:rPr>
          <w:rFonts w:ascii="Bookman Old Style" w:hAnsi="Bookman Old Style"/>
        </w:rPr>
        <w:t xml:space="preserve">efendant as ‘a </w:t>
      </w:r>
      <w:proofErr w:type="spellStart"/>
      <w:r>
        <w:rPr>
          <w:rFonts w:ascii="Bookman Old Style" w:hAnsi="Bookman Old Style"/>
        </w:rPr>
        <w:t>fau</w:t>
      </w:r>
      <w:r w:rsidR="001A0D5F">
        <w:rPr>
          <w:rFonts w:ascii="Bookman Old Style" w:hAnsi="Bookman Old Style"/>
        </w:rPr>
        <w:t>te</w:t>
      </w:r>
      <w:proofErr w:type="spellEnd"/>
      <w:r>
        <w:rPr>
          <w:rFonts w:ascii="Bookman Old Style" w:hAnsi="Bookman Old Style"/>
        </w:rPr>
        <w:t>’</w:t>
      </w:r>
      <w:r w:rsidR="001A0D5F">
        <w:rPr>
          <w:rFonts w:ascii="Bookman Old Style" w:hAnsi="Bookman Old Style"/>
        </w:rPr>
        <w:t xml:space="preserve"> in law in which the 2</w:t>
      </w:r>
      <w:r w:rsidR="001A0D5F" w:rsidRPr="001A0D5F">
        <w:rPr>
          <w:rFonts w:ascii="Bookman Old Style" w:hAnsi="Bookman Old Style"/>
          <w:vertAlign w:val="superscript"/>
        </w:rPr>
        <w:t>nd</w:t>
      </w:r>
      <w:r w:rsidR="00257F38">
        <w:rPr>
          <w:rFonts w:ascii="Bookman Old Style" w:hAnsi="Bookman Old Style"/>
        </w:rPr>
        <w:t xml:space="preserve"> D</w:t>
      </w:r>
      <w:r w:rsidR="001A0D5F">
        <w:rPr>
          <w:rFonts w:ascii="Bookman Old Style" w:hAnsi="Bookman Old Style"/>
        </w:rPr>
        <w:t>efenda</w:t>
      </w:r>
      <w:r>
        <w:rPr>
          <w:rFonts w:ascii="Bookman Old Style" w:hAnsi="Bookman Old Style"/>
        </w:rPr>
        <w:t>n</w:t>
      </w:r>
      <w:r w:rsidR="00257F38">
        <w:rPr>
          <w:rFonts w:ascii="Bookman Old Style" w:hAnsi="Bookman Old Style"/>
        </w:rPr>
        <w:t>t must make good to the P</w:t>
      </w:r>
      <w:r w:rsidR="001A0D5F">
        <w:rPr>
          <w:rFonts w:ascii="Bookman Old Style" w:hAnsi="Bookman Old Style"/>
        </w:rPr>
        <w:t>laintiff.</w:t>
      </w:r>
    </w:p>
    <w:p w:rsidR="001A0D5F" w:rsidRDefault="00CA2458" w:rsidP="001960B8">
      <w:pPr>
        <w:pStyle w:val="JudgmentText"/>
        <w:numPr>
          <w:ilvl w:val="0"/>
          <w:numId w:val="0"/>
        </w:numPr>
        <w:ind w:left="720" w:hanging="720"/>
        <w:rPr>
          <w:rFonts w:ascii="Bookman Old Style" w:hAnsi="Bookman Old Style"/>
        </w:rPr>
      </w:pPr>
      <w:r>
        <w:rPr>
          <w:rFonts w:ascii="Bookman Old Style" w:hAnsi="Bookman Old Style"/>
        </w:rPr>
        <w:t>[6</w:t>
      </w:r>
      <w:r w:rsidR="001A0D5F">
        <w:rPr>
          <w:rFonts w:ascii="Bookman Old Style" w:hAnsi="Bookman Old Style"/>
        </w:rPr>
        <w:t>]</w:t>
      </w:r>
      <w:r w:rsidR="001A0D5F">
        <w:rPr>
          <w:rFonts w:ascii="Bookman Old Style" w:hAnsi="Bookman Old Style"/>
        </w:rPr>
        <w:tab/>
        <w:t xml:space="preserve">The pleadings also </w:t>
      </w:r>
      <w:r w:rsidR="007C634B">
        <w:rPr>
          <w:rFonts w:ascii="Bookman Old Style" w:hAnsi="Bookman Old Style"/>
        </w:rPr>
        <w:t xml:space="preserve">admittedly </w:t>
      </w:r>
      <w:r w:rsidR="001A0D5F">
        <w:rPr>
          <w:rFonts w:ascii="Bookman Old Style" w:hAnsi="Bookman Old Style"/>
        </w:rPr>
        <w:t>reveals that the 1</w:t>
      </w:r>
      <w:r w:rsidR="001A0D5F" w:rsidRPr="001A0D5F">
        <w:rPr>
          <w:rFonts w:ascii="Bookman Old Style" w:hAnsi="Bookman Old Style"/>
          <w:vertAlign w:val="superscript"/>
        </w:rPr>
        <w:t>st</w:t>
      </w:r>
      <w:r w:rsidR="00257F38">
        <w:rPr>
          <w:rFonts w:ascii="Bookman Old Style" w:hAnsi="Bookman Old Style"/>
        </w:rPr>
        <w:t xml:space="preserve"> D</w:t>
      </w:r>
      <w:r w:rsidR="001A0D5F">
        <w:rPr>
          <w:rFonts w:ascii="Bookman Old Style" w:hAnsi="Bookman Old Style"/>
        </w:rPr>
        <w:t xml:space="preserve">efendant is owner of an adjoining parcel of land </w:t>
      </w:r>
      <w:r w:rsidR="007C634B">
        <w:rPr>
          <w:rFonts w:ascii="Bookman Old Style" w:hAnsi="Bookman Old Style"/>
        </w:rPr>
        <w:t xml:space="preserve">to that </w:t>
      </w:r>
      <w:r w:rsidR="00257F38">
        <w:rPr>
          <w:rFonts w:ascii="Bookman Old Style" w:hAnsi="Bookman Old Style"/>
        </w:rPr>
        <w:t>of the P</w:t>
      </w:r>
      <w:r w:rsidR="001A0D5F">
        <w:rPr>
          <w:rFonts w:ascii="Bookman Old Style" w:hAnsi="Bookman Old Style"/>
        </w:rPr>
        <w:t>lain</w:t>
      </w:r>
      <w:r w:rsidR="007C634B">
        <w:rPr>
          <w:rFonts w:ascii="Bookman Old Style" w:hAnsi="Bookman Old Style"/>
        </w:rPr>
        <w:t>t</w:t>
      </w:r>
      <w:r w:rsidR="001A0D5F">
        <w:rPr>
          <w:rFonts w:ascii="Bookman Old Style" w:hAnsi="Bookman Old Style"/>
        </w:rPr>
        <w:t xml:space="preserve">iff’s land </w:t>
      </w:r>
      <w:r>
        <w:rPr>
          <w:rFonts w:ascii="Bookman Old Style" w:hAnsi="Bookman Old Style"/>
        </w:rPr>
        <w:t xml:space="preserve">as </w:t>
      </w:r>
      <w:r w:rsidR="001A0D5F">
        <w:rPr>
          <w:rFonts w:ascii="Bookman Old Style" w:hAnsi="Bookman Old Style"/>
        </w:rPr>
        <w:t>averred being namely</w:t>
      </w:r>
      <w:r w:rsidR="00257F38">
        <w:rPr>
          <w:rFonts w:ascii="Bookman Old Style" w:hAnsi="Bookman Old Style"/>
        </w:rPr>
        <w:t xml:space="preserve"> </w:t>
      </w:r>
      <w:r>
        <w:rPr>
          <w:rFonts w:ascii="Bookman Old Style" w:hAnsi="Bookman Old Style"/>
        </w:rPr>
        <w:t xml:space="preserve">parcel </w:t>
      </w:r>
      <w:r w:rsidR="001A0D5F">
        <w:rPr>
          <w:rFonts w:ascii="Bookman Old Style" w:hAnsi="Bookman Old Style"/>
        </w:rPr>
        <w:t>V11514.</w:t>
      </w:r>
    </w:p>
    <w:p w:rsidR="007C634B" w:rsidRDefault="00CA2458" w:rsidP="001960B8">
      <w:pPr>
        <w:pStyle w:val="JudgmentText"/>
        <w:numPr>
          <w:ilvl w:val="0"/>
          <w:numId w:val="0"/>
        </w:numPr>
        <w:ind w:left="720" w:hanging="720"/>
        <w:rPr>
          <w:rFonts w:ascii="Bookman Old Style" w:hAnsi="Bookman Old Style"/>
        </w:rPr>
      </w:pPr>
      <w:r>
        <w:rPr>
          <w:rFonts w:ascii="Bookman Old Style" w:hAnsi="Bookman Old Style"/>
        </w:rPr>
        <w:t>[7</w:t>
      </w:r>
      <w:r w:rsidR="007C634B">
        <w:rPr>
          <w:rFonts w:ascii="Bookman Old Style" w:hAnsi="Bookman Old Style"/>
        </w:rPr>
        <w:t>]</w:t>
      </w:r>
      <w:r w:rsidR="007C634B">
        <w:rPr>
          <w:rFonts w:ascii="Bookman Old Style" w:hAnsi="Bookman Old Style"/>
        </w:rPr>
        <w:tab/>
        <w:t xml:space="preserve">It is not disputed </w:t>
      </w:r>
      <w:r>
        <w:rPr>
          <w:rFonts w:ascii="Bookman Old Style" w:hAnsi="Bookman Old Style"/>
        </w:rPr>
        <w:t xml:space="preserve">either </w:t>
      </w:r>
      <w:r w:rsidR="007C634B">
        <w:rPr>
          <w:rFonts w:ascii="Bookman Old Style" w:hAnsi="Bookman Old Style"/>
        </w:rPr>
        <w:t>that the 2</w:t>
      </w:r>
      <w:r w:rsidR="007C634B" w:rsidRPr="007C634B">
        <w:rPr>
          <w:rFonts w:ascii="Bookman Old Style" w:hAnsi="Bookman Old Style"/>
          <w:vertAlign w:val="superscript"/>
        </w:rPr>
        <w:t>nd</w:t>
      </w:r>
      <w:r w:rsidR="00257F38">
        <w:rPr>
          <w:rFonts w:ascii="Bookman Old Style" w:hAnsi="Bookman Old Style"/>
        </w:rPr>
        <w:t xml:space="preserve"> D</w:t>
      </w:r>
      <w:r w:rsidR="007C634B">
        <w:rPr>
          <w:rFonts w:ascii="Bookman Old Style" w:hAnsi="Bookman Old Style"/>
        </w:rPr>
        <w:t xml:space="preserve">efendant started the construction of a </w:t>
      </w:r>
      <w:proofErr w:type="spellStart"/>
      <w:r w:rsidR="007C634B">
        <w:rPr>
          <w:rFonts w:ascii="Bookman Old Style" w:hAnsi="Bookman Old Style"/>
        </w:rPr>
        <w:t>motorable</w:t>
      </w:r>
      <w:proofErr w:type="spellEnd"/>
      <w:r w:rsidR="007C634B">
        <w:rPr>
          <w:rFonts w:ascii="Bookman Old Style" w:hAnsi="Bookman Old Style"/>
        </w:rPr>
        <w:t xml:space="preserve"> access road in the year 2013 </w:t>
      </w:r>
      <w:r>
        <w:rPr>
          <w:rFonts w:ascii="Bookman Old Style" w:hAnsi="Bookman Old Style"/>
        </w:rPr>
        <w:t>but it is however averred by the 2</w:t>
      </w:r>
      <w:r w:rsidRPr="00CA2458">
        <w:rPr>
          <w:rFonts w:ascii="Bookman Old Style" w:hAnsi="Bookman Old Style"/>
          <w:vertAlign w:val="superscript"/>
        </w:rPr>
        <w:t>nd</w:t>
      </w:r>
      <w:r w:rsidR="00257F38">
        <w:rPr>
          <w:rFonts w:ascii="Bookman Old Style" w:hAnsi="Bookman Old Style"/>
        </w:rPr>
        <w:t xml:space="preserve"> D</w:t>
      </w:r>
      <w:r>
        <w:rPr>
          <w:rFonts w:ascii="Bookman Old Style" w:hAnsi="Bookman Old Style"/>
        </w:rPr>
        <w:t xml:space="preserve">efendant in rebuttal </w:t>
      </w:r>
      <w:r w:rsidR="007C634B">
        <w:rPr>
          <w:rFonts w:ascii="Bookman Old Style" w:hAnsi="Bookman Old Style"/>
        </w:rPr>
        <w:t xml:space="preserve">that all necessary prior consents of all parties affected by any intended encroachments were duly notified. </w:t>
      </w:r>
    </w:p>
    <w:p w:rsidR="00FD16BD" w:rsidRDefault="005248A7" w:rsidP="001960B8">
      <w:pPr>
        <w:pStyle w:val="JudgmentText"/>
        <w:numPr>
          <w:ilvl w:val="0"/>
          <w:numId w:val="0"/>
        </w:numPr>
        <w:ind w:left="720" w:hanging="720"/>
        <w:rPr>
          <w:rFonts w:ascii="Bookman Old Style" w:hAnsi="Bookman Old Style"/>
        </w:rPr>
      </w:pPr>
      <w:r w:rsidRPr="00720EA9">
        <w:rPr>
          <w:rFonts w:ascii="Bookman Old Style" w:hAnsi="Bookman Old Style"/>
        </w:rPr>
        <w:t>[</w:t>
      </w:r>
      <w:r w:rsidR="00CA2458">
        <w:rPr>
          <w:rFonts w:ascii="Bookman Old Style" w:hAnsi="Bookman Old Style"/>
        </w:rPr>
        <w:t>8</w:t>
      </w:r>
      <w:r w:rsidRPr="00720EA9">
        <w:rPr>
          <w:rFonts w:ascii="Bookman Old Style" w:hAnsi="Bookman Old Style"/>
        </w:rPr>
        <w:t>]</w:t>
      </w:r>
      <w:r w:rsidRPr="00720EA9">
        <w:rPr>
          <w:rFonts w:ascii="Bookman Old Style" w:hAnsi="Bookman Old Style"/>
        </w:rPr>
        <w:tab/>
      </w:r>
      <w:r w:rsidR="005B7B62" w:rsidRPr="00720EA9">
        <w:rPr>
          <w:rFonts w:ascii="Bookman Old Style" w:hAnsi="Bookman Old Style"/>
        </w:rPr>
        <w:t xml:space="preserve">Now, </w:t>
      </w:r>
      <w:r w:rsidR="00D50CB6">
        <w:rPr>
          <w:rFonts w:ascii="Bookman Old Style" w:hAnsi="Bookman Old Style"/>
        </w:rPr>
        <w:t>this Court notes t</w:t>
      </w:r>
      <w:r w:rsidR="007C634B">
        <w:rPr>
          <w:rFonts w:ascii="Bookman Old Style" w:hAnsi="Bookman Old Style"/>
        </w:rPr>
        <w:t xml:space="preserve">hat points of law raised by both </w:t>
      </w:r>
      <w:r w:rsidR="00D50CB6">
        <w:rPr>
          <w:rFonts w:ascii="Bookman Old Style" w:hAnsi="Bookman Old Style"/>
        </w:rPr>
        <w:t>Defendants</w:t>
      </w:r>
      <w:r w:rsidR="00CC4199">
        <w:rPr>
          <w:rFonts w:ascii="Bookman Old Style" w:hAnsi="Bookman Old Style"/>
        </w:rPr>
        <w:t xml:space="preserve"> are </w:t>
      </w:r>
      <w:r w:rsidR="007C634B">
        <w:rPr>
          <w:rFonts w:ascii="Bookman Old Style" w:hAnsi="Bookman Old Style"/>
        </w:rPr>
        <w:t>twofold by nature</w:t>
      </w:r>
      <w:r w:rsidR="00CC4199">
        <w:rPr>
          <w:rFonts w:ascii="Bookman Old Style" w:hAnsi="Bookman Old Style"/>
        </w:rPr>
        <w:t xml:space="preserve"> and each</w:t>
      </w:r>
      <w:r w:rsidR="00D50CB6">
        <w:rPr>
          <w:rFonts w:ascii="Bookman Old Style" w:hAnsi="Bookman Old Style"/>
        </w:rPr>
        <w:t xml:space="preserve"> stands on their own and should any one of them be upheld then the whole case will be disposed of</w:t>
      </w:r>
      <w:r w:rsidR="00CC1101">
        <w:rPr>
          <w:rFonts w:ascii="Bookman Old Style" w:hAnsi="Bookman Old Style"/>
        </w:rPr>
        <w:t xml:space="preserve"> hence the redundancy</w:t>
      </w:r>
      <w:r w:rsidR="00CC4199">
        <w:rPr>
          <w:rFonts w:ascii="Bookman Old Style" w:hAnsi="Bookman Old Style"/>
        </w:rPr>
        <w:t xml:space="preserve"> of the other remaining grounds as a result.</w:t>
      </w:r>
    </w:p>
    <w:p w:rsidR="00FD16BD" w:rsidRDefault="00FD16BD" w:rsidP="001960B8">
      <w:pPr>
        <w:pStyle w:val="JudgmentText"/>
        <w:numPr>
          <w:ilvl w:val="0"/>
          <w:numId w:val="0"/>
        </w:numPr>
        <w:ind w:left="720" w:hanging="720"/>
        <w:rPr>
          <w:rFonts w:ascii="Bookman Old Style" w:hAnsi="Bookman Old Style"/>
        </w:rPr>
      </w:pPr>
      <w:r>
        <w:rPr>
          <w:rFonts w:ascii="Bookman Old Style" w:hAnsi="Bookman Old Style"/>
        </w:rPr>
        <w:t>[</w:t>
      </w:r>
      <w:r w:rsidR="00CA2458">
        <w:rPr>
          <w:rFonts w:ascii="Bookman Old Style" w:hAnsi="Bookman Old Style"/>
        </w:rPr>
        <w:t>9</w:t>
      </w:r>
      <w:r>
        <w:rPr>
          <w:rFonts w:ascii="Bookman Old Style" w:hAnsi="Bookman Old Style"/>
        </w:rPr>
        <w:t>]</w:t>
      </w:r>
      <w:r>
        <w:rPr>
          <w:rFonts w:ascii="Bookman Old Style" w:hAnsi="Bookman Old Style"/>
        </w:rPr>
        <w:tab/>
        <w:t xml:space="preserve">It follows, therefore that I will thus treat the first plea in </w:t>
      </w:r>
      <w:proofErr w:type="spellStart"/>
      <w:r>
        <w:rPr>
          <w:rFonts w:ascii="Bookman Old Style" w:hAnsi="Bookman Old Style"/>
        </w:rPr>
        <w:t>limine</w:t>
      </w:r>
      <w:proofErr w:type="spellEnd"/>
      <w:r>
        <w:rPr>
          <w:rFonts w:ascii="Bookman Old Style" w:hAnsi="Bookman Old Style"/>
        </w:rPr>
        <w:t xml:space="preserve"> </w:t>
      </w:r>
      <w:proofErr w:type="spellStart"/>
      <w:r w:rsidR="00CC4199">
        <w:rPr>
          <w:rFonts w:ascii="Bookman Old Style" w:hAnsi="Bookman Old Style"/>
        </w:rPr>
        <w:t>litis</w:t>
      </w:r>
      <w:proofErr w:type="spellEnd"/>
      <w:r w:rsidR="00CC4199">
        <w:rPr>
          <w:rFonts w:ascii="Bookman Old Style" w:hAnsi="Bookman Old Style"/>
        </w:rPr>
        <w:t xml:space="preserve"> </w:t>
      </w:r>
      <w:r w:rsidR="00257F38">
        <w:rPr>
          <w:rFonts w:ascii="Bookman Old Style" w:hAnsi="Bookman Old Style"/>
        </w:rPr>
        <w:t>in respect of both D</w:t>
      </w:r>
      <w:r w:rsidR="007C634B">
        <w:rPr>
          <w:rFonts w:ascii="Bookman Old Style" w:hAnsi="Bookman Old Style"/>
        </w:rPr>
        <w:t>efendants separately n</w:t>
      </w:r>
      <w:r>
        <w:rPr>
          <w:rFonts w:ascii="Bookman Old Style" w:hAnsi="Bookman Old Style"/>
        </w:rPr>
        <w:t>ame</w:t>
      </w:r>
      <w:r w:rsidR="007C634B">
        <w:rPr>
          <w:rFonts w:ascii="Bookman Old Style" w:hAnsi="Bookman Old Style"/>
        </w:rPr>
        <w:t xml:space="preserve">ly, as to whether the plaint discloses any reasonable </w:t>
      </w:r>
      <w:r w:rsidR="00257F38">
        <w:rPr>
          <w:rFonts w:ascii="Bookman Old Style" w:hAnsi="Bookman Old Style"/>
        </w:rPr>
        <w:t>cause of action as against the D</w:t>
      </w:r>
      <w:r w:rsidR="007C634B">
        <w:rPr>
          <w:rFonts w:ascii="Bookman Old Style" w:hAnsi="Bookman Old Style"/>
        </w:rPr>
        <w:t>efendants</w:t>
      </w:r>
      <w:r>
        <w:rPr>
          <w:rFonts w:ascii="Bookman Old Style" w:hAnsi="Bookman Old Style"/>
        </w:rPr>
        <w:t>.</w:t>
      </w:r>
      <w:r w:rsidR="007C634B">
        <w:rPr>
          <w:rFonts w:ascii="Bookman Old Style" w:hAnsi="Bookman Old Style"/>
        </w:rPr>
        <w:t xml:space="preserve"> I will further for sake of clarity then move on to treat the second limb of the 2</w:t>
      </w:r>
      <w:r w:rsidR="007C634B" w:rsidRPr="007C634B">
        <w:rPr>
          <w:rFonts w:ascii="Bookman Old Style" w:hAnsi="Bookman Old Style"/>
          <w:vertAlign w:val="superscript"/>
        </w:rPr>
        <w:t>nd</w:t>
      </w:r>
      <w:r w:rsidR="00257F38">
        <w:rPr>
          <w:rFonts w:ascii="Bookman Old Style" w:hAnsi="Bookman Old Style"/>
        </w:rPr>
        <w:t xml:space="preserve"> D</w:t>
      </w:r>
      <w:r w:rsidR="007C634B">
        <w:rPr>
          <w:rFonts w:ascii="Bookman Old Style" w:hAnsi="Bookman Old Style"/>
        </w:rPr>
        <w:t xml:space="preserve">efendant’s plea in </w:t>
      </w:r>
      <w:proofErr w:type="spellStart"/>
      <w:r w:rsidR="007C634B">
        <w:rPr>
          <w:rFonts w:ascii="Bookman Old Style" w:hAnsi="Bookman Old Style"/>
        </w:rPr>
        <w:t>limine</w:t>
      </w:r>
      <w:proofErr w:type="spellEnd"/>
      <w:r w:rsidR="007C634B">
        <w:rPr>
          <w:rFonts w:ascii="Bookman Old Style" w:hAnsi="Bookman Old Style"/>
        </w:rPr>
        <w:t xml:space="preserve"> </w:t>
      </w:r>
      <w:proofErr w:type="spellStart"/>
      <w:r w:rsidR="00334843">
        <w:rPr>
          <w:rFonts w:ascii="Bookman Old Style" w:hAnsi="Bookman Old Style"/>
        </w:rPr>
        <w:t>litis</w:t>
      </w:r>
      <w:proofErr w:type="spellEnd"/>
      <w:r w:rsidR="00334843">
        <w:rPr>
          <w:rFonts w:ascii="Bookman Old Style" w:hAnsi="Bookman Old Style"/>
        </w:rPr>
        <w:t xml:space="preserve"> </w:t>
      </w:r>
      <w:r w:rsidR="007C634B">
        <w:rPr>
          <w:rFonts w:ascii="Bookman Old Style" w:hAnsi="Bookman Old Style"/>
        </w:rPr>
        <w:t>as above-illustrated.</w:t>
      </w:r>
    </w:p>
    <w:p w:rsidR="00334843" w:rsidRDefault="004107F6" w:rsidP="001960B8">
      <w:pPr>
        <w:pStyle w:val="JudgmentText"/>
        <w:numPr>
          <w:ilvl w:val="0"/>
          <w:numId w:val="0"/>
        </w:numPr>
        <w:ind w:left="720" w:hanging="720"/>
        <w:rPr>
          <w:rFonts w:ascii="Bookman Old Style" w:hAnsi="Bookman Old Style"/>
          <w:b/>
        </w:rPr>
      </w:pPr>
      <w:r>
        <w:rPr>
          <w:rFonts w:ascii="Bookman Old Style" w:hAnsi="Bookman Old Style"/>
        </w:rPr>
        <w:t>[10</w:t>
      </w:r>
      <w:r w:rsidR="00FD16BD">
        <w:rPr>
          <w:rFonts w:ascii="Bookman Old Style" w:hAnsi="Bookman Old Style"/>
        </w:rPr>
        <w:t>]</w:t>
      </w:r>
      <w:r w:rsidR="00FD16BD">
        <w:rPr>
          <w:rFonts w:ascii="Bookman Old Style" w:hAnsi="Bookman Old Style"/>
        </w:rPr>
        <w:tab/>
      </w:r>
      <w:r>
        <w:rPr>
          <w:rFonts w:ascii="Bookman Old Style" w:hAnsi="Bookman Old Style"/>
        </w:rPr>
        <w:t>Vis-a-</w:t>
      </w:r>
      <w:proofErr w:type="spellStart"/>
      <w:r w:rsidR="00334843">
        <w:rPr>
          <w:rFonts w:ascii="Bookman Old Style" w:hAnsi="Bookman Old Style"/>
        </w:rPr>
        <w:t>vis</w:t>
      </w:r>
      <w:proofErr w:type="spellEnd"/>
      <w:r w:rsidR="00334843">
        <w:rPr>
          <w:rFonts w:ascii="Bookman Old Style" w:hAnsi="Bookman Old Style"/>
        </w:rPr>
        <w:t xml:space="preserve"> the first plea in </w:t>
      </w:r>
      <w:proofErr w:type="spellStart"/>
      <w:r w:rsidR="00257F38">
        <w:rPr>
          <w:rFonts w:ascii="Bookman Old Style" w:hAnsi="Bookman Old Style"/>
        </w:rPr>
        <w:t>limine</w:t>
      </w:r>
      <w:proofErr w:type="spellEnd"/>
      <w:r w:rsidR="00257F38">
        <w:rPr>
          <w:rFonts w:ascii="Bookman Old Style" w:hAnsi="Bookman Old Style"/>
        </w:rPr>
        <w:t xml:space="preserve"> </w:t>
      </w:r>
      <w:proofErr w:type="spellStart"/>
      <w:r w:rsidR="00257F38">
        <w:rPr>
          <w:rFonts w:ascii="Bookman Old Style" w:hAnsi="Bookman Old Style"/>
        </w:rPr>
        <w:t>litis</w:t>
      </w:r>
      <w:proofErr w:type="spellEnd"/>
      <w:r w:rsidR="00257F38">
        <w:rPr>
          <w:rFonts w:ascii="Bookman Old Style" w:hAnsi="Bookman Old Style"/>
        </w:rPr>
        <w:t xml:space="preserve"> as raised by both D</w:t>
      </w:r>
      <w:r w:rsidR="00334843">
        <w:rPr>
          <w:rFonts w:ascii="Bookman Old Style" w:hAnsi="Bookman Old Style"/>
        </w:rPr>
        <w:t xml:space="preserve">efendants namely that the plaint discloses no reasonable cause of action as against the </w:t>
      </w:r>
      <w:r w:rsidR="00257F38">
        <w:rPr>
          <w:rFonts w:ascii="Bookman Old Style" w:hAnsi="Bookman Old Style"/>
        </w:rPr>
        <w:lastRenderedPageBreak/>
        <w:t>D</w:t>
      </w:r>
      <w:r w:rsidR="00334843">
        <w:rPr>
          <w:rFonts w:ascii="Bookman Old Style" w:hAnsi="Bookman Old Style"/>
        </w:rPr>
        <w:t xml:space="preserve">efendants, it is to be noted that our local case law, is very clear in that respect, </w:t>
      </w:r>
      <w:r>
        <w:rPr>
          <w:rFonts w:ascii="Bookman Old Style" w:hAnsi="Bookman Old Style"/>
        </w:rPr>
        <w:t xml:space="preserve">specifying and without room for ambiguity, </w:t>
      </w:r>
      <w:r w:rsidR="00334843">
        <w:rPr>
          <w:rFonts w:ascii="Bookman Old Style" w:hAnsi="Bookman Old Style"/>
        </w:rPr>
        <w:t xml:space="preserve">that in determining whether or not a plaint discloses a reasonable cause of action, </w:t>
      </w:r>
      <w:r w:rsidR="00334843" w:rsidRPr="00334843">
        <w:rPr>
          <w:rFonts w:ascii="Bookman Old Style" w:hAnsi="Bookman Old Style"/>
          <w:b/>
          <w:i/>
        </w:rPr>
        <w:t>it is the obligation of the Court to look only at the pleadings and not the evidence as such</w:t>
      </w:r>
      <w:r w:rsidR="00334843">
        <w:rPr>
          <w:rFonts w:ascii="Bookman Old Style" w:hAnsi="Bookman Old Style"/>
        </w:rPr>
        <w:t xml:space="preserve">. (Vide: inter alia, the cases of </w:t>
      </w:r>
      <w:r w:rsidR="00334843" w:rsidRPr="00E529FE">
        <w:rPr>
          <w:rFonts w:ascii="Bookman Old Style" w:hAnsi="Bookman Old Style"/>
          <w:b/>
        </w:rPr>
        <w:t>Gerome v Attorney General (1</w:t>
      </w:r>
      <w:r w:rsidR="00892AF6">
        <w:rPr>
          <w:rFonts w:ascii="Bookman Old Style" w:hAnsi="Bookman Old Style"/>
          <w:b/>
        </w:rPr>
        <w:t xml:space="preserve">970); </w:t>
      </w:r>
      <w:proofErr w:type="spellStart"/>
      <w:r w:rsidR="00892AF6">
        <w:rPr>
          <w:rFonts w:ascii="Bookman Old Style" w:hAnsi="Bookman Old Style"/>
          <w:b/>
        </w:rPr>
        <w:t>Albest</w:t>
      </w:r>
      <w:proofErr w:type="spellEnd"/>
      <w:r w:rsidR="00892AF6">
        <w:rPr>
          <w:rFonts w:ascii="Bookman Old Style" w:hAnsi="Bookman Old Style"/>
          <w:b/>
        </w:rPr>
        <w:t xml:space="preserve"> v </w:t>
      </w:r>
      <w:proofErr w:type="spellStart"/>
      <w:r w:rsidR="00892AF6">
        <w:rPr>
          <w:rFonts w:ascii="Bookman Old Style" w:hAnsi="Bookman Old Style"/>
          <w:b/>
        </w:rPr>
        <w:t>Stravens</w:t>
      </w:r>
      <w:proofErr w:type="spellEnd"/>
      <w:r w:rsidR="00892AF6">
        <w:rPr>
          <w:rFonts w:ascii="Bookman Old Style" w:hAnsi="Bookman Old Style"/>
          <w:b/>
        </w:rPr>
        <w:t xml:space="preserve"> (No. 1 (</w:t>
      </w:r>
      <w:r w:rsidR="00334843" w:rsidRPr="00E529FE">
        <w:rPr>
          <w:rFonts w:ascii="Bookman Old Style" w:hAnsi="Bookman Old Style"/>
          <w:b/>
        </w:rPr>
        <w:t>1976)</w:t>
      </w:r>
      <w:r w:rsidR="00892AF6">
        <w:rPr>
          <w:rFonts w:ascii="Bookman Old Style" w:hAnsi="Bookman Old Style"/>
          <w:b/>
        </w:rPr>
        <w:t>)</w:t>
      </w:r>
      <w:r w:rsidR="00334843" w:rsidRPr="00E529FE">
        <w:rPr>
          <w:rFonts w:ascii="Bookman Old Style" w:hAnsi="Bookman Old Style"/>
          <w:b/>
        </w:rPr>
        <w:t xml:space="preserve">; </w:t>
      </w:r>
      <w:proofErr w:type="spellStart"/>
      <w:r w:rsidR="00334843" w:rsidRPr="00E529FE">
        <w:rPr>
          <w:rFonts w:ascii="Bookman Old Style" w:hAnsi="Bookman Old Style"/>
          <w:b/>
        </w:rPr>
        <w:t>Oceangate</w:t>
      </w:r>
      <w:proofErr w:type="spellEnd"/>
      <w:r w:rsidR="00334843" w:rsidRPr="00E529FE">
        <w:rPr>
          <w:rFonts w:ascii="Bookman Old Style" w:hAnsi="Bookman Old Style"/>
          <w:b/>
        </w:rPr>
        <w:t xml:space="preserve"> Law Centre v </w:t>
      </w:r>
      <w:proofErr w:type="spellStart"/>
      <w:r w:rsidR="00334843" w:rsidRPr="00E529FE">
        <w:rPr>
          <w:rFonts w:ascii="Bookman Old Style" w:hAnsi="Bookman Old Style"/>
          <w:b/>
        </w:rPr>
        <w:t>Monchouguy</w:t>
      </w:r>
      <w:proofErr w:type="spellEnd"/>
      <w:r w:rsidR="00334843" w:rsidRPr="00E529FE">
        <w:rPr>
          <w:rFonts w:ascii="Bookman Old Style" w:hAnsi="Bookman Old Style"/>
          <w:b/>
        </w:rPr>
        <w:t xml:space="preserve"> (1984) and Get High (Pty) </w:t>
      </w:r>
      <w:r w:rsidR="00334843">
        <w:rPr>
          <w:rFonts w:ascii="Bookman Old Style" w:hAnsi="Bookman Old Style"/>
          <w:b/>
        </w:rPr>
        <w:t>Ltd and O</w:t>
      </w:r>
      <w:r w:rsidR="00334843" w:rsidRPr="00E529FE">
        <w:rPr>
          <w:rFonts w:ascii="Bookman Old Style" w:hAnsi="Bookman Old Style"/>
          <w:b/>
        </w:rPr>
        <w:t xml:space="preserve">rs v Steve </w:t>
      </w:r>
      <w:proofErr w:type="spellStart"/>
      <w:r w:rsidR="00334843" w:rsidRPr="00E529FE">
        <w:rPr>
          <w:rFonts w:ascii="Bookman Old Style" w:hAnsi="Bookman Old Style"/>
          <w:b/>
        </w:rPr>
        <w:t>Gerrad</w:t>
      </w:r>
      <w:proofErr w:type="spellEnd"/>
      <w:r w:rsidR="00334843" w:rsidRPr="00E529FE">
        <w:rPr>
          <w:rFonts w:ascii="Bookman Old Style" w:hAnsi="Bookman Old Style"/>
          <w:b/>
        </w:rPr>
        <w:t xml:space="preserve"> and Ors (Commercial Case No. 08 of 2012).</w:t>
      </w:r>
    </w:p>
    <w:p w:rsidR="00892AF6" w:rsidRPr="00A852ED" w:rsidRDefault="00892AF6" w:rsidP="001960B8">
      <w:pPr>
        <w:pStyle w:val="JudgmentText"/>
        <w:numPr>
          <w:ilvl w:val="0"/>
          <w:numId w:val="0"/>
        </w:numPr>
        <w:ind w:left="1440" w:hanging="720"/>
        <w:rPr>
          <w:rFonts w:ascii="Bookman Old Style" w:hAnsi="Bookman Old Style"/>
        </w:rPr>
      </w:pPr>
      <w:r w:rsidRPr="00A852ED">
        <w:rPr>
          <w:rFonts w:ascii="Bookman Old Style" w:hAnsi="Bookman Old Style"/>
        </w:rPr>
        <w:t xml:space="preserve">(Emphasis in mine). </w:t>
      </w:r>
    </w:p>
    <w:p w:rsidR="004107F6" w:rsidRDefault="004107F6" w:rsidP="001960B8">
      <w:pPr>
        <w:pStyle w:val="JudgmentText"/>
        <w:numPr>
          <w:ilvl w:val="0"/>
          <w:numId w:val="0"/>
        </w:numPr>
        <w:ind w:left="720" w:hanging="720"/>
        <w:rPr>
          <w:rFonts w:ascii="Bookman Old Style" w:hAnsi="Bookman Old Style"/>
        </w:rPr>
      </w:pPr>
      <w:r>
        <w:rPr>
          <w:rFonts w:ascii="Bookman Old Style" w:hAnsi="Bookman Old Style"/>
        </w:rPr>
        <w:t>[11</w:t>
      </w:r>
      <w:r w:rsidR="00334843">
        <w:rPr>
          <w:rFonts w:ascii="Bookman Old Style" w:hAnsi="Bookman Old Style"/>
        </w:rPr>
        <w:t>]</w:t>
      </w:r>
      <w:r w:rsidR="00334843">
        <w:rPr>
          <w:rFonts w:ascii="Bookman Old Style" w:hAnsi="Bookman Old Style"/>
        </w:rPr>
        <w:tab/>
      </w:r>
      <w:r w:rsidR="00334843" w:rsidRPr="004107F6">
        <w:rPr>
          <w:rFonts w:ascii="Bookman Old Style" w:hAnsi="Bookman Old Style"/>
        </w:rPr>
        <w:t>Section 92 of the Seychelles Code of Civil Procedure</w:t>
      </w:r>
      <w:r>
        <w:rPr>
          <w:rFonts w:ascii="Bookman Old Style" w:hAnsi="Bookman Old Style"/>
        </w:rPr>
        <w:t xml:space="preserve">(Cap 213) (hereinafter referred to as “the Code”), </w:t>
      </w:r>
      <w:r w:rsidR="00334843">
        <w:rPr>
          <w:rFonts w:ascii="Bookman Old Style" w:hAnsi="Bookman Old Style"/>
        </w:rPr>
        <w:t>allows the Court to strike out a pleading that discloses no reasonable cause of action and to dismiss the action. It provides that:</w:t>
      </w:r>
    </w:p>
    <w:p w:rsidR="00334843" w:rsidRPr="00892AF6" w:rsidRDefault="004107F6" w:rsidP="001960B8">
      <w:pPr>
        <w:pStyle w:val="JudgmentText"/>
        <w:numPr>
          <w:ilvl w:val="0"/>
          <w:numId w:val="0"/>
        </w:numPr>
        <w:ind w:left="720" w:hanging="720"/>
        <w:rPr>
          <w:rFonts w:ascii="Bookman Old Style" w:hAnsi="Bookman Old Style"/>
        </w:rPr>
      </w:pPr>
      <w:r>
        <w:rPr>
          <w:rFonts w:ascii="Bookman Old Style" w:hAnsi="Bookman Old Style"/>
        </w:rPr>
        <w:tab/>
      </w:r>
      <w:r w:rsidRPr="00892AF6">
        <w:rPr>
          <w:rFonts w:ascii="Bookman Old Style" w:hAnsi="Bookman Old Style"/>
          <w:i/>
        </w:rPr>
        <w:t>“</w:t>
      </w:r>
      <w:r w:rsidR="00334843" w:rsidRPr="00892AF6">
        <w:rPr>
          <w:rFonts w:ascii="Bookman Old Style" w:hAnsi="Bookman Old Style"/>
          <w:i/>
        </w:rPr>
        <w:t>The Court may order any pleading to be struck out, on the ground that it discloses no reasonable cause of action</w:t>
      </w:r>
      <w:r w:rsidRPr="00892AF6">
        <w:rPr>
          <w:rFonts w:ascii="Bookman Old Style" w:hAnsi="Bookman Old Style"/>
          <w:i/>
        </w:rPr>
        <w:t xml:space="preserve"> or answer, and in such case</w:t>
      </w:r>
      <w:r w:rsidR="00257F38">
        <w:rPr>
          <w:rFonts w:ascii="Bookman Old Style" w:hAnsi="Bookman Old Style"/>
          <w:i/>
        </w:rPr>
        <w:t>, the C</w:t>
      </w:r>
      <w:r w:rsidR="00334843" w:rsidRPr="00892AF6">
        <w:rPr>
          <w:rFonts w:ascii="Bookman Old Style" w:hAnsi="Bookman Old Style"/>
          <w:i/>
        </w:rPr>
        <w:t>ourt may order the action to be stayed or dismissed, or may give judgement on such terms as may be just.”</w:t>
      </w:r>
    </w:p>
    <w:p w:rsidR="00334843" w:rsidRPr="00892AF6" w:rsidRDefault="00334843" w:rsidP="001960B8">
      <w:pPr>
        <w:pStyle w:val="JudgmentText"/>
        <w:numPr>
          <w:ilvl w:val="0"/>
          <w:numId w:val="0"/>
        </w:numPr>
        <w:ind w:left="720" w:hanging="720"/>
        <w:rPr>
          <w:rFonts w:ascii="Bookman Old Style" w:hAnsi="Bookman Old Style"/>
          <w:i/>
        </w:rPr>
      </w:pPr>
      <w:r>
        <w:rPr>
          <w:rFonts w:ascii="Bookman Old Style" w:hAnsi="Bookman Old Style"/>
        </w:rPr>
        <w:t>[1</w:t>
      </w:r>
      <w:r w:rsidR="004107F6">
        <w:rPr>
          <w:rFonts w:ascii="Bookman Old Style" w:hAnsi="Bookman Old Style"/>
        </w:rPr>
        <w:t>2</w:t>
      </w:r>
      <w:r>
        <w:rPr>
          <w:rFonts w:ascii="Bookman Old Style" w:hAnsi="Bookman Old Style"/>
        </w:rPr>
        <w:t>]</w:t>
      </w:r>
      <w:r>
        <w:rPr>
          <w:rFonts w:ascii="Bookman Old Style" w:hAnsi="Bookman Old Style"/>
        </w:rPr>
        <w:tab/>
        <w:t>A</w:t>
      </w:r>
      <w:r w:rsidR="00257F38">
        <w:rPr>
          <w:rFonts w:ascii="Bookman Old Style" w:hAnsi="Bookman Old Style"/>
        </w:rPr>
        <w:t xml:space="preserve"> </w:t>
      </w:r>
      <w:r w:rsidRPr="00334843">
        <w:rPr>
          <w:rFonts w:ascii="Bookman Old Style" w:hAnsi="Bookman Old Style"/>
        </w:rPr>
        <w:t xml:space="preserve">cause of action is not defined in the </w:t>
      </w:r>
      <w:r w:rsidR="004107F6">
        <w:rPr>
          <w:rFonts w:ascii="Bookman Old Style" w:hAnsi="Bookman Old Style"/>
        </w:rPr>
        <w:t>Code</w:t>
      </w:r>
      <w:r w:rsidRPr="00334843">
        <w:rPr>
          <w:rFonts w:ascii="Bookman Old Style" w:hAnsi="Bookman Old Style"/>
        </w:rPr>
        <w:t xml:space="preserve"> but </w:t>
      </w:r>
      <w:r w:rsidR="00027262">
        <w:rPr>
          <w:rFonts w:ascii="Bookman Old Style" w:hAnsi="Bookman Old Style"/>
        </w:rPr>
        <w:t xml:space="preserve">of persuasive authority </w:t>
      </w:r>
      <w:r w:rsidRPr="00334843">
        <w:rPr>
          <w:rFonts w:ascii="Bookman Old Style" w:hAnsi="Bookman Old Style"/>
        </w:rPr>
        <w:t>and value</w:t>
      </w:r>
      <w:r w:rsidR="00027262">
        <w:rPr>
          <w:rFonts w:ascii="Bookman Old Style" w:hAnsi="Bookman Old Style"/>
        </w:rPr>
        <w:t xml:space="preserve"> in that respect is the Ruling in the case of </w:t>
      </w:r>
      <w:r w:rsidRPr="00027262">
        <w:rPr>
          <w:rFonts w:ascii="Bookman Old Style" w:hAnsi="Bookman Old Style"/>
          <w:b/>
        </w:rPr>
        <w:t xml:space="preserve">Auto Garage v </w:t>
      </w:r>
      <w:proofErr w:type="spellStart"/>
      <w:r w:rsidRPr="00027262">
        <w:rPr>
          <w:rFonts w:ascii="Bookman Old Style" w:hAnsi="Bookman Old Style"/>
          <w:b/>
        </w:rPr>
        <w:t>Motokov</w:t>
      </w:r>
      <w:proofErr w:type="spellEnd"/>
      <w:r w:rsidRPr="00027262">
        <w:rPr>
          <w:rFonts w:ascii="Bookman Old Style" w:hAnsi="Bookman Old Style"/>
          <w:b/>
        </w:rPr>
        <w:t xml:space="preserve"> [1971] EA 514</w:t>
      </w:r>
      <w:r w:rsidRPr="00334843">
        <w:rPr>
          <w:rFonts w:ascii="Bookman Old Style" w:hAnsi="Bookman Old Style"/>
        </w:rPr>
        <w:t xml:space="preserve">, </w:t>
      </w:r>
      <w:r w:rsidR="00027262">
        <w:rPr>
          <w:rFonts w:ascii="Bookman Old Style" w:hAnsi="Bookman Old Style"/>
        </w:rPr>
        <w:t xml:space="preserve">wherein </w:t>
      </w:r>
      <w:r w:rsidRPr="00334843">
        <w:rPr>
          <w:rFonts w:ascii="Bookman Old Style" w:hAnsi="Bookman Old Style"/>
        </w:rPr>
        <w:t xml:space="preserve">the Court of Appeal for East Africa considered the meaning </w:t>
      </w:r>
      <w:r w:rsidR="00027262">
        <w:rPr>
          <w:rFonts w:ascii="Bookman Old Style" w:hAnsi="Bookman Old Style"/>
        </w:rPr>
        <w:t>of cause of action and a</w:t>
      </w:r>
      <w:r w:rsidRPr="00334843">
        <w:rPr>
          <w:rFonts w:ascii="Bookman Old Style" w:hAnsi="Bookman Old Style"/>
        </w:rPr>
        <w:t xml:space="preserve">fter a review of a number of English decisions on the subject, </w:t>
      </w:r>
      <w:r w:rsidRPr="00027262">
        <w:rPr>
          <w:rFonts w:ascii="Bookman Old Style" w:hAnsi="Bookman Old Style"/>
          <w:b/>
        </w:rPr>
        <w:t>Spry VP</w:t>
      </w:r>
      <w:r w:rsidRPr="00334843">
        <w:rPr>
          <w:rFonts w:ascii="Bookman Old Style" w:hAnsi="Bookman Old Style"/>
        </w:rPr>
        <w:t>, defined it in the following wo</w:t>
      </w:r>
      <w:r w:rsidR="00027262">
        <w:rPr>
          <w:rFonts w:ascii="Bookman Old Style" w:hAnsi="Bookman Old Style"/>
        </w:rPr>
        <w:t xml:space="preserve">rds at page 519 thereof, that: </w:t>
      </w:r>
      <w:r w:rsidR="00027262" w:rsidRPr="00892AF6">
        <w:rPr>
          <w:rFonts w:ascii="Bookman Old Style" w:hAnsi="Bookman Old Style"/>
        </w:rPr>
        <w:t>“</w:t>
      </w:r>
      <w:r w:rsidR="00027262" w:rsidRPr="00892AF6">
        <w:rPr>
          <w:rFonts w:ascii="Bookman Old Style" w:hAnsi="Bookman Old Style"/>
          <w:i/>
        </w:rPr>
        <w:t>I would summarize the position a</w:t>
      </w:r>
      <w:r w:rsidRPr="00892AF6">
        <w:rPr>
          <w:rFonts w:ascii="Bookman Old Style" w:hAnsi="Bookman Old Style"/>
          <w:i/>
        </w:rPr>
        <w:t>s I see it by saying t</w:t>
      </w:r>
      <w:r w:rsidR="00257F38">
        <w:rPr>
          <w:rFonts w:ascii="Bookman Old Style" w:hAnsi="Bookman Old Style"/>
          <w:i/>
        </w:rPr>
        <w:t>hat if a plaint shows that the P</w:t>
      </w:r>
      <w:r w:rsidRPr="00892AF6">
        <w:rPr>
          <w:rFonts w:ascii="Bookman Old Style" w:hAnsi="Bookman Old Style"/>
          <w:i/>
        </w:rPr>
        <w:t xml:space="preserve">laintiff enjoyed a right, that </w:t>
      </w:r>
      <w:r w:rsidR="00257F38">
        <w:rPr>
          <w:rFonts w:ascii="Bookman Old Style" w:hAnsi="Bookman Old Style"/>
          <w:i/>
        </w:rPr>
        <w:t>has been violated and that the D</w:t>
      </w:r>
      <w:r w:rsidRPr="00892AF6">
        <w:rPr>
          <w:rFonts w:ascii="Bookman Old Style" w:hAnsi="Bookman Old Style"/>
          <w:i/>
        </w:rPr>
        <w:t>efendant is liable, then, in my opinion, a cau</w:t>
      </w:r>
      <w:r w:rsidR="00027262" w:rsidRPr="00892AF6">
        <w:rPr>
          <w:rFonts w:ascii="Bookman Old Style" w:hAnsi="Bookman Old Style"/>
          <w:i/>
        </w:rPr>
        <w:t>se of action has been disclosed</w:t>
      </w:r>
      <w:r w:rsidRPr="00892AF6">
        <w:rPr>
          <w:rFonts w:ascii="Bookman Old Style" w:hAnsi="Bookman Old Style"/>
          <w:i/>
        </w:rPr>
        <w:t xml:space="preserve">”. </w:t>
      </w:r>
    </w:p>
    <w:p w:rsidR="00334843" w:rsidRDefault="004107F6" w:rsidP="001960B8">
      <w:pPr>
        <w:pStyle w:val="JudgmentText"/>
        <w:numPr>
          <w:ilvl w:val="0"/>
          <w:numId w:val="0"/>
        </w:numPr>
        <w:ind w:left="720" w:hanging="720"/>
        <w:rPr>
          <w:rFonts w:ascii="Bookman Old Style" w:hAnsi="Bookman Old Style"/>
        </w:rPr>
      </w:pPr>
      <w:r>
        <w:rPr>
          <w:rFonts w:ascii="Bookman Old Style" w:hAnsi="Bookman Old Style"/>
        </w:rPr>
        <w:t>[13</w:t>
      </w:r>
      <w:r w:rsidR="00334843">
        <w:rPr>
          <w:rFonts w:ascii="Bookman Old Style" w:hAnsi="Bookman Old Style"/>
        </w:rPr>
        <w:t>]</w:t>
      </w:r>
      <w:r w:rsidR="00334843">
        <w:rPr>
          <w:rFonts w:ascii="Bookman Old Style" w:hAnsi="Bookman Old Style"/>
        </w:rPr>
        <w:tab/>
      </w:r>
      <w:r w:rsidR="00027262">
        <w:rPr>
          <w:rFonts w:ascii="Bookman Old Style" w:hAnsi="Bookman Old Style"/>
        </w:rPr>
        <w:t>N</w:t>
      </w:r>
      <w:r w:rsidR="00334843">
        <w:rPr>
          <w:rFonts w:ascii="Bookman Old Style" w:hAnsi="Bookman Old Style"/>
        </w:rPr>
        <w:t>ow, in the instant case, the</w:t>
      </w:r>
      <w:r w:rsidR="00892AF6">
        <w:rPr>
          <w:rFonts w:ascii="Bookman Old Style" w:hAnsi="Bookman Old Style"/>
        </w:rPr>
        <w:t xml:space="preserve"> first Defendant comments in her</w:t>
      </w:r>
      <w:r w:rsidR="00334843">
        <w:rPr>
          <w:rFonts w:ascii="Bookman Old Style" w:hAnsi="Bookman Old Style"/>
        </w:rPr>
        <w:t xml:space="preserve"> submissi</w:t>
      </w:r>
      <w:r>
        <w:rPr>
          <w:rFonts w:ascii="Bookman Old Style" w:hAnsi="Bookman Old Style"/>
        </w:rPr>
        <w:t xml:space="preserve">ons on the first plea in </w:t>
      </w:r>
      <w:proofErr w:type="spellStart"/>
      <w:r>
        <w:rPr>
          <w:rFonts w:ascii="Bookman Old Style" w:hAnsi="Bookman Old Style"/>
        </w:rPr>
        <w:t>limine</w:t>
      </w:r>
      <w:proofErr w:type="spellEnd"/>
      <w:r>
        <w:rPr>
          <w:rFonts w:ascii="Bookman Old Style" w:hAnsi="Bookman Old Style"/>
        </w:rPr>
        <w:t xml:space="preserve"> </w:t>
      </w:r>
      <w:proofErr w:type="spellStart"/>
      <w:r>
        <w:rPr>
          <w:rFonts w:ascii="Bookman Old Style" w:hAnsi="Bookman Old Style"/>
        </w:rPr>
        <w:t>litis</w:t>
      </w:r>
      <w:proofErr w:type="spellEnd"/>
      <w:r>
        <w:rPr>
          <w:rFonts w:ascii="Bookman Old Style" w:hAnsi="Bookman Old Style"/>
        </w:rPr>
        <w:t xml:space="preserve"> </w:t>
      </w:r>
      <w:r w:rsidR="00257F38">
        <w:rPr>
          <w:rFonts w:ascii="Bookman Old Style" w:hAnsi="Bookman Old Style"/>
        </w:rPr>
        <w:t>that the P</w:t>
      </w:r>
      <w:r w:rsidR="00027262">
        <w:rPr>
          <w:rFonts w:ascii="Bookman Old Style" w:hAnsi="Bookman Old Style"/>
        </w:rPr>
        <w:t xml:space="preserve">laintiff’s claim is an </w:t>
      </w:r>
      <w:r w:rsidR="00257F38">
        <w:rPr>
          <w:rFonts w:ascii="Bookman Old Style" w:hAnsi="Bookman Old Style"/>
        </w:rPr>
        <w:lastRenderedPageBreak/>
        <w:t>ongoing dispute between the P</w:t>
      </w:r>
      <w:r w:rsidR="00027262">
        <w:rPr>
          <w:rFonts w:ascii="Bookman Old Style" w:hAnsi="Bookman Old Style"/>
        </w:rPr>
        <w:t>laintiff and the 2</w:t>
      </w:r>
      <w:r w:rsidR="00027262" w:rsidRPr="00027262">
        <w:rPr>
          <w:rFonts w:ascii="Bookman Old Style" w:hAnsi="Bookman Old Style"/>
          <w:vertAlign w:val="superscript"/>
        </w:rPr>
        <w:t>nd</w:t>
      </w:r>
      <w:r w:rsidR="00257F38">
        <w:rPr>
          <w:rFonts w:ascii="Bookman Old Style" w:hAnsi="Bookman Old Style"/>
        </w:rPr>
        <w:t xml:space="preserve"> D</w:t>
      </w:r>
      <w:r w:rsidR="00027262">
        <w:rPr>
          <w:rFonts w:ascii="Bookman Old Style" w:hAnsi="Bookman Old Style"/>
        </w:rPr>
        <w:t>efendant only hence no reasonable cause of action against her.</w:t>
      </w:r>
    </w:p>
    <w:p w:rsidR="00027262" w:rsidRPr="00892AF6" w:rsidRDefault="004107F6" w:rsidP="001960B8">
      <w:pPr>
        <w:pStyle w:val="JudgmentText"/>
        <w:numPr>
          <w:ilvl w:val="0"/>
          <w:numId w:val="0"/>
        </w:numPr>
        <w:ind w:left="720" w:hanging="720"/>
        <w:rPr>
          <w:rFonts w:ascii="Bookman Old Style" w:hAnsi="Bookman Old Style"/>
          <w:i/>
        </w:rPr>
      </w:pPr>
      <w:r>
        <w:rPr>
          <w:rFonts w:ascii="Bookman Old Style" w:hAnsi="Bookman Old Style"/>
        </w:rPr>
        <w:t>[14</w:t>
      </w:r>
      <w:r w:rsidR="00027262">
        <w:rPr>
          <w:rFonts w:ascii="Bookman Old Style" w:hAnsi="Bookman Old Style"/>
        </w:rPr>
        <w:t>]</w:t>
      </w:r>
      <w:r w:rsidR="00027262">
        <w:rPr>
          <w:rFonts w:ascii="Bookman Old Style" w:hAnsi="Bookman Old Style"/>
        </w:rPr>
        <w:tab/>
        <w:t xml:space="preserve">In that light, the Court refers to the provisions of section </w:t>
      </w:r>
      <w:r w:rsidR="00656B5B">
        <w:rPr>
          <w:rFonts w:ascii="Bookman Old Style" w:hAnsi="Bookman Old Style"/>
        </w:rPr>
        <w:t xml:space="preserve">109 of the </w:t>
      </w:r>
      <w:r w:rsidR="00027262">
        <w:rPr>
          <w:rFonts w:ascii="Bookman Old Style" w:hAnsi="Bookman Old Style"/>
        </w:rPr>
        <w:t xml:space="preserve">Code </w:t>
      </w:r>
      <w:r>
        <w:rPr>
          <w:rFonts w:ascii="Bookman Old Style" w:hAnsi="Bookman Old Style"/>
        </w:rPr>
        <w:t xml:space="preserve">which section provides that, </w:t>
      </w:r>
      <w:r w:rsidR="00027262" w:rsidRPr="00892AF6">
        <w:rPr>
          <w:rFonts w:ascii="Bookman Old Style" w:hAnsi="Bookman Old Style"/>
          <w:i/>
        </w:rPr>
        <w:t>“</w:t>
      </w:r>
      <w:r w:rsidRPr="00892AF6">
        <w:rPr>
          <w:rFonts w:ascii="Bookman Old Style" w:hAnsi="Bookman Old Style"/>
          <w:i/>
        </w:rPr>
        <w:t>a</w:t>
      </w:r>
      <w:r w:rsidR="00257F38">
        <w:rPr>
          <w:rFonts w:ascii="Bookman Old Style" w:hAnsi="Bookman Old Style"/>
          <w:i/>
        </w:rPr>
        <w:t>ll persons may be joined as D</w:t>
      </w:r>
      <w:r w:rsidR="00027262" w:rsidRPr="00892AF6">
        <w:rPr>
          <w:rFonts w:ascii="Bookman Old Style" w:hAnsi="Bookman Old Style"/>
          <w:i/>
        </w:rPr>
        <w:t>efendants against whom the right to any relief is alleged to exist, whet</w:t>
      </w:r>
      <w:r w:rsidR="00656B5B" w:rsidRPr="00892AF6">
        <w:rPr>
          <w:rFonts w:ascii="Bookman Old Style" w:hAnsi="Bookman Old Style"/>
          <w:i/>
        </w:rPr>
        <w:t xml:space="preserve">her </w:t>
      </w:r>
      <w:r w:rsidR="00027262" w:rsidRPr="00892AF6">
        <w:rPr>
          <w:rFonts w:ascii="Bookman Old Style" w:hAnsi="Bookman Old Style"/>
          <w:i/>
        </w:rPr>
        <w:t>jointly</w:t>
      </w:r>
      <w:r w:rsidR="00257F38">
        <w:rPr>
          <w:rFonts w:ascii="Bookman Old Style" w:hAnsi="Bookman Old Style"/>
          <w:i/>
        </w:rPr>
        <w:t>, severally or, in more of the D</w:t>
      </w:r>
      <w:r w:rsidR="00027262" w:rsidRPr="00892AF6">
        <w:rPr>
          <w:rFonts w:ascii="Bookman Old Style" w:hAnsi="Bookman Old Style"/>
          <w:i/>
        </w:rPr>
        <w:t>efendants as may be found to be liable, according to their respective liabilities, without any amendment”.</w:t>
      </w:r>
    </w:p>
    <w:p w:rsidR="00077CEE" w:rsidRDefault="004107F6" w:rsidP="001960B8">
      <w:pPr>
        <w:pStyle w:val="JudgmentText"/>
        <w:numPr>
          <w:ilvl w:val="0"/>
          <w:numId w:val="0"/>
        </w:numPr>
        <w:ind w:left="720" w:hanging="720"/>
        <w:rPr>
          <w:rFonts w:ascii="Bookman Old Style" w:hAnsi="Bookman Old Style"/>
        </w:rPr>
      </w:pPr>
      <w:r>
        <w:rPr>
          <w:rFonts w:ascii="Bookman Old Style" w:hAnsi="Bookman Old Style"/>
        </w:rPr>
        <w:t>[15</w:t>
      </w:r>
      <w:r w:rsidR="00077CEE">
        <w:rPr>
          <w:rFonts w:ascii="Bookman Old Style" w:hAnsi="Bookman Old Style"/>
        </w:rPr>
        <w:t>]</w:t>
      </w:r>
      <w:r w:rsidR="00077CEE">
        <w:rPr>
          <w:rFonts w:ascii="Bookman Old Style" w:hAnsi="Bookman Old Style"/>
        </w:rPr>
        <w:tab/>
      </w:r>
      <w:r w:rsidR="00027262">
        <w:rPr>
          <w:rFonts w:ascii="Bookman Old Style" w:hAnsi="Bookman Old Style"/>
        </w:rPr>
        <w:t xml:space="preserve">The stated provision of the Code renders it as a mandatory </w:t>
      </w:r>
      <w:r>
        <w:rPr>
          <w:rFonts w:ascii="Bookman Old Style" w:hAnsi="Bookman Old Style"/>
        </w:rPr>
        <w:t>pre-</w:t>
      </w:r>
      <w:r w:rsidR="00077CEE">
        <w:rPr>
          <w:rFonts w:ascii="Bookman Old Style" w:hAnsi="Bookman Old Style"/>
        </w:rPr>
        <w:t>requisite that</w:t>
      </w:r>
      <w:r w:rsidR="00257F38">
        <w:rPr>
          <w:rFonts w:ascii="Bookman Old Style" w:hAnsi="Bookman Old Style"/>
        </w:rPr>
        <w:t xml:space="preserve"> </w:t>
      </w:r>
      <w:r w:rsidR="00027262" w:rsidRPr="004107F6">
        <w:rPr>
          <w:rFonts w:ascii="Bookman Old Style" w:hAnsi="Bookman Old Style"/>
          <w:b/>
          <w:i/>
        </w:rPr>
        <w:t>“the right to any relief</w:t>
      </w:r>
      <w:r w:rsidR="00077CEE" w:rsidRPr="004107F6">
        <w:rPr>
          <w:rFonts w:ascii="Bookman Old Style" w:hAnsi="Bookman Old Style"/>
          <w:b/>
          <w:i/>
        </w:rPr>
        <w:t xml:space="preserve"> is alleged to exist”</w:t>
      </w:r>
      <w:r w:rsidR="00077CEE">
        <w:rPr>
          <w:rFonts w:ascii="Bookman Old Style" w:hAnsi="Bookman Old Style"/>
        </w:rPr>
        <w:t xml:space="preserve"> and this is to be closely read together with the provisions of section 71 of the Code in respect of particulars to be contained in a plaint more particularly at its sub</w:t>
      </w:r>
      <w:r>
        <w:rPr>
          <w:rFonts w:ascii="Bookman Old Style" w:hAnsi="Bookman Old Style"/>
        </w:rPr>
        <w:t>-</w:t>
      </w:r>
      <w:r w:rsidR="00077CEE">
        <w:rPr>
          <w:rFonts w:ascii="Bookman Old Style" w:hAnsi="Bookman Old Style"/>
        </w:rPr>
        <w:t>section</w:t>
      </w:r>
      <w:r>
        <w:rPr>
          <w:rFonts w:ascii="Bookman Old Style" w:hAnsi="Bookman Old Style"/>
        </w:rPr>
        <w:t>s</w:t>
      </w:r>
      <w:r w:rsidR="00077CEE">
        <w:rPr>
          <w:rFonts w:ascii="Bookman Old Style" w:hAnsi="Bookman Old Style"/>
        </w:rPr>
        <w:t xml:space="preserve"> (d) and (e) thereof </w:t>
      </w:r>
      <w:r>
        <w:rPr>
          <w:rFonts w:ascii="Bookman Old Style" w:hAnsi="Bookman Old Style"/>
        </w:rPr>
        <w:t>which provides thus</w:t>
      </w:r>
      <w:r w:rsidR="00077CEE">
        <w:rPr>
          <w:rFonts w:ascii="Bookman Old Style" w:hAnsi="Bookman Old Style"/>
        </w:rPr>
        <w:t>:</w:t>
      </w:r>
    </w:p>
    <w:p w:rsidR="00077CEE" w:rsidRPr="00892AF6" w:rsidRDefault="00077CEE" w:rsidP="001960B8">
      <w:pPr>
        <w:pStyle w:val="JudgmentText"/>
        <w:numPr>
          <w:ilvl w:val="0"/>
          <w:numId w:val="0"/>
        </w:numPr>
        <w:ind w:left="720" w:hanging="720"/>
        <w:rPr>
          <w:rFonts w:ascii="Bookman Old Style" w:hAnsi="Bookman Old Style"/>
          <w:i/>
        </w:rPr>
      </w:pPr>
      <w:r>
        <w:rPr>
          <w:rFonts w:ascii="Bookman Old Style" w:hAnsi="Bookman Old Style"/>
        </w:rPr>
        <w:tab/>
      </w:r>
      <w:r w:rsidR="004107F6" w:rsidRPr="00892AF6">
        <w:rPr>
          <w:rFonts w:ascii="Bookman Old Style" w:hAnsi="Bookman Old Style"/>
        </w:rPr>
        <w:t>“</w:t>
      </w:r>
      <w:r w:rsidRPr="00892AF6">
        <w:rPr>
          <w:rFonts w:ascii="Bookman Old Style" w:hAnsi="Bookman Old Style"/>
          <w:i/>
        </w:rPr>
        <w:t xml:space="preserve">Section </w:t>
      </w:r>
      <w:r w:rsidR="004107F6" w:rsidRPr="00892AF6">
        <w:rPr>
          <w:rFonts w:ascii="Bookman Old Style" w:hAnsi="Bookman Old Style"/>
          <w:i/>
        </w:rPr>
        <w:t xml:space="preserve">71: </w:t>
      </w:r>
      <w:r w:rsidRPr="00892AF6">
        <w:rPr>
          <w:rFonts w:ascii="Bookman Old Style" w:hAnsi="Bookman Old Style"/>
          <w:i/>
        </w:rPr>
        <w:t>The plaint must contain the following particulars:</w:t>
      </w:r>
    </w:p>
    <w:p w:rsidR="00077CEE" w:rsidRPr="00892AF6" w:rsidRDefault="00892AF6" w:rsidP="001960B8">
      <w:pPr>
        <w:pStyle w:val="JudgmentText"/>
        <w:numPr>
          <w:ilvl w:val="0"/>
          <w:numId w:val="0"/>
        </w:numPr>
        <w:ind w:left="720" w:hanging="720"/>
        <w:rPr>
          <w:rFonts w:ascii="Bookman Old Style" w:hAnsi="Bookman Old Style"/>
          <w:i/>
        </w:rPr>
      </w:pPr>
      <w:r>
        <w:rPr>
          <w:rFonts w:ascii="Bookman Old Style" w:hAnsi="Bookman Old Style"/>
          <w:i/>
        </w:rPr>
        <w:tab/>
        <w:t>(d)</w:t>
      </w:r>
      <w:r>
        <w:rPr>
          <w:rFonts w:ascii="Bookman Old Style" w:hAnsi="Bookman Old Style"/>
          <w:i/>
        </w:rPr>
        <w:tab/>
      </w:r>
      <w:r w:rsidR="00077CEE" w:rsidRPr="00892AF6">
        <w:rPr>
          <w:rFonts w:ascii="Bookman Old Style" w:hAnsi="Bookman Old Style"/>
          <w:i/>
        </w:rPr>
        <w:t xml:space="preserve">a plain and </w:t>
      </w:r>
      <w:r w:rsidR="00E70A7B" w:rsidRPr="00892AF6">
        <w:rPr>
          <w:rFonts w:ascii="Bookman Old Style" w:hAnsi="Bookman Old Style"/>
          <w:i/>
        </w:rPr>
        <w:t xml:space="preserve">concise statement of the circumstances constituting the </w:t>
      </w:r>
      <w:r>
        <w:rPr>
          <w:rFonts w:ascii="Bookman Old Style" w:hAnsi="Bookman Old Style"/>
          <w:i/>
        </w:rPr>
        <w:tab/>
      </w:r>
      <w:r w:rsidR="00E70A7B" w:rsidRPr="00892AF6">
        <w:rPr>
          <w:rFonts w:ascii="Bookman Old Style" w:hAnsi="Bookman Old Style"/>
          <w:i/>
        </w:rPr>
        <w:t>caus</w:t>
      </w:r>
      <w:r w:rsidR="00077CEE" w:rsidRPr="00892AF6">
        <w:rPr>
          <w:rFonts w:ascii="Bookman Old Style" w:hAnsi="Bookman Old Style"/>
          <w:i/>
        </w:rPr>
        <w:t xml:space="preserve">e </w:t>
      </w:r>
      <w:r w:rsidR="00E70A7B" w:rsidRPr="00892AF6">
        <w:rPr>
          <w:rFonts w:ascii="Bookman Old Style" w:hAnsi="Bookman Old Style"/>
          <w:i/>
        </w:rPr>
        <w:t xml:space="preserve">of action </w:t>
      </w:r>
      <w:r w:rsidR="00077CEE" w:rsidRPr="00892AF6">
        <w:rPr>
          <w:rFonts w:ascii="Bookman Old Style" w:hAnsi="Bookman Old Style"/>
          <w:i/>
        </w:rPr>
        <w:t xml:space="preserve">and where and when it arose and of the material </w:t>
      </w:r>
      <w:r w:rsidR="00257F38">
        <w:rPr>
          <w:rFonts w:ascii="Bookman Old Style" w:hAnsi="Bookman Old Style"/>
          <w:i/>
        </w:rPr>
        <w:t xml:space="preserve">    </w:t>
      </w:r>
      <w:r w:rsidR="00257F38">
        <w:rPr>
          <w:rFonts w:ascii="Bookman Old Style" w:hAnsi="Bookman Old Style"/>
          <w:i/>
        </w:rPr>
        <w:tab/>
      </w:r>
      <w:r w:rsidR="00077CEE" w:rsidRPr="00892AF6">
        <w:rPr>
          <w:rFonts w:ascii="Bookman Old Style" w:hAnsi="Bookman Old Style"/>
          <w:i/>
        </w:rPr>
        <w:t xml:space="preserve">facts </w:t>
      </w:r>
      <w:r>
        <w:rPr>
          <w:rFonts w:ascii="Bookman Old Style" w:hAnsi="Bookman Old Style"/>
          <w:i/>
        </w:rPr>
        <w:tab/>
      </w:r>
      <w:r w:rsidR="00077CEE" w:rsidRPr="00892AF6">
        <w:rPr>
          <w:rFonts w:ascii="Bookman Old Style" w:hAnsi="Bookman Old Style"/>
          <w:i/>
        </w:rPr>
        <w:t>which are necessary to su</w:t>
      </w:r>
      <w:r w:rsidR="00E70A7B" w:rsidRPr="00892AF6">
        <w:rPr>
          <w:rFonts w:ascii="Bookman Old Style" w:hAnsi="Bookman Old Style"/>
          <w:i/>
        </w:rPr>
        <w:t xml:space="preserve">bstantiate the </w:t>
      </w:r>
      <w:r w:rsidR="00077CEE" w:rsidRPr="00892AF6">
        <w:rPr>
          <w:rFonts w:ascii="Bookman Old Style" w:hAnsi="Bookman Old Style"/>
          <w:i/>
        </w:rPr>
        <w:t xml:space="preserve">action”; and </w:t>
      </w:r>
    </w:p>
    <w:p w:rsidR="00027262" w:rsidRPr="00892AF6" w:rsidRDefault="00892AF6" w:rsidP="001960B8">
      <w:pPr>
        <w:pStyle w:val="JudgmentText"/>
        <w:numPr>
          <w:ilvl w:val="0"/>
          <w:numId w:val="0"/>
        </w:numPr>
        <w:ind w:left="720" w:hanging="720"/>
        <w:rPr>
          <w:rFonts w:ascii="Bookman Old Style" w:hAnsi="Bookman Old Style"/>
          <w:i/>
        </w:rPr>
      </w:pPr>
      <w:r>
        <w:rPr>
          <w:rFonts w:ascii="Bookman Old Style" w:hAnsi="Bookman Old Style"/>
          <w:i/>
        </w:rPr>
        <w:tab/>
        <w:t>(e)</w:t>
      </w:r>
      <w:r>
        <w:rPr>
          <w:rFonts w:ascii="Bookman Old Style" w:hAnsi="Bookman Old Style"/>
          <w:i/>
        </w:rPr>
        <w:tab/>
      </w:r>
      <w:r w:rsidR="00077CEE" w:rsidRPr="00892AF6">
        <w:rPr>
          <w:rFonts w:ascii="Bookman Old Style" w:hAnsi="Bookman Old Style"/>
          <w:i/>
        </w:rPr>
        <w:t>“a demand of</w:t>
      </w:r>
      <w:r w:rsidR="00257F38">
        <w:rPr>
          <w:rFonts w:ascii="Bookman Old Style" w:hAnsi="Bookman Old Style"/>
          <w:i/>
        </w:rPr>
        <w:t xml:space="preserve"> the relief which the P</w:t>
      </w:r>
      <w:r w:rsidR="00077CEE" w:rsidRPr="00892AF6">
        <w:rPr>
          <w:rFonts w:ascii="Bookman Old Style" w:hAnsi="Bookman Old Style"/>
          <w:i/>
        </w:rPr>
        <w:t xml:space="preserve">laintiff claims” </w:t>
      </w:r>
    </w:p>
    <w:p w:rsidR="00077CEE" w:rsidRDefault="00E70A7B" w:rsidP="001960B8">
      <w:pPr>
        <w:pStyle w:val="JudgmentText"/>
        <w:numPr>
          <w:ilvl w:val="0"/>
          <w:numId w:val="0"/>
        </w:numPr>
        <w:ind w:left="720" w:hanging="720"/>
        <w:rPr>
          <w:rFonts w:ascii="Bookman Old Style" w:hAnsi="Bookman Old Style"/>
        </w:rPr>
      </w:pPr>
      <w:r>
        <w:rPr>
          <w:rFonts w:ascii="Bookman Old Style" w:hAnsi="Bookman Old Style"/>
        </w:rPr>
        <w:t>[16</w:t>
      </w:r>
      <w:r w:rsidR="00027262">
        <w:rPr>
          <w:rFonts w:ascii="Bookman Old Style" w:hAnsi="Bookman Old Style"/>
        </w:rPr>
        <w:t>]</w:t>
      </w:r>
      <w:r w:rsidR="00027262">
        <w:rPr>
          <w:rFonts w:ascii="Bookman Old Style" w:hAnsi="Bookman Old Style"/>
        </w:rPr>
        <w:tab/>
      </w:r>
      <w:r w:rsidR="00077CEE">
        <w:rPr>
          <w:rFonts w:ascii="Bookman Old Style" w:hAnsi="Bookman Old Style"/>
        </w:rPr>
        <w:t>A ve</w:t>
      </w:r>
      <w:r w:rsidR="00892AF6">
        <w:rPr>
          <w:rFonts w:ascii="Bookman Old Style" w:hAnsi="Bookman Old Style"/>
        </w:rPr>
        <w:t xml:space="preserve">ry careful scrutiny of the </w:t>
      </w:r>
      <w:r w:rsidR="00892AF6">
        <w:rPr>
          <w:rFonts w:ascii="Bookman Old Style" w:hAnsi="Bookman Old Style"/>
        </w:rPr>
        <w:tab/>
        <w:t>P</w:t>
      </w:r>
      <w:r>
        <w:rPr>
          <w:rFonts w:ascii="Bookman Old Style" w:hAnsi="Bookman Old Style"/>
        </w:rPr>
        <w:t>lai</w:t>
      </w:r>
      <w:r w:rsidR="00077CEE">
        <w:rPr>
          <w:rFonts w:ascii="Bookman Old Style" w:hAnsi="Bookman Old Style"/>
        </w:rPr>
        <w:t>n</w:t>
      </w:r>
      <w:r>
        <w:rPr>
          <w:rFonts w:ascii="Bookman Old Style" w:hAnsi="Bookman Old Style"/>
        </w:rPr>
        <w:t xml:space="preserve">t </w:t>
      </w:r>
      <w:proofErr w:type="spellStart"/>
      <w:r>
        <w:rPr>
          <w:rFonts w:ascii="Bookman Old Style" w:hAnsi="Bookman Old Style"/>
        </w:rPr>
        <w:t>vis</w:t>
      </w:r>
      <w:proofErr w:type="spellEnd"/>
      <w:r>
        <w:rPr>
          <w:rFonts w:ascii="Bookman Old Style" w:hAnsi="Bookman Old Style"/>
        </w:rPr>
        <w:t>-a-</w:t>
      </w:r>
      <w:proofErr w:type="spellStart"/>
      <w:r w:rsidR="00077CEE">
        <w:rPr>
          <w:rFonts w:ascii="Bookman Old Style" w:hAnsi="Bookman Old Style"/>
        </w:rPr>
        <w:t>vis</w:t>
      </w:r>
      <w:proofErr w:type="spellEnd"/>
      <w:r w:rsidR="00077CEE">
        <w:rPr>
          <w:rFonts w:ascii="Bookman Old Style" w:hAnsi="Bookman Old Style"/>
        </w:rPr>
        <w:t xml:space="preserve"> the 1</w:t>
      </w:r>
      <w:r w:rsidR="00077CEE" w:rsidRPr="00077CEE">
        <w:rPr>
          <w:rFonts w:ascii="Bookman Old Style" w:hAnsi="Bookman Old Style"/>
          <w:vertAlign w:val="superscript"/>
        </w:rPr>
        <w:t>st</w:t>
      </w:r>
      <w:r w:rsidR="00257F38">
        <w:rPr>
          <w:rFonts w:ascii="Bookman Old Style" w:hAnsi="Bookman Old Style"/>
        </w:rPr>
        <w:t xml:space="preserve"> D</w:t>
      </w:r>
      <w:r w:rsidR="00077CEE">
        <w:rPr>
          <w:rFonts w:ascii="Bookman Old Style" w:hAnsi="Bookman Old Style"/>
        </w:rPr>
        <w:t>efendant simply refers to the 1</w:t>
      </w:r>
      <w:r w:rsidR="00077CEE" w:rsidRPr="00077CEE">
        <w:rPr>
          <w:rFonts w:ascii="Bookman Old Style" w:hAnsi="Bookman Old Style"/>
          <w:vertAlign w:val="superscript"/>
        </w:rPr>
        <w:t>st</w:t>
      </w:r>
      <w:r w:rsidR="00257F38">
        <w:rPr>
          <w:rFonts w:ascii="Bookman Old Style" w:hAnsi="Bookman Old Style"/>
        </w:rPr>
        <w:t xml:space="preserve"> D</w:t>
      </w:r>
      <w:r w:rsidR="00077CEE">
        <w:rPr>
          <w:rFonts w:ascii="Bookman Old Style" w:hAnsi="Bookman Old Style"/>
        </w:rPr>
        <w:t xml:space="preserve">efendant as the owner </w:t>
      </w:r>
      <w:r w:rsidR="00CE61D4">
        <w:rPr>
          <w:rFonts w:ascii="Bookman Old Style" w:hAnsi="Bookman Old Style"/>
        </w:rPr>
        <w:t>of parcel of land V11514 which parcel adjoins</w:t>
      </w:r>
      <w:r w:rsidR="00077CEE">
        <w:rPr>
          <w:rFonts w:ascii="Bookman Old Style" w:hAnsi="Bookman Old Style"/>
        </w:rPr>
        <w:t xml:space="preserve"> parcel of land V 4874 </w:t>
      </w:r>
      <w:r>
        <w:rPr>
          <w:rFonts w:ascii="Bookman Old Style" w:hAnsi="Bookman Old Style"/>
        </w:rPr>
        <w:t xml:space="preserve">belonging to the </w:t>
      </w:r>
      <w:r w:rsidR="00892AF6">
        <w:rPr>
          <w:rFonts w:ascii="Bookman Old Style" w:hAnsi="Bookman Old Style"/>
        </w:rPr>
        <w:t>P</w:t>
      </w:r>
      <w:r w:rsidR="00CE61D4">
        <w:rPr>
          <w:rFonts w:ascii="Bookman Old Style" w:hAnsi="Bookman Old Style"/>
        </w:rPr>
        <w:t xml:space="preserve">laintiff and subject matter of </w:t>
      </w:r>
      <w:r w:rsidR="00257F38">
        <w:rPr>
          <w:rFonts w:ascii="Bookman Old Style" w:hAnsi="Bookman Old Style"/>
        </w:rPr>
        <w:t xml:space="preserve">the </w:t>
      </w:r>
      <w:r w:rsidR="00892AF6">
        <w:rPr>
          <w:rFonts w:ascii="Bookman Old Style" w:hAnsi="Bookman Old Style"/>
        </w:rPr>
        <w:t>P</w:t>
      </w:r>
      <w:r w:rsidR="00CE61D4">
        <w:rPr>
          <w:rFonts w:ascii="Bookman Old Style" w:hAnsi="Bookman Old Style"/>
        </w:rPr>
        <w:t>laintiff’s cause of action</w:t>
      </w:r>
      <w:r>
        <w:rPr>
          <w:rFonts w:ascii="Bookman Old Style" w:hAnsi="Bookman Old Style"/>
        </w:rPr>
        <w:t xml:space="preserve"> as </w:t>
      </w:r>
      <w:r w:rsidR="00CE61D4">
        <w:rPr>
          <w:rFonts w:ascii="Bookman Old Style" w:hAnsi="Bookman Old Style"/>
        </w:rPr>
        <w:t>against the 2</w:t>
      </w:r>
      <w:r w:rsidR="00CE61D4" w:rsidRPr="00CE61D4">
        <w:rPr>
          <w:rFonts w:ascii="Bookman Old Style" w:hAnsi="Bookman Old Style"/>
          <w:vertAlign w:val="superscript"/>
        </w:rPr>
        <w:t>nd</w:t>
      </w:r>
      <w:r w:rsidR="00257F38">
        <w:rPr>
          <w:rFonts w:ascii="Bookman Old Style" w:hAnsi="Bookman Old Style"/>
        </w:rPr>
        <w:t xml:space="preserve"> D</w:t>
      </w:r>
      <w:r w:rsidR="00CE61D4">
        <w:rPr>
          <w:rFonts w:ascii="Bookman Old Style" w:hAnsi="Bookman Old Style"/>
        </w:rPr>
        <w:t xml:space="preserve">efendant. Further, is clear that no </w:t>
      </w:r>
      <w:r w:rsidR="00CE61D4" w:rsidRPr="00892AF6">
        <w:rPr>
          <w:rFonts w:ascii="Bookman Old Style" w:hAnsi="Bookman Old Style"/>
          <w:b/>
        </w:rPr>
        <w:t>“</w:t>
      </w:r>
      <w:proofErr w:type="spellStart"/>
      <w:r w:rsidR="00CE61D4" w:rsidRPr="00892AF6">
        <w:rPr>
          <w:rFonts w:ascii="Bookman Old Style" w:hAnsi="Bookman Old Style"/>
          <w:b/>
        </w:rPr>
        <w:t>faute</w:t>
      </w:r>
      <w:proofErr w:type="spellEnd"/>
      <w:r w:rsidR="00CE61D4" w:rsidRPr="00892AF6">
        <w:rPr>
          <w:rFonts w:ascii="Bookman Old Style" w:hAnsi="Bookman Old Style"/>
          <w:b/>
        </w:rPr>
        <w:t xml:space="preserve"> is alleged and or averred” </w:t>
      </w:r>
      <w:r w:rsidR="00CE61D4">
        <w:rPr>
          <w:rFonts w:ascii="Bookman Old Style" w:hAnsi="Bookman Old Style"/>
        </w:rPr>
        <w:t>and or “</w:t>
      </w:r>
      <w:r w:rsidR="00257F38">
        <w:rPr>
          <w:rFonts w:ascii="Bookman Old Style" w:hAnsi="Bookman Old Style"/>
        </w:rPr>
        <w:t xml:space="preserve"> </w:t>
      </w:r>
      <w:r w:rsidR="00257F38" w:rsidRPr="00257F38">
        <w:rPr>
          <w:rFonts w:ascii="Bookman Old Style" w:hAnsi="Bookman Old Style"/>
          <w:b/>
          <w:i/>
        </w:rPr>
        <w:t xml:space="preserve">any </w:t>
      </w:r>
      <w:r w:rsidR="00CE61D4" w:rsidRPr="00892AF6">
        <w:rPr>
          <w:rFonts w:ascii="Bookman Old Style" w:hAnsi="Bookman Old Style"/>
          <w:b/>
        </w:rPr>
        <w:t>right of relief is alleged to exist”</w:t>
      </w:r>
      <w:r w:rsidR="00CE61D4">
        <w:rPr>
          <w:rFonts w:ascii="Bookman Old Style" w:hAnsi="Bookman Old Style"/>
        </w:rPr>
        <w:t xml:space="preserve"> as against </w:t>
      </w:r>
      <w:r>
        <w:rPr>
          <w:rFonts w:ascii="Bookman Old Style" w:hAnsi="Bookman Old Style"/>
        </w:rPr>
        <w:t>t</w:t>
      </w:r>
      <w:r w:rsidR="00CE61D4">
        <w:rPr>
          <w:rFonts w:ascii="Bookman Old Style" w:hAnsi="Bookman Old Style"/>
        </w:rPr>
        <w:t>he 1</w:t>
      </w:r>
      <w:r w:rsidR="00CE61D4" w:rsidRPr="00CE61D4">
        <w:rPr>
          <w:rFonts w:ascii="Bookman Old Style" w:hAnsi="Bookman Old Style"/>
          <w:vertAlign w:val="superscript"/>
        </w:rPr>
        <w:t>st</w:t>
      </w:r>
      <w:r w:rsidR="00257F38">
        <w:rPr>
          <w:rFonts w:ascii="Bookman Old Style" w:hAnsi="Bookman Old Style"/>
        </w:rPr>
        <w:t xml:space="preserve"> D</w:t>
      </w:r>
      <w:r w:rsidR="00892AF6">
        <w:rPr>
          <w:rFonts w:ascii="Bookman Old Style" w:hAnsi="Bookman Old Style"/>
        </w:rPr>
        <w:t>efendant in the P</w:t>
      </w:r>
      <w:r w:rsidR="00CE61D4">
        <w:rPr>
          <w:rFonts w:ascii="Bookman Old Style" w:hAnsi="Bookman Old Style"/>
        </w:rPr>
        <w:t xml:space="preserve">laint as filed. </w:t>
      </w:r>
    </w:p>
    <w:p w:rsidR="00CE61D4" w:rsidRDefault="001960B8" w:rsidP="001960B8">
      <w:pPr>
        <w:pStyle w:val="JudgmentText"/>
        <w:numPr>
          <w:ilvl w:val="0"/>
          <w:numId w:val="0"/>
        </w:numPr>
        <w:ind w:left="720" w:hanging="720"/>
        <w:rPr>
          <w:rFonts w:ascii="Bookman Old Style" w:hAnsi="Bookman Old Style"/>
        </w:rPr>
      </w:pPr>
      <w:r>
        <w:rPr>
          <w:rFonts w:ascii="Bookman Old Style" w:hAnsi="Bookman Old Style"/>
        </w:rPr>
        <w:t>[17</w:t>
      </w:r>
      <w:r w:rsidR="00CE61D4">
        <w:rPr>
          <w:rFonts w:ascii="Bookman Old Style" w:hAnsi="Bookman Old Style"/>
        </w:rPr>
        <w:t>]</w:t>
      </w:r>
      <w:r w:rsidR="00CE61D4">
        <w:rPr>
          <w:rFonts w:ascii="Bookman Old Style" w:hAnsi="Bookman Old Style"/>
        </w:rPr>
        <w:tab/>
        <w:t>It follows therefore on the basis of the above analysis, that thi</w:t>
      </w:r>
      <w:r w:rsidR="00E70A7B">
        <w:rPr>
          <w:rFonts w:ascii="Bookman Old Style" w:hAnsi="Bookman Old Style"/>
        </w:rPr>
        <w:t>s</w:t>
      </w:r>
      <w:r w:rsidR="00CE61D4">
        <w:rPr>
          <w:rFonts w:ascii="Bookman Old Style" w:hAnsi="Bookman Old Style"/>
        </w:rPr>
        <w:t xml:space="preserve"> Court finds that there is a </w:t>
      </w:r>
      <w:proofErr w:type="spellStart"/>
      <w:r w:rsidR="00CE61D4">
        <w:rPr>
          <w:rFonts w:ascii="Bookman Old Style" w:hAnsi="Bookman Old Style"/>
        </w:rPr>
        <w:t>l’</w:t>
      </w:r>
      <w:r w:rsidR="00E70A7B">
        <w:rPr>
          <w:rFonts w:ascii="Bookman Old Style" w:hAnsi="Bookman Old Style"/>
        </w:rPr>
        <w:t>é</w:t>
      </w:r>
      <w:r w:rsidR="00A12E1C">
        <w:rPr>
          <w:rFonts w:ascii="Bookman Old Style" w:hAnsi="Bookman Old Style"/>
        </w:rPr>
        <w:t>gard</w:t>
      </w:r>
      <w:proofErr w:type="spellEnd"/>
      <w:r w:rsidR="00A12E1C">
        <w:rPr>
          <w:rFonts w:ascii="Bookman Old Style" w:hAnsi="Bookman Old Style"/>
        </w:rPr>
        <w:t xml:space="preserve"> to the first D</w:t>
      </w:r>
      <w:r w:rsidR="00CE61D4">
        <w:rPr>
          <w:rFonts w:ascii="Bookman Old Style" w:hAnsi="Bookman Old Style"/>
        </w:rPr>
        <w:t xml:space="preserve">efendant no reasonable cause of action hence the </w:t>
      </w:r>
      <w:r w:rsidR="00E70A7B">
        <w:rPr>
          <w:rFonts w:ascii="Bookman Old Style" w:hAnsi="Bookman Old Style"/>
        </w:rPr>
        <w:t>plaint is hereby</w:t>
      </w:r>
      <w:r w:rsidR="00A12E1C">
        <w:rPr>
          <w:rFonts w:ascii="Bookman Old Style" w:hAnsi="Bookman Old Style"/>
        </w:rPr>
        <w:t xml:space="preserve"> dismissed </w:t>
      </w:r>
      <w:r w:rsidR="00CE61D4">
        <w:rPr>
          <w:rFonts w:ascii="Bookman Old Style" w:hAnsi="Bookman Old Style"/>
        </w:rPr>
        <w:t xml:space="preserve"> against </w:t>
      </w:r>
      <w:r w:rsidR="00892AF6">
        <w:rPr>
          <w:rFonts w:ascii="Bookman Old Style" w:hAnsi="Bookman Old Style"/>
        </w:rPr>
        <w:t>her.</w:t>
      </w:r>
    </w:p>
    <w:p w:rsidR="00CE61D4" w:rsidRPr="00892AF6" w:rsidRDefault="00E70A7B" w:rsidP="001960B8">
      <w:pPr>
        <w:pStyle w:val="JudgmentText"/>
        <w:numPr>
          <w:ilvl w:val="0"/>
          <w:numId w:val="0"/>
        </w:numPr>
        <w:ind w:left="720" w:hanging="720"/>
        <w:rPr>
          <w:rFonts w:ascii="Bookman Old Style" w:hAnsi="Bookman Old Style"/>
        </w:rPr>
      </w:pPr>
      <w:r>
        <w:rPr>
          <w:rFonts w:ascii="Bookman Old Style" w:hAnsi="Bookman Old Style"/>
        </w:rPr>
        <w:lastRenderedPageBreak/>
        <w:t>[1</w:t>
      </w:r>
      <w:r w:rsidR="001960B8">
        <w:rPr>
          <w:rFonts w:ascii="Bookman Old Style" w:hAnsi="Bookman Old Style"/>
        </w:rPr>
        <w:t>8</w:t>
      </w:r>
      <w:r w:rsidR="00CE61D4">
        <w:rPr>
          <w:rFonts w:ascii="Bookman Old Style" w:hAnsi="Bookman Old Style"/>
        </w:rPr>
        <w:t>]</w:t>
      </w:r>
      <w:r w:rsidR="00CE61D4">
        <w:rPr>
          <w:rFonts w:ascii="Bookman Old Style" w:hAnsi="Bookman Old Style"/>
        </w:rPr>
        <w:tab/>
        <w:t>In respect of the 2</w:t>
      </w:r>
      <w:r w:rsidR="00CE61D4" w:rsidRPr="00CE61D4">
        <w:rPr>
          <w:rFonts w:ascii="Bookman Old Style" w:hAnsi="Bookman Old Style"/>
          <w:vertAlign w:val="superscript"/>
        </w:rPr>
        <w:t>nd</w:t>
      </w:r>
      <w:r w:rsidR="00CE61D4">
        <w:rPr>
          <w:rFonts w:ascii="Bookman Old Style" w:hAnsi="Bookman Old Style"/>
        </w:rPr>
        <w:t xml:space="preserve"> Defendant on the basis of the first plea in </w:t>
      </w:r>
      <w:proofErr w:type="spellStart"/>
      <w:r w:rsidR="00CE61D4">
        <w:rPr>
          <w:rFonts w:ascii="Bookman Old Style" w:hAnsi="Bookman Old Style"/>
        </w:rPr>
        <w:t>limine</w:t>
      </w:r>
      <w:proofErr w:type="spellEnd"/>
      <w:r w:rsidR="00CE61D4">
        <w:rPr>
          <w:rFonts w:ascii="Bookman Old Style" w:hAnsi="Bookman Old Style"/>
        </w:rPr>
        <w:t xml:space="preserve"> </w:t>
      </w:r>
      <w:proofErr w:type="spellStart"/>
      <w:r w:rsidR="00CE61D4">
        <w:rPr>
          <w:rFonts w:ascii="Bookman Old Style" w:hAnsi="Bookman Old Style"/>
        </w:rPr>
        <w:t>litis</w:t>
      </w:r>
      <w:proofErr w:type="spellEnd"/>
      <w:r w:rsidR="00CE61D4">
        <w:rPr>
          <w:rFonts w:ascii="Bookman Old Style" w:hAnsi="Bookman Old Style"/>
        </w:rPr>
        <w:t xml:space="preserve">, the </w:t>
      </w:r>
      <w:r w:rsidR="00892AF6">
        <w:rPr>
          <w:rFonts w:ascii="Bookman Old Style" w:hAnsi="Bookman Old Style"/>
        </w:rPr>
        <w:t>C</w:t>
      </w:r>
      <w:r w:rsidR="00CE61D4">
        <w:rPr>
          <w:rFonts w:ascii="Bookman Old Style" w:hAnsi="Bookman Old Style"/>
        </w:rPr>
        <w:t>ourt deems it important to emphasise at this juncture</w:t>
      </w:r>
      <w:r w:rsidR="00A65404">
        <w:rPr>
          <w:rFonts w:ascii="Bookman Old Style" w:hAnsi="Bookman Old Style"/>
        </w:rPr>
        <w:t>,</w:t>
      </w:r>
      <w:r w:rsidR="00CE61D4">
        <w:rPr>
          <w:rFonts w:ascii="Bookman Old Style" w:hAnsi="Bookman Old Style"/>
        </w:rPr>
        <w:t xml:space="preserve"> that </w:t>
      </w:r>
      <w:r w:rsidR="00A65404" w:rsidRPr="00A65404">
        <w:rPr>
          <w:rFonts w:ascii="Bookman Old Style" w:hAnsi="Bookman Old Style"/>
          <w:b/>
          <w:i/>
        </w:rPr>
        <w:t>‘where the non-existence of a reasonable cause of action is not beyond doubt ex-facie the pleadings, the pleading ought not to be struck out’</w:t>
      </w:r>
      <w:r w:rsidR="00A12E1C">
        <w:rPr>
          <w:rFonts w:ascii="Bookman Old Style" w:hAnsi="Bookman Old Style"/>
          <w:b/>
          <w:i/>
        </w:rPr>
        <w:t xml:space="preserve"> </w:t>
      </w:r>
      <w:r w:rsidR="00A65404" w:rsidRPr="00892AF6">
        <w:rPr>
          <w:rFonts w:ascii="Bookman Old Style" w:hAnsi="Bookman Old Style"/>
        </w:rPr>
        <w:t>(Vide: the above-cited case law in that regard).</w:t>
      </w:r>
    </w:p>
    <w:p w:rsidR="00A65404" w:rsidRDefault="00A65404" w:rsidP="001960B8">
      <w:pPr>
        <w:pStyle w:val="JudgmentText"/>
        <w:numPr>
          <w:ilvl w:val="0"/>
          <w:numId w:val="0"/>
        </w:numPr>
        <w:ind w:left="720" w:hanging="720"/>
        <w:rPr>
          <w:rFonts w:ascii="Bookman Old Style" w:hAnsi="Bookman Old Style"/>
        </w:rPr>
      </w:pPr>
      <w:r>
        <w:rPr>
          <w:rFonts w:ascii="Bookman Old Style" w:hAnsi="Bookman Old Style"/>
        </w:rPr>
        <w:t>[1</w:t>
      </w:r>
      <w:r w:rsidR="001960B8">
        <w:rPr>
          <w:rFonts w:ascii="Bookman Old Style" w:hAnsi="Bookman Old Style"/>
        </w:rPr>
        <w:t>9</w:t>
      </w:r>
      <w:r>
        <w:rPr>
          <w:rFonts w:ascii="Bookman Old Style" w:hAnsi="Bookman Old Style"/>
        </w:rPr>
        <w:t>]</w:t>
      </w:r>
      <w:r>
        <w:rPr>
          <w:rFonts w:ascii="Bookman Old Style" w:hAnsi="Bookman Old Style"/>
        </w:rPr>
        <w:tab/>
        <w:t>Attempts at adducing evidence contrary to the basic Rules of evidence by way of attachments to written submissions as filed by the 2</w:t>
      </w:r>
      <w:r w:rsidRPr="00A65404">
        <w:rPr>
          <w:rFonts w:ascii="Bookman Old Style" w:hAnsi="Bookman Old Style"/>
          <w:vertAlign w:val="superscript"/>
        </w:rPr>
        <w:t>nd</w:t>
      </w:r>
      <w:r w:rsidR="00A12E1C">
        <w:rPr>
          <w:rFonts w:ascii="Bookman Old Style" w:hAnsi="Bookman Old Style"/>
        </w:rPr>
        <w:t xml:space="preserve"> D</w:t>
      </w:r>
      <w:r>
        <w:rPr>
          <w:rFonts w:ascii="Bookman Old Style" w:hAnsi="Bookman Old Style"/>
        </w:rPr>
        <w:t>efendant is contrary to legal practice and basic tenets of civil procedure law hence shall not be condoned and or entertained by the Court. In that respect therefore, I shall disregard the attachments to the submissions of the 2</w:t>
      </w:r>
      <w:r w:rsidRPr="00A65404">
        <w:rPr>
          <w:rFonts w:ascii="Bookman Old Style" w:hAnsi="Bookman Old Style"/>
          <w:vertAlign w:val="superscript"/>
        </w:rPr>
        <w:t>nd</w:t>
      </w:r>
      <w:r w:rsidR="00A12E1C">
        <w:rPr>
          <w:rFonts w:ascii="Bookman Old Style" w:hAnsi="Bookman Old Style"/>
        </w:rPr>
        <w:t xml:space="preserve"> D</w:t>
      </w:r>
      <w:r>
        <w:rPr>
          <w:rFonts w:ascii="Bookman Old Style" w:hAnsi="Bookman Old Style"/>
        </w:rPr>
        <w:t>efendant for reasons stated.</w:t>
      </w:r>
    </w:p>
    <w:p w:rsidR="00334843" w:rsidRDefault="001960B8" w:rsidP="001960B8">
      <w:pPr>
        <w:pStyle w:val="JudgmentText"/>
        <w:numPr>
          <w:ilvl w:val="0"/>
          <w:numId w:val="0"/>
        </w:numPr>
        <w:ind w:left="720" w:hanging="720"/>
        <w:rPr>
          <w:rFonts w:ascii="Bookman Old Style" w:hAnsi="Bookman Old Style"/>
        </w:rPr>
      </w:pPr>
      <w:r>
        <w:rPr>
          <w:rFonts w:ascii="Bookman Old Style" w:hAnsi="Bookman Old Style"/>
        </w:rPr>
        <w:t>[20</w:t>
      </w:r>
      <w:r w:rsidR="00334843">
        <w:rPr>
          <w:rFonts w:ascii="Bookman Old Style" w:hAnsi="Bookman Old Style"/>
        </w:rPr>
        <w:t>]</w:t>
      </w:r>
      <w:r w:rsidR="00334843">
        <w:rPr>
          <w:rFonts w:ascii="Bookman Old Style" w:hAnsi="Bookman Old Style"/>
        </w:rPr>
        <w:tab/>
      </w:r>
      <w:r w:rsidR="00892AF6">
        <w:rPr>
          <w:rFonts w:ascii="Bookman Old Style" w:hAnsi="Bookman Old Style"/>
        </w:rPr>
        <w:t>I also carefully examine the P</w:t>
      </w:r>
      <w:r w:rsidR="00A65404">
        <w:rPr>
          <w:rFonts w:ascii="Bookman Old Style" w:hAnsi="Bookman Old Style"/>
        </w:rPr>
        <w:t>laint and finds that as per the averm</w:t>
      </w:r>
      <w:r w:rsidR="00656B5B">
        <w:rPr>
          <w:rFonts w:ascii="Bookman Old Style" w:hAnsi="Bookman Old Style"/>
        </w:rPr>
        <w:t xml:space="preserve">ents </w:t>
      </w:r>
      <w:r w:rsidR="00A12E1C">
        <w:rPr>
          <w:rFonts w:ascii="Bookman Old Style" w:hAnsi="Bookman Old Style"/>
        </w:rPr>
        <w:t xml:space="preserve">at </w:t>
      </w:r>
      <w:r w:rsidR="00A65404">
        <w:rPr>
          <w:rFonts w:ascii="Bookman Old Style" w:hAnsi="Bookman Old Style"/>
        </w:rPr>
        <w:t xml:space="preserve">paragraphs 1, </w:t>
      </w:r>
      <w:r>
        <w:rPr>
          <w:rFonts w:ascii="Bookman Old Style" w:hAnsi="Bookman Old Style"/>
        </w:rPr>
        <w:t>2, 3, 4, 5, 6, 7 and 8 thereof,</w:t>
      </w:r>
      <w:r w:rsidR="00334843">
        <w:rPr>
          <w:rFonts w:ascii="Bookman Old Style" w:hAnsi="Bookman Old Style"/>
        </w:rPr>
        <w:t xml:space="preserve"> that </w:t>
      </w:r>
      <w:r w:rsidR="00A65404">
        <w:rPr>
          <w:rFonts w:ascii="Bookman Old Style" w:hAnsi="Bookman Old Style"/>
        </w:rPr>
        <w:t xml:space="preserve">the first </w:t>
      </w:r>
      <w:r w:rsidR="00334843">
        <w:rPr>
          <w:rFonts w:ascii="Bookman Old Style" w:hAnsi="Bookman Old Style"/>
        </w:rPr>
        <w:t xml:space="preserve">plea in </w:t>
      </w:r>
      <w:proofErr w:type="spellStart"/>
      <w:r w:rsidR="00334843">
        <w:rPr>
          <w:rFonts w:ascii="Bookman Old Style" w:hAnsi="Bookman Old Style"/>
        </w:rPr>
        <w:t>limine</w:t>
      </w:r>
      <w:proofErr w:type="spellEnd"/>
      <w:r w:rsidR="00334843">
        <w:rPr>
          <w:rFonts w:ascii="Bookman Old Style" w:hAnsi="Bookman Old Style"/>
        </w:rPr>
        <w:t xml:space="preserve"> </w:t>
      </w:r>
      <w:proofErr w:type="spellStart"/>
      <w:r w:rsidR="00334843">
        <w:rPr>
          <w:rFonts w:ascii="Bookman Old Style" w:hAnsi="Bookman Old Style"/>
        </w:rPr>
        <w:t>litis</w:t>
      </w:r>
      <w:proofErr w:type="spellEnd"/>
      <w:r w:rsidR="00334843">
        <w:rPr>
          <w:rFonts w:ascii="Bookman Old Style" w:hAnsi="Bookman Old Style"/>
        </w:rPr>
        <w:t xml:space="preserve"> </w:t>
      </w:r>
      <w:r w:rsidR="00A65404">
        <w:rPr>
          <w:rFonts w:ascii="Bookman Old Style" w:hAnsi="Bookman Old Style"/>
        </w:rPr>
        <w:t>as raised by the 2</w:t>
      </w:r>
      <w:r w:rsidR="00A65404" w:rsidRPr="00A65404">
        <w:rPr>
          <w:rFonts w:ascii="Bookman Old Style" w:hAnsi="Bookman Old Style"/>
          <w:vertAlign w:val="superscript"/>
        </w:rPr>
        <w:t>nd</w:t>
      </w:r>
      <w:r w:rsidR="00A12E1C">
        <w:rPr>
          <w:rFonts w:ascii="Bookman Old Style" w:hAnsi="Bookman Old Style"/>
        </w:rPr>
        <w:t xml:space="preserve"> D</w:t>
      </w:r>
      <w:r w:rsidR="00A65404">
        <w:rPr>
          <w:rFonts w:ascii="Bookman Old Style" w:hAnsi="Bookman Old Style"/>
        </w:rPr>
        <w:t xml:space="preserve">efendant </w:t>
      </w:r>
      <w:r w:rsidR="00334843">
        <w:rPr>
          <w:rFonts w:ascii="Bookman Old Style" w:hAnsi="Bookman Old Style"/>
        </w:rPr>
        <w:t xml:space="preserve">cannot be dealt with at this point unless evidence is led and considered by the Court accordingly. </w:t>
      </w:r>
      <w:r w:rsidR="00656B5B">
        <w:rPr>
          <w:rFonts w:ascii="Bookman Old Style" w:hAnsi="Bookman Old Style"/>
        </w:rPr>
        <w:t>There is in my opinion a plai</w:t>
      </w:r>
      <w:r w:rsidR="00B83BE7">
        <w:rPr>
          <w:rFonts w:ascii="Bookman Old Style" w:hAnsi="Bookman Old Style"/>
        </w:rPr>
        <w:t>n and concise statement of the circum</w:t>
      </w:r>
      <w:r w:rsidR="00656B5B">
        <w:rPr>
          <w:rFonts w:ascii="Bookman Old Style" w:hAnsi="Bookman Old Style"/>
        </w:rPr>
        <w:t xml:space="preserve">stances </w:t>
      </w:r>
      <w:r w:rsidR="00B83BE7">
        <w:rPr>
          <w:rFonts w:ascii="Bookman Old Style" w:hAnsi="Bookman Old Style"/>
        </w:rPr>
        <w:t xml:space="preserve">constituting the cause of action and of the material facts necessary </w:t>
      </w:r>
      <w:r w:rsidR="00656B5B">
        <w:rPr>
          <w:rFonts w:ascii="Bookman Old Style" w:hAnsi="Bookman Old Style"/>
        </w:rPr>
        <w:t>to sustain same and</w:t>
      </w:r>
      <w:r w:rsidR="00B83BE7">
        <w:rPr>
          <w:rFonts w:ascii="Bookman Old Style" w:hAnsi="Bookman Old Style"/>
        </w:rPr>
        <w:t xml:space="preserve"> a demand of the relief </w:t>
      </w:r>
      <w:r w:rsidR="00656B5B">
        <w:rPr>
          <w:rFonts w:ascii="Bookman Old Style" w:hAnsi="Bookman Old Style"/>
        </w:rPr>
        <w:t xml:space="preserve">as </w:t>
      </w:r>
      <w:r w:rsidR="00892AF6">
        <w:rPr>
          <w:rFonts w:ascii="Bookman Old Style" w:hAnsi="Bookman Old Style"/>
        </w:rPr>
        <w:t xml:space="preserve">against </w:t>
      </w:r>
      <w:r w:rsidR="00B83BE7">
        <w:rPr>
          <w:rFonts w:ascii="Bookman Old Style" w:hAnsi="Bookman Old Style"/>
        </w:rPr>
        <w:t>the 2</w:t>
      </w:r>
      <w:r w:rsidR="00B83BE7" w:rsidRPr="00B83BE7">
        <w:rPr>
          <w:rFonts w:ascii="Bookman Old Style" w:hAnsi="Bookman Old Style"/>
          <w:vertAlign w:val="superscript"/>
        </w:rPr>
        <w:t>nd</w:t>
      </w:r>
      <w:r w:rsidR="00A12E1C">
        <w:rPr>
          <w:rFonts w:ascii="Bookman Old Style" w:hAnsi="Bookman Old Style"/>
        </w:rPr>
        <w:t xml:space="preserve"> D</w:t>
      </w:r>
      <w:r w:rsidR="00892AF6">
        <w:rPr>
          <w:rFonts w:ascii="Bookman Old Style" w:hAnsi="Bookman Old Style"/>
        </w:rPr>
        <w:t>efendant for the p</w:t>
      </w:r>
      <w:r w:rsidR="00B83BE7">
        <w:rPr>
          <w:rFonts w:ascii="Bookman Old Style" w:hAnsi="Bookman Old Style"/>
        </w:rPr>
        <w:t xml:space="preserve">urpose of the pleadings as per the provisions of </w:t>
      </w:r>
      <w:r w:rsidR="00892AF6">
        <w:rPr>
          <w:rFonts w:ascii="Bookman Old Style" w:hAnsi="Bookman Old Style"/>
        </w:rPr>
        <w:t>S</w:t>
      </w:r>
      <w:r w:rsidR="00B83BE7">
        <w:rPr>
          <w:rFonts w:ascii="Bookman Old Style" w:hAnsi="Bookman Old Style"/>
        </w:rPr>
        <w:t xml:space="preserve">ection 71 of </w:t>
      </w:r>
      <w:r w:rsidR="00892AF6">
        <w:rPr>
          <w:rFonts w:ascii="Bookman Old Style" w:hAnsi="Bookman Old Style"/>
        </w:rPr>
        <w:t xml:space="preserve">the Code as illustrated (supra), </w:t>
      </w:r>
      <w:r w:rsidR="00334843">
        <w:rPr>
          <w:rFonts w:ascii="Bookman Old Style" w:hAnsi="Bookman Old Style"/>
        </w:rPr>
        <w:t>hence, such a plea cannot be entertained at this stage but rather</w:t>
      </w:r>
      <w:r w:rsidR="00A12E1C">
        <w:rPr>
          <w:rFonts w:ascii="Bookman Old Style" w:hAnsi="Bookman Old Style"/>
        </w:rPr>
        <w:t xml:space="preserve"> to be</w:t>
      </w:r>
      <w:r w:rsidR="00334843">
        <w:rPr>
          <w:rFonts w:ascii="Bookman Old Style" w:hAnsi="Bookman Old Style"/>
        </w:rPr>
        <w:t xml:space="preserve"> </w:t>
      </w:r>
      <w:r w:rsidR="00892AF6">
        <w:rPr>
          <w:rFonts w:ascii="Bookman Old Style" w:hAnsi="Bookman Old Style"/>
        </w:rPr>
        <w:t xml:space="preserve">considered </w:t>
      </w:r>
      <w:r w:rsidR="00334843">
        <w:rPr>
          <w:rFonts w:ascii="Bookman Old Style" w:hAnsi="Bookman Old Style"/>
        </w:rPr>
        <w:t>after the hearing of the case on the merits proper.</w:t>
      </w:r>
    </w:p>
    <w:p w:rsidR="00656B5B" w:rsidRDefault="001960B8" w:rsidP="001960B8">
      <w:pPr>
        <w:pStyle w:val="JudgmentText"/>
        <w:numPr>
          <w:ilvl w:val="0"/>
          <w:numId w:val="0"/>
        </w:numPr>
        <w:ind w:left="720" w:hanging="720"/>
        <w:rPr>
          <w:rFonts w:ascii="Bookman Old Style" w:hAnsi="Bookman Old Style"/>
        </w:rPr>
      </w:pPr>
      <w:r>
        <w:rPr>
          <w:rFonts w:ascii="Bookman Old Style" w:hAnsi="Bookman Old Style"/>
        </w:rPr>
        <w:t>[21</w:t>
      </w:r>
      <w:r w:rsidR="00334843">
        <w:rPr>
          <w:rFonts w:ascii="Bookman Old Style" w:hAnsi="Bookman Old Style"/>
        </w:rPr>
        <w:t>]</w:t>
      </w:r>
      <w:r w:rsidR="00334843">
        <w:rPr>
          <w:rFonts w:ascii="Bookman Old Style" w:hAnsi="Bookman Old Style"/>
        </w:rPr>
        <w:tab/>
        <w:t>I</w:t>
      </w:r>
      <w:r w:rsidR="00656B5B">
        <w:rPr>
          <w:rFonts w:ascii="Bookman Old Style" w:hAnsi="Bookman Old Style"/>
        </w:rPr>
        <w:t>t</w:t>
      </w:r>
      <w:r w:rsidR="00B83BE7">
        <w:rPr>
          <w:rFonts w:ascii="Bookman Old Style" w:hAnsi="Bookman Old Style"/>
        </w:rPr>
        <w:t xml:space="preserve"> follows therefore in </w:t>
      </w:r>
      <w:r w:rsidR="00334843">
        <w:rPr>
          <w:rFonts w:ascii="Bookman Old Style" w:hAnsi="Bookman Old Style"/>
        </w:rPr>
        <w:t>the lig</w:t>
      </w:r>
      <w:r w:rsidR="00656B5B">
        <w:rPr>
          <w:rFonts w:ascii="Bookman Old Style" w:hAnsi="Bookman Old Style"/>
        </w:rPr>
        <w:t xml:space="preserve">ht of the above analysis </w:t>
      </w:r>
      <w:r w:rsidR="00B83BE7">
        <w:rPr>
          <w:rFonts w:ascii="Bookman Old Style" w:hAnsi="Bookman Old Style"/>
        </w:rPr>
        <w:t xml:space="preserve">that the first plea in </w:t>
      </w:r>
      <w:proofErr w:type="spellStart"/>
      <w:r w:rsidR="00B83BE7">
        <w:rPr>
          <w:rFonts w:ascii="Bookman Old Style" w:hAnsi="Bookman Old Style"/>
        </w:rPr>
        <w:t>limine</w:t>
      </w:r>
      <w:proofErr w:type="spellEnd"/>
      <w:r w:rsidR="00B83BE7">
        <w:rPr>
          <w:rFonts w:ascii="Bookman Old Style" w:hAnsi="Bookman Old Style"/>
        </w:rPr>
        <w:t xml:space="preserve"> </w:t>
      </w:r>
      <w:r>
        <w:rPr>
          <w:rFonts w:ascii="Bookman Old Style" w:hAnsi="Bookman Old Style"/>
        </w:rPr>
        <w:t xml:space="preserve">as raised by </w:t>
      </w:r>
      <w:r w:rsidR="00B83BE7">
        <w:rPr>
          <w:rFonts w:ascii="Bookman Old Style" w:hAnsi="Bookman Old Style"/>
        </w:rPr>
        <w:t>the 2</w:t>
      </w:r>
      <w:r w:rsidR="00B83BE7" w:rsidRPr="00B83BE7">
        <w:rPr>
          <w:rFonts w:ascii="Bookman Old Style" w:hAnsi="Bookman Old Style"/>
          <w:vertAlign w:val="superscript"/>
        </w:rPr>
        <w:t>nd</w:t>
      </w:r>
      <w:r w:rsidR="00A12E1C">
        <w:rPr>
          <w:rFonts w:ascii="Bookman Old Style" w:hAnsi="Bookman Old Style"/>
        </w:rPr>
        <w:t xml:space="preserve"> D</w:t>
      </w:r>
      <w:r w:rsidR="00B83BE7">
        <w:rPr>
          <w:rFonts w:ascii="Bookman Old Style" w:hAnsi="Bookman Old Style"/>
        </w:rPr>
        <w:t xml:space="preserve">efendant is </w:t>
      </w:r>
      <w:r w:rsidR="00656B5B">
        <w:rPr>
          <w:rFonts w:ascii="Bookman Old Style" w:hAnsi="Bookman Old Style"/>
        </w:rPr>
        <w:t>overruled accordingly</w:t>
      </w:r>
      <w:r>
        <w:rPr>
          <w:rFonts w:ascii="Bookman Old Style" w:hAnsi="Bookman Old Style"/>
        </w:rPr>
        <w:t>.</w:t>
      </w:r>
    </w:p>
    <w:p w:rsidR="00656B5B" w:rsidRPr="00656B5B" w:rsidRDefault="00DC3CA0" w:rsidP="001960B8">
      <w:pPr>
        <w:pStyle w:val="JudgmentText"/>
        <w:numPr>
          <w:ilvl w:val="0"/>
          <w:numId w:val="0"/>
        </w:numPr>
        <w:ind w:left="720" w:hanging="720"/>
        <w:rPr>
          <w:rFonts w:ascii="Bookman Old Style" w:hAnsi="Bookman Old Style"/>
        </w:rPr>
      </w:pPr>
      <w:r>
        <w:rPr>
          <w:rFonts w:ascii="Bookman Old Style" w:hAnsi="Bookman Old Style"/>
        </w:rPr>
        <w:t>[</w:t>
      </w:r>
      <w:r w:rsidR="00B83BE7">
        <w:rPr>
          <w:rFonts w:ascii="Bookman Old Style" w:hAnsi="Bookman Old Style"/>
        </w:rPr>
        <w:t>2</w:t>
      </w:r>
      <w:r w:rsidR="001960B8">
        <w:rPr>
          <w:rFonts w:ascii="Bookman Old Style" w:hAnsi="Bookman Old Style"/>
        </w:rPr>
        <w:t>2</w:t>
      </w:r>
      <w:r>
        <w:rPr>
          <w:rFonts w:ascii="Bookman Old Style" w:hAnsi="Bookman Old Style"/>
        </w:rPr>
        <w:t>]</w:t>
      </w:r>
      <w:r>
        <w:rPr>
          <w:rFonts w:ascii="Bookman Old Style" w:hAnsi="Bookman Old Style"/>
        </w:rPr>
        <w:tab/>
      </w:r>
      <w:r w:rsidR="00FF6A4D">
        <w:rPr>
          <w:rFonts w:ascii="Bookman Old Style" w:hAnsi="Bookman Old Style"/>
        </w:rPr>
        <w:t>In furtherance to paragraph [9</w:t>
      </w:r>
      <w:r w:rsidR="00656B5B">
        <w:rPr>
          <w:rFonts w:ascii="Bookman Old Style" w:hAnsi="Bookman Old Style"/>
        </w:rPr>
        <w:t>] of this Ruling, this Court will now move on to consider the second limb of the 2</w:t>
      </w:r>
      <w:r w:rsidR="00656B5B" w:rsidRPr="00656B5B">
        <w:rPr>
          <w:rFonts w:ascii="Bookman Old Style" w:hAnsi="Bookman Old Style"/>
          <w:vertAlign w:val="superscript"/>
        </w:rPr>
        <w:t>nd</w:t>
      </w:r>
      <w:r w:rsidR="00656B5B">
        <w:rPr>
          <w:rFonts w:ascii="Bookman Old Style" w:hAnsi="Bookman Old Style"/>
        </w:rPr>
        <w:t xml:space="preserve"> Defendant’s plea in </w:t>
      </w:r>
      <w:proofErr w:type="spellStart"/>
      <w:r w:rsidR="00656B5B">
        <w:rPr>
          <w:rFonts w:ascii="Bookman Old Style" w:hAnsi="Bookman Old Style"/>
        </w:rPr>
        <w:t>liminie</w:t>
      </w:r>
      <w:proofErr w:type="spellEnd"/>
      <w:r w:rsidR="00656B5B">
        <w:rPr>
          <w:rFonts w:ascii="Bookman Old Style" w:hAnsi="Bookman Old Style"/>
        </w:rPr>
        <w:t xml:space="preserve"> </w:t>
      </w:r>
      <w:proofErr w:type="spellStart"/>
      <w:r w:rsidR="00656B5B">
        <w:rPr>
          <w:rFonts w:ascii="Bookman Old Style" w:hAnsi="Bookman Old Style"/>
        </w:rPr>
        <w:t>litis</w:t>
      </w:r>
      <w:proofErr w:type="spellEnd"/>
      <w:r w:rsidR="00656B5B">
        <w:rPr>
          <w:rFonts w:ascii="Bookman Old Style" w:hAnsi="Bookman Old Style"/>
        </w:rPr>
        <w:t xml:space="preserve"> to the effect that “</w:t>
      </w:r>
      <w:r w:rsidR="00656B5B">
        <w:rPr>
          <w:rFonts w:ascii="Bookman Old Style" w:hAnsi="Bookman Old Style"/>
          <w:i/>
        </w:rPr>
        <w:t xml:space="preserve">The plaintiff does not have legal capacity to bring this </w:t>
      </w:r>
      <w:r w:rsidR="00656B5B">
        <w:rPr>
          <w:rFonts w:ascii="Bookman Old Style" w:hAnsi="Bookman Old Style"/>
          <w:i/>
        </w:rPr>
        <w:lastRenderedPageBreak/>
        <w:t>ac</w:t>
      </w:r>
      <w:r w:rsidR="001960B8">
        <w:rPr>
          <w:rFonts w:ascii="Bookman Old Style" w:hAnsi="Bookman Old Style"/>
          <w:i/>
        </w:rPr>
        <w:t xml:space="preserve">tion by virtue of the fact that she </w:t>
      </w:r>
      <w:r w:rsidR="00656B5B">
        <w:rPr>
          <w:rFonts w:ascii="Bookman Old Style" w:hAnsi="Bookman Old Style"/>
          <w:i/>
        </w:rPr>
        <w:t xml:space="preserve">is not the registered owner of land parcel V538 at Roche Bois, </w:t>
      </w:r>
      <w:proofErr w:type="spellStart"/>
      <w:r w:rsidR="00656B5B">
        <w:rPr>
          <w:rFonts w:ascii="Bookman Old Style" w:hAnsi="Bookman Old Style"/>
          <w:i/>
        </w:rPr>
        <w:t>Mahe</w:t>
      </w:r>
      <w:proofErr w:type="spellEnd"/>
      <w:r w:rsidR="00656B5B">
        <w:rPr>
          <w:rFonts w:ascii="Bookman Old Style" w:hAnsi="Bookman Old Style"/>
          <w:i/>
        </w:rPr>
        <w:t>”.</w:t>
      </w:r>
    </w:p>
    <w:p w:rsidR="0068770B" w:rsidRDefault="001960B8" w:rsidP="001960B8">
      <w:pPr>
        <w:pStyle w:val="JudgmentText"/>
        <w:numPr>
          <w:ilvl w:val="0"/>
          <w:numId w:val="0"/>
        </w:numPr>
        <w:ind w:left="720" w:hanging="720"/>
        <w:rPr>
          <w:rFonts w:ascii="Bookman Old Style" w:hAnsi="Bookman Old Style"/>
        </w:rPr>
      </w:pPr>
      <w:r>
        <w:rPr>
          <w:rFonts w:ascii="Bookman Old Style" w:hAnsi="Bookman Old Style"/>
        </w:rPr>
        <w:t>[23</w:t>
      </w:r>
      <w:r w:rsidR="00DC3CA0">
        <w:rPr>
          <w:rFonts w:ascii="Bookman Old Style" w:hAnsi="Bookman Old Style"/>
        </w:rPr>
        <w:t>]</w:t>
      </w:r>
      <w:r w:rsidR="00DC3CA0">
        <w:rPr>
          <w:rFonts w:ascii="Bookman Old Style" w:hAnsi="Bookman Old Style"/>
        </w:rPr>
        <w:tab/>
      </w:r>
      <w:r w:rsidR="00656B5B">
        <w:rPr>
          <w:rFonts w:ascii="Bookman Old Style" w:hAnsi="Bookman Old Style"/>
        </w:rPr>
        <w:t>In considering the latter point of law, the Court further reiterates its Ruling at paragraph</w:t>
      </w:r>
      <w:r>
        <w:rPr>
          <w:rFonts w:ascii="Bookman Old Style" w:hAnsi="Bookman Old Style"/>
        </w:rPr>
        <w:t xml:space="preserve">s </w:t>
      </w:r>
      <w:r w:rsidR="00656B5B">
        <w:rPr>
          <w:rFonts w:ascii="Bookman Old Style" w:hAnsi="Bookman Old Style"/>
        </w:rPr>
        <w:t>[1</w:t>
      </w:r>
      <w:r>
        <w:rPr>
          <w:rFonts w:ascii="Bookman Old Style" w:hAnsi="Bookman Old Style"/>
        </w:rPr>
        <w:t>8] and [19</w:t>
      </w:r>
      <w:r w:rsidR="00656B5B">
        <w:rPr>
          <w:rFonts w:ascii="Bookman Old Style" w:hAnsi="Bookman Old Style"/>
        </w:rPr>
        <w:t>] thereof and further rules that the basis of the Pl</w:t>
      </w:r>
      <w:r>
        <w:rPr>
          <w:rFonts w:ascii="Bookman Old Style" w:hAnsi="Bookman Old Style"/>
        </w:rPr>
        <w:t>aint as filed is in respect of P</w:t>
      </w:r>
      <w:r w:rsidR="00656B5B">
        <w:rPr>
          <w:rFonts w:ascii="Bookman Old Style" w:hAnsi="Bookman Old Style"/>
        </w:rPr>
        <w:t xml:space="preserve">arcel </w:t>
      </w:r>
      <w:r w:rsidR="0068770B">
        <w:rPr>
          <w:rFonts w:ascii="Bookman Old Style" w:hAnsi="Bookman Old Style"/>
        </w:rPr>
        <w:t xml:space="preserve">V 4874 </w:t>
      </w:r>
      <w:r>
        <w:rPr>
          <w:rFonts w:ascii="Bookman Old Style" w:hAnsi="Bookman Old Style"/>
        </w:rPr>
        <w:t>a</w:t>
      </w:r>
      <w:r w:rsidR="0068770B">
        <w:rPr>
          <w:rFonts w:ascii="Bookman Old Style" w:hAnsi="Bookman Old Style"/>
        </w:rPr>
        <w:t xml:space="preserve">nd not </w:t>
      </w:r>
      <w:r>
        <w:rPr>
          <w:rFonts w:ascii="Bookman Old Style" w:hAnsi="Bookman Old Style"/>
        </w:rPr>
        <w:t>V</w:t>
      </w:r>
      <w:r w:rsidR="00A12E1C">
        <w:rPr>
          <w:rFonts w:ascii="Bookman Old Style" w:hAnsi="Bookman Old Style"/>
        </w:rPr>
        <w:t>538</w:t>
      </w:r>
      <w:r>
        <w:rPr>
          <w:rFonts w:ascii="Bookman Old Style" w:hAnsi="Bookman Old Style"/>
        </w:rPr>
        <w:t xml:space="preserve"> as rightly argued by Lear</w:t>
      </w:r>
      <w:r w:rsidR="0068770B">
        <w:rPr>
          <w:rFonts w:ascii="Bookman Old Style" w:hAnsi="Bookman Old Style"/>
        </w:rPr>
        <w:t>ned Cou</w:t>
      </w:r>
      <w:r>
        <w:rPr>
          <w:rFonts w:ascii="Bookman Old Style" w:hAnsi="Bookman Old Style"/>
        </w:rPr>
        <w:t xml:space="preserve">nsel </w:t>
      </w:r>
      <w:r w:rsidR="0068770B">
        <w:rPr>
          <w:rFonts w:ascii="Bookman Old Style" w:hAnsi="Bookman Old Style"/>
        </w:rPr>
        <w:t xml:space="preserve">for the Plaintiff in his written submissions hence rendering the plea in </w:t>
      </w:r>
      <w:proofErr w:type="spellStart"/>
      <w:r w:rsidR="0068770B">
        <w:rPr>
          <w:rFonts w:ascii="Bookman Old Style" w:hAnsi="Bookman Old Style"/>
        </w:rPr>
        <w:t>limine</w:t>
      </w:r>
      <w:proofErr w:type="spellEnd"/>
      <w:r w:rsidR="0068770B">
        <w:rPr>
          <w:rFonts w:ascii="Bookman Old Style" w:hAnsi="Bookman Old Style"/>
        </w:rPr>
        <w:t xml:space="preserve"> </w:t>
      </w:r>
      <w:proofErr w:type="spellStart"/>
      <w:r>
        <w:rPr>
          <w:rFonts w:ascii="Bookman Old Style" w:hAnsi="Bookman Old Style"/>
        </w:rPr>
        <w:t>litis</w:t>
      </w:r>
      <w:proofErr w:type="spellEnd"/>
      <w:r>
        <w:rPr>
          <w:rFonts w:ascii="Bookman Old Style" w:hAnsi="Bookman Old Style"/>
        </w:rPr>
        <w:t xml:space="preserve"> </w:t>
      </w:r>
      <w:r w:rsidR="0068770B">
        <w:rPr>
          <w:rFonts w:ascii="Bookman Old Style" w:hAnsi="Bookman Old Style"/>
        </w:rPr>
        <w:t>devoid of merits. In that same respect however, the Court further makes the observation that errors of this kind at the stage of pleadings are technical by nature and might necessitate amendments at the motion of the relevant parties for it does not</w:t>
      </w:r>
      <w:r w:rsidR="00A12E1C">
        <w:rPr>
          <w:rFonts w:ascii="Bookman Old Style" w:hAnsi="Bookman Old Style"/>
        </w:rPr>
        <w:t xml:space="preserve"> in the specific facts of this P</w:t>
      </w:r>
      <w:r w:rsidR="0068770B">
        <w:rPr>
          <w:rFonts w:ascii="Bookman Old Style" w:hAnsi="Bookman Old Style"/>
        </w:rPr>
        <w:t>laint re</w:t>
      </w:r>
      <w:r>
        <w:rPr>
          <w:rFonts w:ascii="Bookman Old Style" w:hAnsi="Bookman Old Style"/>
        </w:rPr>
        <w:t>nder t</w:t>
      </w:r>
      <w:r w:rsidR="00A12E1C">
        <w:rPr>
          <w:rFonts w:ascii="Bookman Old Style" w:hAnsi="Bookman Old Style"/>
        </w:rPr>
        <w:t>he P</w:t>
      </w:r>
      <w:r>
        <w:rPr>
          <w:rFonts w:ascii="Bookman Old Style" w:hAnsi="Bookman Old Style"/>
        </w:rPr>
        <w:t xml:space="preserve">laint “null and void </w:t>
      </w:r>
      <w:proofErr w:type="spellStart"/>
      <w:r w:rsidR="0068770B">
        <w:rPr>
          <w:rFonts w:ascii="Bookman Old Style" w:hAnsi="Bookman Old Style"/>
        </w:rPr>
        <w:t>ab</w:t>
      </w:r>
      <w:proofErr w:type="spellEnd"/>
      <w:r w:rsidR="0068770B">
        <w:rPr>
          <w:rFonts w:ascii="Bookman Old Style" w:hAnsi="Bookman Old Style"/>
        </w:rPr>
        <w:t xml:space="preserve"> initio</w:t>
      </w:r>
      <w:r>
        <w:rPr>
          <w:rFonts w:ascii="Bookman Old Style" w:hAnsi="Bookman Old Style"/>
        </w:rPr>
        <w:t>”</w:t>
      </w:r>
      <w:r w:rsidR="0068770B">
        <w:rPr>
          <w:rFonts w:ascii="Bookman Old Style" w:hAnsi="Bookman Old Style"/>
        </w:rPr>
        <w:t>. However, the proper procedure for ame</w:t>
      </w:r>
      <w:r w:rsidR="00C57EBB">
        <w:rPr>
          <w:rFonts w:ascii="Bookman Old Style" w:hAnsi="Bookman Old Style"/>
        </w:rPr>
        <w:t>ndment is to be followed by way of Motion and not</w:t>
      </w:r>
      <w:r w:rsidR="0068770B">
        <w:rPr>
          <w:rFonts w:ascii="Bookman Old Style" w:hAnsi="Bookman Old Style"/>
        </w:rPr>
        <w:t xml:space="preserve"> by way of wri</w:t>
      </w:r>
      <w:r>
        <w:rPr>
          <w:rFonts w:ascii="Bookman Old Style" w:hAnsi="Bookman Old Style"/>
        </w:rPr>
        <w:t>tten</w:t>
      </w:r>
      <w:r w:rsidR="00C57EBB">
        <w:rPr>
          <w:rFonts w:ascii="Bookman Old Style" w:hAnsi="Bookman Old Style"/>
        </w:rPr>
        <w:t xml:space="preserve"> submissions as done by </w:t>
      </w:r>
      <w:r w:rsidR="00A12E1C">
        <w:rPr>
          <w:rFonts w:ascii="Bookman Old Style" w:hAnsi="Bookman Old Style"/>
        </w:rPr>
        <w:t xml:space="preserve">Learned </w:t>
      </w:r>
      <w:r w:rsidR="00C57EBB">
        <w:rPr>
          <w:rFonts w:ascii="Bookman Old Style" w:hAnsi="Bookman Old Style"/>
        </w:rPr>
        <w:t>Counsel Mr Camille.</w:t>
      </w:r>
      <w:r>
        <w:rPr>
          <w:rFonts w:ascii="Bookman Old Style" w:hAnsi="Bookman Old Style"/>
        </w:rPr>
        <w:t xml:space="preserve"> </w:t>
      </w:r>
    </w:p>
    <w:p w:rsidR="0068770B" w:rsidRDefault="001960B8" w:rsidP="001960B8">
      <w:pPr>
        <w:pStyle w:val="JudgmentText"/>
        <w:numPr>
          <w:ilvl w:val="0"/>
          <w:numId w:val="0"/>
        </w:numPr>
        <w:ind w:left="720" w:hanging="720"/>
        <w:rPr>
          <w:rFonts w:ascii="Bookman Old Style" w:hAnsi="Bookman Old Style"/>
        </w:rPr>
      </w:pPr>
      <w:r>
        <w:rPr>
          <w:rFonts w:ascii="Bookman Old Style" w:hAnsi="Bookman Old Style"/>
        </w:rPr>
        <w:t>[24</w:t>
      </w:r>
      <w:r w:rsidR="0068770B">
        <w:rPr>
          <w:rFonts w:ascii="Bookman Old Style" w:hAnsi="Bookman Old Style"/>
        </w:rPr>
        <w:t>]</w:t>
      </w:r>
      <w:r w:rsidR="0068770B">
        <w:rPr>
          <w:rFonts w:ascii="Bookman Old Style" w:hAnsi="Bookman Old Style"/>
        </w:rPr>
        <w:tab/>
        <w:t xml:space="preserve">It follows thus that the second limb of the plea in </w:t>
      </w:r>
      <w:proofErr w:type="spellStart"/>
      <w:r w:rsidR="0068770B">
        <w:rPr>
          <w:rFonts w:ascii="Bookman Old Style" w:hAnsi="Bookman Old Style"/>
        </w:rPr>
        <w:t>limine</w:t>
      </w:r>
      <w:proofErr w:type="spellEnd"/>
      <w:r w:rsidR="0068770B">
        <w:rPr>
          <w:rFonts w:ascii="Bookman Old Style" w:hAnsi="Bookman Old Style"/>
        </w:rPr>
        <w:t xml:space="preserve"> </w:t>
      </w:r>
      <w:proofErr w:type="spellStart"/>
      <w:r>
        <w:rPr>
          <w:rFonts w:ascii="Bookman Old Style" w:hAnsi="Bookman Old Style"/>
        </w:rPr>
        <w:t>litis</w:t>
      </w:r>
      <w:proofErr w:type="spellEnd"/>
      <w:r>
        <w:rPr>
          <w:rFonts w:ascii="Bookman Old Style" w:hAnsi="Bookman Old Style"/>
        </w:rPr>
        <w:t xml:space="preserve"> </w:t>
      </w:r>
      <w:r w:rsidR="0068770B">
        <w:rPr>
          <w:rFonts w:ascii="Bookman Old Style" w:hAnsi="Bookman Old Style"/>
        </w:rPr>
        <w:t>of the 2</w:t>
      </w:r>
      <w:r w:rsidR="0068770B" w:rsidRPr="0068770B">
        <w:rPr>
          <w:rFonts w:ascii="Bookman Old Style" w:hAnsi="Bookman Old Style"/>
          <w:vertAlign w:val="superscript"/>
        </w:rPr>
        <w:t>nd</w:t>
      </w:r>
      <w:r w:rsidR="0068770B">
        <w:rPr>
          <w:rFonts w:ascii="Bookman Old Style" w:hAnsi="Bookman Old Style"/>
        </w:rPr>
        <w:t xml:space="preserve"> Defendant is</w:t>
      </w:r>
      <w:r w:rsidR="00A12E1C">
        <w:rPr>
          <w:rFonts w:ascii="Bookman Old Style" w:hAnsi="Bookman Old Style"/>
        </w:rPr>
        <w:t xml:space="preserve"> also</w:t>
      </w:r>
      <w:r w:rsidR="0068770B">
        <w:rPr>
          <w:rFonts w:ascii="Bookman Old Style" w:hAnsi="Bookman Old Style"/>
        </w:rPr>
        <w:t xml:space="preserve"> found</w:t>
      </w:r>
      <w:r w:rsidR="00C57EBB">
        <w:rPr>
          <w:rFonts w:ascii="Bookman Old Style" w:hAnsi="Bookman Old Style"/>
        </w:rPr>
        <w:t xml:space="preserve"> to be</w:t>
      </w:r>
      <w:r w:rsidR="0068770B">
        <w:rPr>
          <w:rFonts w:ascii="Bookman Old Style" w:hAnsi="Bookman Old Style"/>
        </w:rPr>
        <w:t xml:space="preserve"> devoid of any merits and is overruled accordingly. </w:t>
      </w:r>
    </w:p>
    <w:p w:rsidR="0068770B" w:rsidRDefault="001960B8" w:rsidP="001960B8">
      <w:pPr>
        <w:pStyle w:val="JudgmentText"/>
        <w:numPr>
          <w:ilvl w:val="0"/>
          <w:numId w:val="0"/>
        </w:numPr>
        <w:ind w:left="720" w:hanging="720"/>
        <w:rPr>
          <w:rFonts w:ascii="Bookman Old Style" w:hAnsi="Bookman Old Style"/>
        </w:rPr>
      </w:pPr>
      <w:r>
        <w:rPr>
          <w:rFonts w:ascii="Bookman Old Style" w:hAnsi="Bookman Old Style"/>
        </w:rPr>
        <w:t>[25</w:t>
      </w:r>
      <w:r w:rsidR="0068770B">
        <w:rPr>
          <w:rFonts w:ascii="Bookman Old Style" w:hAnsi="Bookman Old Style"/>
        </w:rPr>
        <w:t>]</w:t>
      </w:r>
      <w:r w:rsidR="0068770B">
        <w:rPr>
          <w:rFonts w:ascii="Bookman Old Style" w:hAnsi="Bookman Old Style"/>
        </w:rPr>
        <w:tab/>
        <w:t>In the end result, the Court rules that t</w:t>
      </w:r>
      <w:r w:rsidR="00A12E1C">
        <w:rPr>
          <w:rFonts w:ascii="Bookman Old Style" w:hAnsi="Bookman Old Style"/>
        </w:rPr>
        <w:t>he Plaint as against the first D</w:t>
      </w:r>
      <w:r w:rsidR="0068770B">
        <w:rPr>
          <w:rFonts w:ascii="Bookman Old Style" w:hAnsi="Bookman Old Style"/>
        </w:rPr>
        <w:t>efendant is dis</w:t>
      </w:r>
      <w:r>
        <w:rPr>
          <w:rFonts w:ascii="Bookman Old Style" w:hAnsi="Bookman Old Style"/>
        </w:rPr>
        <w:t>missed as ruled at paragraph [17</w:t>
      </w:r>
      <w:r w:rsidR="0068770B">
        <w:rPr>
          <w:rFonts w:ascii="Bookman Old Style" w:hAnsi="Bookman Old Style"/>
        </w:rPr>
        <w:t xml:space="preserve">] thereof </w:t>
      </w:r>
      <w:r w:rsidR="00A12E1C">
        <w:rPr>
          <w:rFonts w:ascii="Bookman Old Style" w:hAnsi="Bookman Old Style"/>
        </w:rPr>
        <w:t>as against the first D</w:t>
      </w:r>
      <w:r>
        <w:rPr>
          <w:rFonts w:ascii="Bookman Old Style" w:hAnsi="Bookman Old Style"/>
        </w:rPr>
        <w:t xml:space="preserve">efendant only </w:t>
      </w:r>
      <w:r w:rsidR="0068770B">
        <w:rPr>
          <w:rFonts w:ascii="Bookman Old Style" w:hAnsi="Bookman Old Style"/>
        </w:rPr>
        <w:t>and the Plea</w:t>
      </w:r>
      <w:r>
        <w:rPr>
          <w:rFonts w:ascii="Bookman Old Style" w:hAnsi="Bookman Old Style"/>
        </w:rPr>
        <w:t>s</w:t>
      </w:r>
      <w:r w:rsidR="0068770B">
        <w:rPr>
          <w:rFonts w:ascii="Bookman Old Style" w:hAnsi="Bookman Old Style"/>
        </w:rPr>
        <w:t xml:space="preserve"> in </w:t>
      </w:r>
      <w:proofErr w:type="spellStart"/>
      <w:r w:rsidR="0068770B">
        <w:rPr>
          <w:rFonts w:ascii="Bookman Old Style" w:hAnsi="Bookman Old Style"/>
        </w:rPr>
        <w:t>limine</w:t>
      </w:r>
      <w:proofErr w:type="spellEnd"/>
      <w:r w:rsidR="0068770B">
        <w:rPr>
          <w:rFonts w:ascii="Bookman Old Style" w:hAnsi="Bookman Old Style"/>
        </w:rPr>
        <w:t xml:space="preserve"> </w:t>
      </w:r>
      <w:proofErr w:type="spellStart"/>
      <w:r w:rsidR="0068770B">
        <w:rPr>
          <w:rFonts w:ascii="Bookman Old Style" w:hAnsi="Bookman Old Style"/>
        </w:rPr>
        <w:t>litis</w:t>
      </w:r>
      <w:proofErr w:type="spellEnd"/>
      <w:r w:rsidR="0068770B">
        <w:rPr>
          <w:rFonts w:ascii="Bookman Old Style" w:hAnsi="Bookman Old Style"/>
        </w:rPr>
        <w:t xml:space="preserve"> as raised by the 2</w:t>
      </w:r>
      <w:r w:rsidR="0068770B" w:rsidRPr="0068770B">
        <w:rPr>
          <w:rFonts w:ascii="Bookman Old Style" w:hAnsi="Bookman Old Style"/>
          <w:vertAlign w:val="superscript"/>
        </w:rPr>
        <w:t>nd</w:t>
      </w:r>
      <w:r w:rsidR="0068770B">
        <w:rPr>
          <w:rFonts w:ascii="Bookman Old Style" w:hAnsi="Bookman Old Style"/>
        </w:rPr>
        <w:t xml:space="preserve"> defe</w:t>
      </w:r>
      <w:r>
        <w:rPr>
          <w:rFonts w:ascii="Bookman Old Style" w:hAnsi="Bookman Old Style"/>
        </w:rPr>
        <w:t xml:space="preserve">ndant are </w:t>
      </w:r>
      <w:r w:rsidR="00A12E1C">
        <w:rPr>
          <w:rFonts w:ascii="Bookman Old Style" w:hAnsi="Bookman Old Style"/>
        </w:rPr>
        <w:t xml:space="preserve">both </w:t>
      </w:r>
      <w:r>
        <w:rPr>
          <w:rFonts w:ascii="Bookman Old Style" w:hAnsi="Bookman Old Style"/>
        </w:rPr>
        <w:t>overruled accordingly for reasons given.</w:t>
      </w:r>
      <w:r w:rsidR="0068770B">
        <w:rPr>
          <w:rFonts w:ascii="Bookman Old Style" w:hAnsi="Bookman Old Style"/>
        </w:rPr>
        <w:t xml:space="preserve"> Hence the matter shall proceed for hearing on the merits as against the 2</w:t>
      </w:r>
      <w:r w:rsidR="0068770B" w:rsidRPr="0068770B">
        <w:rPr>
          <w:rFonts w:ascii="Bookman Old Style" w:hAnsi="Bookman Old Style"/>
          <w:vertAlign w:val="superscript"/>
        </w:rPr>
        <w:t>nd</w:t>
      </w:r>
      <w:r w:rsidR="00A12E1C">
        <w:rPr>
          <w:rFonts w:ascii="Bookman Old Style" w:hAnsi="Bookman Old Style"/>
        </w:rPr>
        <w:t xml:space="preserve"> D</w:t>
      </w:r>
      <w:r w:rsidR="0068770B">
        <w:rPr>
          <w:rFonts w:ascii="Bookman Old Style" w:hAnsi="Bookman Old Style"/>
        </w:rPr>
        <w:t>efendant.</w:t>
      </w:r>
    </w:p>
    <w:p w:rsidR="00E6492F" w:rsidRPr="00720EA9" w:rsidRDefault="00660ED3" w:rsidP="001960B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720EA9">
        <w:rPr>
          <w:rFonts w:ascii="Bookman Old Style" w:hAnsi="Bookman Old Style"/>
          <w:sz w:val="24"/>
          <w:szCs w:val="24"/>
          <w:highlight w:val="lightGray"/>
        </w:rPr>
        <w:fldChar w:fldCharType="begin"/>
      </w:r>
      <w:r w:rsidRPr="00720EA9">
        <w:rPr>
          <w:rFonts w:ascii="Bookman Old Style" w:hAnsi="Bookman Old Style"/>
          <w:sz w:val="24"/>
          <w:szCs w:val="24"/>
          <w:highlight w:val="lightGray"/>
        </w:rPr>
        <w:fldChar w:fldCharType="end"/>
      </w:r>
    </w:p>
    <w:p w:rsidR="00EF2051" w:rsidRDefault="00EF2051" w:rsidP="001960B8">
      <w:pPr>
        <w:pStyle w:val="ListParagraph"/>
        <w:widowControl/>
        <w:autoSpaceDE/>
        <w:autoSpaceDN/>
        <w:adjustRightInd/>
        <w:spacing w:after="240" w:line="360" w:lineRule="auto"/>
        <w:ind w:left="0"/>
        <w:contextualSpacing w:val="0"/>
        <w:jc w:val="both"/>
        <w:rPr>
          <w:rFonts w:ascii="Bookman Old Style" w:hAnsi="Bookman Old Style"/>
          <w:sz w:val="24"/>
          <w:szCs w:val="24"/>
        </w:rPr>
      </w:pPr>
    </w:p>
    <w:p w:rsidR="00A12E1C" w:rsidRDefault="00A12E1C" w:rsidP="001960B8">
      <w:pPr>
        <w:pStyle w:val="ListParagraph"/>
        <w:widowControl/>
        <w:autoSpaceDE/>
        <w:autoSpaceDN/>
        <w:adjustRightInd/>
        <w:spacing w:after="240" w:line="360" w:lineRule="auto"/>
        <w:ind w:left="0"/>
        <w:contextualSpacing w:val="0"/>
        <w:jc w:val="both"/>
        <w:rPr>
          <w:rFonts w:ascii="Bookman Old Style" w:hAnsi="Bookman Old Style"/>
          <w:sz w:val="24"/>
          <w:szCs w:val="24"/>
        </w:rPr>
      </w:pPr>
    </w:p>
    <w:p w:rsidR="00A12E1C" w:rsidRDefault="00A12E1C" w:rsidP="001960B8">
      <w:pPr>
        <w:pStyle w:val="ListParagraph"/>
        <w:widowControl/>
        <w:autoSpaceDE/>
        <w:autoSpaceDN/>
        <w:adjustRightInd/>
        <w:spacing w:after="240" w:line="360" w:lineRule="auto"/>
        <w:ind w:left="0"/>
        <w:contextualSpacing w:val="0"/>
        <w:jc w:val="both"/>
        <w:rPr>
          <w:rFonts w:ascii="Bookman Old Style" w:hAnsi="Bookman Old Style"/>
          <w:sz w:val="24"/>
          <w:szCs w:val="24"/>
        </w:rPr>
      </w:pPr>
    </w:p>
    <w:p w:rsidR="00A12E1C" w:rsidRPr="00720EA9" w:rsidRDefault="00A12E1C" w:rsidP="001960B8">
      <w:pPr>
        <w:pStyle w:val="ListParagraph"/>
        <w:widowControl/>
        <w:autoSpaceDE/>
        <w:autoSpaceDN/>
        <w:adjustRightInd/>
        <w:spacing w:after="240" w:line="360" w:lineRule="auto"/>
        <w:ind w:left="0"/>
        <w:contextualSpacing w:val="0"/>
        <w:jc w:val="both"/>
        <w:rPr>
          <w:rFonts w:ascii="Bookman Old Style" w:hAnsi="Bookman Old Style"/>
          <w:sz w:val="24"/>
          <w:szCs w:val="24"/>
        </w:rPr>
        <w:sectPr w:rsidR="00A12E1C" w:rsidRPr="00720EA9" w:rsidSect="00EF2051">
          <w:type w:val="continuous"/>
          <w:pgSz w:w="12240" w:h="15840"/>
          <w:pgMar w:top="1440" w:right="1440" w:bottom="1440" w:left="1440" w:header="720" w:footer="720" w:gutter="0"/>
          <w:cols w:space="720"/>
          <w:formProt w:val="0"/>
          <w:docGrid w:linePitch="360"/>
        </w:sectPr>
      </w:pPr>
    </w:p>
    <w:p w:rsidR="001E4ED8" w:rsidRPr="00720EA9" w:rsidRDefault="001E4ED8" w:rsidP="001960B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720EA9">
        <w:rPr>
          <w:rFonts w:ascii="Bookman Old Style" w:hAnsi="Bookman Old Style"/>
          <w:sz w:val="24"/>
          <w:szCs w:val="24"/>
        </w:rPr>
        <w:lastRenderedPageBreak/>
        <w:t xml:space="preserve">Signed, </w:t>
      </w:r>
      <w:r w:rsidR="00E33F35" w:rsidRPr="00720EA9">
        <w:rPr>
          <w:rFonts w:ascii="Bookman Old Style" w:hAnsi="Bookman Old Style"/>
          <w:sz w:val="24"/>
          <w:szCs w:val="24"/>
        </w:rPr>
        <w:t xml:space="preserve">dated and delivered at Ile du Port </w:t>
      </w:r>
      <w:r w:rsidRPr="00720EA9">
        <w:rPr>
          <w:rFonts w:ascii="Bookman Old Style" w:hAnsi="Bookman Old Style"/>
          <w:sz w:val="24"/>
          <w:szCs w:val="24"/>
        </w:rPr>
        <w:t xml:space="preserve">on </w:t>
      </w:r>
      <w:bookmarkStart w:id="14" w:name="Text19"/>
      <w:r w:rsidR="0068770B">
        <w:rPr>
          <w:rFonts w:ascii="Bookman Old Style" w:hAnsi="Bookman Old Style"/>
          <w:sz w:val="24"/>
          <w:szCs w:val="24"/>
        </w:rPr>
        <w:t>30</w:t>
      </w:r>
      <w:r w:rsidR="0068770B" w:rsidRPr="0068770B">
        <w:rPr>
          <w:rFonts w:ascii="Bookman Old Style" w:hAnsi="Bookman Old Style"/>
          <w:sz w:val="24"/>
          <w:szCs w:val="24"/>
          <w:vertAlign w:val="superscript"/>
        </w:rPr>
        <w:t>th</w:t>
      </w:r>
      <w:bookmarkEnd w:id="14"/>
      <w:r w:rsidR="00A12E1C">
        <w:rPr>
          <w:rFonts w:ascii="Bookman Old Style" w:hAnsi="Bookman Old Style"/>
          <w:sz w:val="24"/>
          <w:szCs w:val="24"/>
          <w:vertAlign w:val="superscript"/>
        </w:rPr>
        <w:t xml:space="preserve"> </w:t>
      </w:r>
      <w:r w:rsidR="0068770B">
        <w:rPr>
          <w:rFonts w:ascii="Bookman Old Style" w:hAnsi="Bookman Old Style"/>
          <w:sz w:val="24"/>
          <w:szCs w:val="24"/>
        </w:rPr>
        <w:t xml:space="preserve">day of May 2016. </w:t>
      </w:r>
    </w:p>
    <w:p w:rsidR="005C5493" w:rsidRPr="00720EA9" w:rsidRDefault="005C5493" w:rsidP="001960B8">
      <w:pPr>
        <w:pStyle w:val="ListParagraph"/>
        <w:widowControl/>
        <w:autoSpaceDE/>
        <w:autoSpaceDN/>
        <w:adjustRightInd/>
        <w:spacing w:line="360" w:lineRule="auto"/>
        <w:ind w:left="0"/>
        <w:contextualSpacing w:val="0"/>
        <w:jc w:val="both"/>
        <w:rPr>
          <w:rFonts w:ascii="Bookman Old Style" w:hAnsi="Bookman Old Style"/>
          <w:sz w:val="24"/>
          <w:szCs w:val="24"/>
        </w:rPr>
        <w:sectPr w:rsidR="005C5493" w:rsidRPr="00720EA9" w:rsidSect="00EF2051">
          <w:type w:val="continuous"/>
          <w:pgSz w:w="12240" w:h="15840"/>
          <w:pgMar w:top="1440" w:right="1440" w:bottom="1440" w:left="1440" w:header="720" w:footer="720" w:gutter="0"/>
          <w:cols w:space="720"/>
          <w:docGrid w:linePitch="360"/>
        </w:sectPr>
      </w:pPr>
    </w:p>
    <w:p w:rsidR="0006489F" w:rsidRPr="00720EA9" w:rsidRDefault="0006489F" w:rsidP="001960B8">
      <w:pPr>
        <w:pStyle w:val="ListParagraph"/>
        <w:widowControl/>
        <w:autoSpaceDE/>
        <w:autoSpaceDN/>
        <w:adjustRightInd/>
        <w:spacing w:line="360" w:lineRule="auto"/>
        <w:ind w:left="0"/>
        <w:contextualSpacing w:val="0"/>
        <w:jc w:val="both"/>
        <w:rPr>
          <w:rFonts w:ascii="Bookman Old Style" w:hAnsi="Bookman Old Style"/>
          <w:sz w:val="24"/>
          <w:szCs w:val="24"/>
        </w:rPr>
      </w:pPr>
    </w:p>
    <w:p w:rsidR="005C5493" w:rsidRDefault="005C5493" w:rsidP="001960B8">
      <w:pPr>
        <w:pStyle w:val="ListParagraph"/>
        <w:widowControl/>
        <w:autoSpaceDE/>
        <w:autoSpaceDN/>
        <w:adjustRightInd/>
        <w:spacing w:after="120"/>
        <w:ind w:left="0"/>
        <w:contextualSpacing w:val="0"/>
        <w:jc w:val="both"/>
        <w:rPr>
          <w:rFonts w:ascii="Bookman Old Style" w:hAnsi="Bookman Old Style"/>
          <w:sz w:val="24"/>
          <w:szCs w:val="24"/>
        </w:rPr>
      </w:pPr>
    </w:p>
    <w:p w:rsidR="00A12E1C" w:rsidRDefault="00A12E1C" w:rsidP="001960B8">
      <w:pPr>
        <w:pStyle w:val="ListParagraph"/>
        <w:widowControl/>
        <w:autoSpaceDE/>
        <w:autoSpaceDN/>
        <w:adjustRightInd/>
        <w:spacing w:after="120"/>
        <w:ind w:left="0"/>
        <w:contextualSpacing w:val="0"/>
        <w:jc w:val="both"/>
        <w:rPr>
          <w:rFonts w:ascii="Bookman Old Style" w:hAnsi="Bookman Old Style"/>
          <w:sz w:val="24"/>
          <w:szCs w:val="24"/>
        </w:rPr>
      </w:pPr>
    </w:p>
    <w:p w:rsidR="00A12E1C" w:rsidRPr="00720EA9" w:rsidRDefault="00A12E1C" w:rsidP="001960B8">
      <w:pPr>
        <w:pStyle w:val="ListParagraph"/>
        <w:widowControl/>
        <w:autoSpaceDE/>
        <w:autoSpaceDN/>
        <w:adjustRightInd/>
        <w:spacing w:after="120"/>
        <w:ind w:left="0"/>
        <w:contextualSpacing w:val="0"/>
        <w:jc w:val="both"/>
        <w:rPr>
          <w:rFonts w:ascii="Bookman Old Style" w:hAnsi="Bookman Old Style"/>
          <w:sz w:val="24"/>
          <w:szCs w:val="24"/>
        </w:rPr>
        <w:sectPr w:rsidR="00A12E1C" w:rsidRPr="00720EA9" w:rsidSect="00EF2051">
          <w:type w:val="continuous"/>
          <w:pgSz w:w="12240" w:h="15840"/>
          <w:pgMar w:top="1440" w:right="1440" w:bottom="1440" w:left="1440" w:header="720" w:footer="720" w:gutter="0"/>
          <w:cols w:space="720"/>
          <w:formProt w:val="0"/>
          <w:docGrid w:linePitch="360"/>
        </w:sectPr>
      </w:pPr>
    </w:p>
    <w:p w:rsidR="00E33F35" w:rsidRPr="00720EA9" w:rsidRDefault="00E33F35" w:rsidP="001960B8">
      <w:pPr>
        <w:pStyle w:val="ListParagraph"/>
        <w:widowControl/>
        <w:autoSpaceDE/>
        <w:autoSpaceDN/>
        <w:adjustRightInd/>
        <w:spacing w:after="120"/>
        <w:ind w:left="0"/>
        <w:contextualSpacing w:val="0"/>
        <w:jc w:val="both"/>
        <w:rPr>
          <w:rFonts w:ascii="Bookman Old Style" w:hAnsi="Bookman Old Style"/>
          <w:sz w:val="24"/>
          <w:szCs w:val="24"/>
        </w:rPr>
      </w:pPr>
    </w:p>
    <w:p w:rsidR="00E33F35" w:rsidRPr="00720EA9" w:rsidRDefault="00660ED3" w:rsidP="001960B8">
      <w:pPr>
        <w:pStyle w:val="ListParagraph"/>
        <w:widowControl/>
        <w:autoSpaceDE/>
        <w:autoSpaceDN/>
        <w:adjustRightInd/>
        <w:ind w:left="0"/>
        <w:contextualSpacing w:val="0"/>
        <w:jc w:val="both"/>
        <w:rPr>
          <w:rFonts w:ascii="Bookman Old Style" w:hAnsi="Bookman Old Style"/>
          <w:sz w:val="24"/>
          <w:szCs w:val="24"/>
        </w:rPr>
      </w:pPr>
      <w:r w:rsidRPr="00720EA9">
        <w:rPr>
          <w:rFonts w:ascii="Bookman Old Style" w:hAnsi="Bookman Old Style"/>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15" w:name="Dropdown6"/>
      <w:r w:rsidR="002474D4" w:rsidRPr="00720EA9">
        <w:rPr>
          <w:rFonts w:ascii="Bookman Old Style" w:hAnsi="Bookman Old Style"/>
          <w:sz w:val="24"/>
          <w:szCs w:val="24"/>
        </w:rPr>
        <w:instrText xml:space="preserve"> FORMDROPDOWN </w:instrText>
      </w:r>
      <w:r w:rsidRPr="00720EA9">
        <w:rPr>
          <w:rFonts w:ascii="Bookman Old Style" w:hAnsi="Bookman Old Style"/>
          <w:sz w:val="24"/>
          <w:szCs w:val="24"/>
        </w:rPr>
      </w:r>
      <w:r w:rsidRPr="00720EA9">
        <w:rPr>
          <w:rFonts w:ascii="Bookman Old Style" w:hAnsi="Bookman Old Style"/>
          <w:sz w:val="24"/>
          <w:szCs w:val="24"/>
        </w:rPr>
        <w:fldChar w:fldCharType="end"/>
      </w:r>
      <w:bookmarkEnd w:id="15"/>
    </w:p>
    <w:bookmarkStart w:id="16" w:name="Dropdown7"/>
    <w:p w:rsidR="009E05E5" w:rsidRPr="00720EA9" w:rsidRDefault="00660ED3" w:rsidP="001960B8">
      <w:pPr>
        <w:pStyle w:val="ListParagraph"/>
        <w:widowControl/>
        <w:autoSpaceDE/>
        <w:autoSpaceDN/>
        <w:adjustRightInd/>
        <w:ind w:left="0"/>
        <w:contextualSpacing w:val="0"/>
        <w:jc w:val="both"/>
        <w:rPr>
          <w:rFonts w:ascii="Bookman Old Style" w:hAnsi="Bookman Old Style"/>
          <w:b/>
          <w:sz w:val="24"/>
          <w:szCs w:val="24"/>
        </w:rPr>
      </w:pPr>
      <w:r w:rsidRPr="00720EA9">
        <w:rPr>
          <w:rFonts w:ascii="Bookman Old Style" w:hAnsi="Bookman Old Style"/>
          <w:b/>
          <w:sz w:val="24"/>
          <w:szCs w:val="24"/>
        </w:rPr>
        <w:fldChar w:fldCharType="begin">
          <w:ffData>
            <w:name w:val="Dropdown7"/>
            <w:enabled/>
            <w:calcOnExit w:val="0"/>
            <w:ddList>
              <w:result w:val="1"/>
              <w:listEntry w:val="Chief Justice"/>
              <w:listEntry w:val="Judge of the Supreme Court"/>
            </w:ddList>
          </w:ffData>
        </w:fldChar>
      </w:r>
      <w:r w:rsidR="00E41E94"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16"/>
      <w:r w:rsidRPr="00720EA9">
        <w:rPr>
          <w:rFonts w:ascii="Bookman Old Style" w:hAnsi="Bookman Old Style"/>
          <w:b/>
          <w:sz w:val="24"/>
          <w:szCs w:val="24"/>
        </w:rPr>
        <w:fldChar w:fldCharType="begin"/>
      </w:r>
      <w:r w:rsidRPr="00720EA9">
        <w:rPr>
          <w:rFonts w:ascii="Bookman Old Style" w:hAnsi="Bookman Old Style"/>
          <w:b/>
          <w:sz w:val="24"/>
          <w:szCs w:val="24"/>
        </w:rPr>
        <w:fldChar w:fldCharType="end"/>
      </w:r>
    </w:p>
    <w:sectPr w:rsidR="009E05E5" w:rsidRPr="00720EA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DE2" w:rsidRDefault="00292DE2" w:rsidP="00DB6D34">
      <w:r>
        <w:separator/>
      </w:r>
    </w:p>
  </w:endnote>
  <w:endnote w:type="continuationSeparator" w:id="1">
    <w:p w:rsidR="00292DE2" w:rsidRDefault="00292DE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E2" w:rsidRDefault="00660ED3">
    <w:pPr>
      <w:pStyle w:val="Footer"/>
      <w:jc w:val="center"/>
    </w:pPr>
    <w:fldSimple w:instr=" PAGE   \* MERGEFORMAT ">
      <w:r w:rsidR="00FF6A4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DE2" w:rsidRDefault="00292DE2" w:rsidP="00DB6D34">
      <w:r>
        <w:separator/>
      </w:r>
    </w:p>
  </w:footnote>
  <w:footnote w:type="continuationSeparator" w:id="1">
    <w:p w:rsidR="00292DE2" w:rsidRDefault="00292DE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7E5650F"/>
    <w:multiLevelType w:val="hybridMultilevel"/>
    <w:tmpl w:val="80106548"/>
    <w:lvl w:ilvl="0" w:tplc="ED8EF3A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10BD6"/>
    <w:multiLevelType w:val="hybridMultilevel"/>
    <w:tmpl w:val="67A0FDA4"/>
    <w:lvl w:ilvl="0" w:tplc="7B0A9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382D65"/>
    <w:multiLevelType w:val="hybridMultilevel"/>
    <w:tmpl w:val="832C9D04"/>
    <w:lvl w:ilvl="0" w:tplc="DC2AD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7"/>
  </w:num>
  <w:num w:numId="6">
    <w:abstractNumId w:val="3"/>
  </w:num>
  <w:num w:numId="7">
    <w:abstractNumId w:val="5"/>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A573DD"/>
    <w:rsid w:val="00000320"/>
    <w:rsid w:val="000052F3"/>
    <w:rsid w:val="00005BEF"/>
    <w:rsid w:val="00027262"/>
    <w:rsid w:val="00030C81"/>
    <w:rsid w:val="0006489F"/>
    <w:rsid w:val="00067B0A"/>
    <w:rsid w:val="00075573"/>
    <w:rsid w:val="00077CEE"/>
    <w:rsid w:val="00091036"/>
    <w:rsid w:val="00093374"/>
    <w:rsid w:val="000A10B8"/>
    <w:rsid w:val="000D1DD3"/>
    <w:rsid w:val="000D75BF"/>
    <w:rsid w:val="000E39A5"/>
    <w:rsid w:val="000E7400"/>
    <w:rsid w:val="001008BC"/>
    <w:rsid w:val="00101D12"/>
    <w:rsid w:val="00104284"/>
    <w:rsid w:val="00117CBF"/>
    <w:rsid w:val="00126A10"/>
    <w:rsid w:val="001376AB"/>
    <w:rsid w:val="001439BF"/>
    <w:rsid w:val="00144612"/>
    <w:rsid w:val="001529B0"/>
    <w:rsid w:val="0016510C"/>
    <w:rsid w:val="00180158"/>
    <w:rsid w:val="001960B8"/>
    <w:rsid w:val="001A0D5F"/>
    <w:rsid w:val="001B4125"/>
    <w:rsid w:val="001D30F7"/>
    <w:rsid w:val="001E4ED8"/>
    <w:rsid w:val="0020244B"/>
    <w:rsid w:val="00231C17"/>
    <w:rsid w:val="00236AAC"/>
    <w:rsid w:val="00242DF4"/>
    <w:rsid w:val="0024353F"/>
    <w:rsid w:val="002474D4"/>
    <w:rsid w:val="00257F38"/>
    <w:rsid w:val="00290E14"/>
    <w:rsid w:val="00292DE2"/>
    <w:rsid w:val="002A2A1F"/>
    <w:rsid w:val="002A7376"/>
    <w:rsid w:val="002B2255"/>
    <w:rsid w:val="002B4478"/>
    <w:rsid w:val="002C7560"/>
    <w:rsid w:val="002D06AA"/>
    <w:rsid w:val="002D53B4"/>
    <w:rsid w:val="002D67FC"/>
    <w:rsid w:val="002E6963"/>
    <w:rsid w:val="002E6A47"/>
    <w:rsid w:val="002F40A1"/>
    <w:rsid w:val="002F4A1B"/>
    <w:rsid w:val="00301D88"/>
    <w:rsid w:val="00304E76"/>
    <w:rsid w:val="003100C3"/>
    <w:rsid w:val="0031329C"/>
    <w:rsid w:val="00334843"/>
    <w:rsid w:val="003647E7"/>
    <w:rsid w:val="003651F4"/>
    <w:rsid w:val="0037270D"/>
    <w:rsid w:val="00377341"/>
    <w:rsid w:val="00381ED2"/>
    <w:rsid w:val="003820A5"/>
    <w:rsid w:val="003838CC"/>
    <w:rsid w:val="003862CB"/>
    <w:rsid w:val="0038700C"/>
    <w:rsid w:val="003B461C"/>
    <w:rsid w:val="003B4C19"/>
    <w:rsid w:val="003D58AA"/>
    <w:rsid w:val="003D7B97"/>
    <w:rsid w:val="003E2ABC"/>
    <w:rsid w:val="003F0F8D"/>
    <w:rsid w:val="004107F6"/>
    <w:rsid w:val="004156B9"/>
    <w:rsid w:val="004162D0"/>
    <w:rsid w:val="0044432C"/>
    <w:rsid w:val="00444EC6"/>
    <w:rsid w:val="00445BFA"/>
    <w:rsid w:val="00452BB6"/>
    <w:rsid w:val="00453A09"/>
    <w:rsid w:val="0046133B"/>
    <w:rsid w:val="004A00A5"/>
    <w:rsid w:val="004B05AE"/>
    <w:rsid w:val="004B57B1"/>
    <w:rsid w:val="004C0BB3"/>
    <w:rsid w:val="004C3D80"/>
    <w:rsid w:val="004F3823"/>
    <w:rsid w:val="00514CB6"/>
    <w:rsid w:val="005207C8"/>
    <w:rsid w:val="005248A7"/>
    <w:rsid w:val="00530663"/>
    <w:rsid w:val="00546E79"/>
    <w:rsid w:val="0055036F"/>
    <w:rsid w:val="005514D6"/>
    <w:rsid w:val="0055241A"/>
    <w:rsid w:val="00552704"/>
    <w:rsid w:val="00554577"/>
    <w:rsid w:val="00572AB3"/>
    <w:rsid w:val="00580531"/>
    <w:rsid w:val="005836AC"/>
    <w:rsid w:val="00584583"/>
    <w:rsid w:val="00594FAC"/>
    <w:rsid w:val="005B7B62"/>
    <w:rsid w:val="005C157B"/>
    <w:rsid w:val="005C5493"/>
    <w:rsid w:val="005C5690"/>
    <w:rsid w:val="005F5FB0"/>
    <w:rsid w:val="0060228F"/>
    <w:rsid w:val="00606587"/>
    <w:rsid w:val="00606EEA"/>
    <w:rsid w:val="00612AD5"/>
    <w:rsid w:val="006174DB"/>
    <w:rsid w:val="00631448"/>
    <w:rsid w:val="0064023C"/>
    <w:rsid w:val="00654CAA"/>
    <w:rsid w:val="00656B5B"/>
    <w:rsid w:val="006578C2"/>
    <w:rsid w:val="00660ED3"/>
    <w:rsid w:val="00666D33"/>
    <w:rsid w:val="0068598F"/>
    <w:rsid w:val="0068770B"/>
    <w:rsid w:val="00695110"/>
    <w:rsid w:val="006A58E4"/>
    <w:rsid w:val="006C4389"/>
    <w:rsid w:val="006D36C9"/>
    <w:rsid w:val="006D5139"/>
    <w:rsid w:val="0070785D"/>
    <w:rsid w:val="00711739"/>
    <w:rsid w:val="007175A6"/>
    <w:rsid w:val="00720EA9"/>
    <w:rsid w:val="00744508"/>
    <w:rsid w:val="007541BC"/>
    <w:rsid w:val="007728D0"/>
    <w:rsid w:val="00785812"/>
    <w:rsid w:val="007A47DC"/>
    <w:rsid w:val="007B6178"/>
    <w:rsid w:val="007C2809"/>
    <w:rsid w:val="007C634B"/>
    <w:rsid w:val="007D416E"/>
    <w:rsid w:val="00807411"/>
    <w:rsid w:val="00813302"/>
    <w:rsid w:val="00814CF5"/>
    <w:rsid w:val="00816425"/>
    <w:rsid w:val="00821758"/>
    <w:rsid w:val="00823079"/>
    <w:rsid w:val="0083298A"/>
    <w:rsid w:val="00841387"/>
    <w:rsid w:val="008472B3"/>
    <w:rsid w:val="008478D6"/>
    <w:rsid w:val="00857A7F"/>
    <w:rsid w:val="008602C0"/>
    <w:rsid w:val="00892AF6"/>
    <w:rsid w:val="008A5208"/>
    <w:rsid w:val="008B75CE"/>
    <w:rsid w:val="008B773E"/>
    <w:rsid w:val="008B7D40"/>
    <w:rsid w:val="008C0FD6"/>
    <w:rsid w:val="008C7FAA"/>
    <w:rsid w:val="008E1DB1"/>
    <w:rsid w:val="008E512C"/>
    <w:rsid w:val="008E7749"/>
    <w:rsid w:val="008E7F92"/>
    <w:rsid w:val="008F0C10"/>
    <w:rsid w:val="008F38F7"/>
    <w:rsid w:val="008F6E37"/>
    <w:rsid w:val="00902D3C"/>
    <w:rsid w:val="009106DC"/>
    <w:rsid w:val="00926D09"/>
    <w:rsid w:val="00927982"/>
    <w:rsid w:val="009336BA"/>
    <w:rsid w:val="00937FB4"/>
    <w:rsid w:val="0094087C"/>
    <w:rsid w:val="00951EC0"/>
    <w:rsid w:val="0096041D"/>
    <w:rsid w:val="0096428F"/>
    <w:rsid w:val="0097460D"/>
    <w:rsid w:val="00981287"/>
    <w:rsid w:val="00983045"/>
    <w:rsid w:val="009927D3"/>
    <w:rsid w:val="009C437E"/>
    <w:rsid w:val="009E05E5"/>
    <w:rsid w:val="009E15F5"/>
    <w:rsid w:val="009F1B68"/>
    <w:rsid w:val="009F4DC4"/>
    <w:rsid w:val="00A11166"/>
    <w:rsid w:val="00A12E1C"/>
    <w:rsid w:val="00A14038"/>
    <w:rsid w:val="00A42850"/>
    <w:rsid w:val="00A53837"/>
    <w:rsid w:val="00A544D0"/>
    <w:rsid w:val="00A573DD"/>
    <w:rsid w:val="00A65404"/>
    <w:rsid w:val="00A80E4E"/>
    <w:rsid w:val="00AC3885"/>
    <w:rsid w:val="00AD0BF3"/>
    <w:rsid w:val="00AD75CD"/>
    <w:rsid w:val="00B05D6E"/>
    <w:rsid w:val="00B119B1"/>
    <w:rsid w:val="00B14612"/>
    <w:rsid w:val="00B23E73"/>
    <w:rsid w:val="00B36D23"/>
    <w:rsid w:val="00B37F2B"/>
    <w:rsid w:val="00B40898"/>
    <w:rsid w:val="00B4124C"/>
    <w:rsid w:val="00B4625E"/>
    <w:rsid w:val="00B75AE2"/>
    <w:rsid w:val="00B83BE7"/>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29F4"/>
    <w:rsid w:val="00C55FDF"/>
    <w:rsid w:val="00C57205"/>
    <w:rsid w:val="00C5739F"/>
    <w:rsid w:val="00C57EBB"/>
    <w:rsid w:val="00C87FCA"/>
    <w:rsid w:val="00C95987"/>
    <w:rsid w:val="00CA1B0C"/>
    <w:rsid w:val="00CA2458"/>
    <w:rsid w:val="00CA7795"/>
    <w:rsid w:val="00CA7F40"/>
    <w:rsid w:val="00CB31FB"/>
    <w:rsid w:val="00CB3C7E"/>
    <w:rsid w:val="00CC1101"/>
    <w:rsid w:val="00CC2A46"/>
    <w:rsid w:val="00CC4199"/>
    <w:rsid w:val="00CE61D4"/>
    <w:rsid w:val="00CE6414"/>
    <w:rsid w:val="00CF041D"/>
    <w:rsid w:val="00CF4041"/>
    <w:rsid w:val="00D03314"/>
    <w:rsid w:val="00D06A0F"/>
    <w:rsid w:val="00D10FA3"/>
    <w:rsid w:val="00D31AB7"/>
    <w:rsid w:val="00D50CB6"/>
    <w:rsid w:val="00D82047"/>
    <w:rsid w:val="00DA351C"/>
    <w:rsid w:val="00DB6D34"/>
    <w:rsid w:val="00DC3CA0"/>
    <w:rsid w:val="00DD4E02"/>
    <w:rsid w:val="00DE08C1"/>
    <w:rsid w:val="00DE2BE8"/>
    <w:rsid w:val="00DE7747"/>
    <w:rsid w:val="00DF2970"/>
    <w:rsid w:val="00DF303A"/>
    <w:rsid w:val="00E0467F"/>
    <w:rsid w:val="00E0505F"/>
    <w:rsid w:val="00E07F07"/>
    <w:rsid w:val="00E30B60"/>
    <w:rsid w:val="00E33F35"/>
    <w:rsid w:val="00E35862"/>
    <w:rsid w:val="00E4132E"/>
    <w:rsid w:val="00E41E94"/>
    <w:rsid w:val="00E46182"/>
    <w:rsid w:val="00E548F3"/>
    <w:rsid w:val="00E55C69"/>
    <w:rsid w:val="00E57D4D"/>
    <w:rsid w:val="00E6492F"/>
    <w:rsid w:val="00E65691"/>
    <w:rsid w:val="00E70A7B"/>
    <w:rsid w:val="00E77C1F"/>
    <w:rsid w:val="00E80F85"/>
    <w:rsid w:val="00E91FA1"/>
    <w:rsid w:val="00E944E2"/>
    <w:rsid w:val="00EA6F17"/>
    <w:rsid w:val="00EC12D0"/>
    <w:rsid w:val="00EC2355"/>
    <w:rsid w:val="00EC6290"/>
    <w:rsid w:val="00ED76D9"/>
    <w:rsid w:val="00EE0DAA"/>
    <w:rsid w:val="00EE1219"/>
    <w:rsid w:val="00EF2051"/>
    <w:rsid w:val="00F00A19"/>
    <w:rsid w:val="00F34FB5"/>
    <w:rsid w:val="00F3644F"/>
    <w:rsid w:val="00F40FF4"/>
    <w:rsid w:val="00F47FF3"/>
    <w:rsid w:val="00F804CC"/>
    <w:rsid w:val="00F82A83"/>
    <w:rsid w:val="00F83B3D"/>
    <w:rsid w:val="00FA1D82"/>
    <w:rsid w:val="00FB0AFB"/>
    <w:rsid w:val="00FB2453"/>
    <w:rsid w:val="00FB39BA"/>
    <w:rsid w:val="00FC61E3"/>
    <w:rsid w:val="00FC6823"/>
    <w:rsid w:val="00FD16BD"/>
    <w:rsid w:val="00FD4D1D"/>
    <w:rsid w:val="00FF6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ULING%20CIVIL%20SIDE%20PLEA%20IN%20LIME%20LITIS%20MOHAN%20NAIDOO%20ANETTE%20ANDRE%20Civi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A0AA-0E1B-49F3-B36A-61338C66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RULING CIVIL SIDE PLEA IN LIME LITIS MOHAN NAIDOO ANETTE ANDRE Civil suits (CS,CC,CM) - not MA - plaintiff-defendant</Template>
  <TotalTime>37</TotalTime>
  <Pages>8</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s.sanguignon</cp:lastModifiedBy>
  <cp:revision>6</cp:revision>
  <cp:lastPrinted>2016-06-01T06:06:00Z</cp:lastPrinted>
  <dcterms:created xsi:type="dcterms:W3CDTF">2016-05-25T04:47:00Z</dcterms:created>
  <dcterms:modified xsi:type="dcterms:W3CDTF">2016-06-01T06:06:00Z</dcterms:modified>
</cp:coreProperties>
</file>