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AB19A7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854C55">
        <w:rPr>
          <w:b/>
          <w:sz w:val="24"/>
          <w:szCs w:val="24"/>
        </w:rPr>
        <w:t> </w:t>
      </w:r>
      <w:r w:rsidR="00854C55">
        <w:rPr>
          <w:b/>
          <w:sz w:val="24"/>
          <w:szCs w:val="24"/>
        </w:rPr>
        <w:t> </w:t>
      </w:r>
      <w:r w:rsidR="00854C55">
        <w:rPr>
          <w:b/>
          <w:sz w:val="24"/>
          <w:szCs w:val="24"/>
        </w:rPr>
        <w:t> </w:t>
      </w:r>
      <w:r w:rsidR="00854C55">
        <w:rPr>
          <w:b/>
          <w:sz w:val="24"/>
          <w:szCs w:val="24"/>
        </w:rPr>
        <w:t> </w:t>
      </w:r>
      <w:r w:rsidR="00854C5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AB19A7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854C55">
        <w:rPr>
          <w:i/>
          <w:sz w:val="24"/>
          <w:szCs w:val="24"/>
        </w:rPr>
        <w:t> </w:t>
      </w:r>
      <w:r w:rsidR="00854C55">
        <w:rPr>
          <w:i/>
          <w:sz w:val="24"/>
          <w:szCs w:val="24"/>
        </w:rPr>
        <w:t> </w:t>
      </w:r>
      <w:r w:rsidR="00854C55">
        <w:rPr>
          <w:i/>
          <w:sz w:val="24"/>
          <w:szCs w:val="24"/>
        </w:rPr>
        <w:t> </w:t>
      </w:r>
      <w:r w:rsidR="00854C55">
        <w:rPr>
          <w:i/>
          <w:sz w:val="24"/>
          <w:szCs w:val="24"/>
        </w:rPr>
        <w:t> </w:t>
      </w:r>
      <w:r w:rsidR="00854C5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AB19A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AB19A7">
        <w:rPr>
          <w:b/>
          <w:sz w:val="28"/>
          <w:szCs w:val="28"/>
        </w:rPr>
      </w:r>
      <w:r w:rsidR="00AB19A7">
        <w:rPr>
          <w:b/>
          <w:sz w:val="28"/>
          <w:szCs w:val="28"/>
        </w:rPr>
        <w:fldChar w:fldCharType="separate"/>
      </w:r>
      <w:r w:rsidR="00854C55">
        <w:rPr>
          <w:b/>
          <w:noProof/>
          <w:sz w:val="28"/>
          <w:szCs w:val="28"/>
        </w:rPr>
        <w:t>5</w:t>
      </w:r>
      <w:r w:rsidR="00AB19A7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B19A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AB19A7" w:rsidRPr="00B75AE2">
        <w:rPr>
          <w:b/>
          <w:sz w:val="28"/>
          <w:szCs w:val="28"/>
        </w:rPr>
      </w:r>
      <w:r w:rsidR="00AB19A7" w:rsidRPr="00B75AE2">
        <w:rPr>
          <w:b/>
          <w:sz w:val="28"/>
          <w:szCs w:val="28"/>
        </w:rPr>
        <w:fldChar w:fldCharType="separate"/>
      </w:r>
      <w:r w:rsidR="00854C55">
        <w:rPr>
          <w:b/>
          <w:noProof/>
          <w:sz w:val="28"/>
          <w:szCs w:val="28"/>
        </w:rPr>
        <w:t>14</w:t>
      </w:r>
      <w:r w:rsidR="00AB19A7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AB19A7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AB19A7" w:rsidRPr="0096251D">
        <w:rPr>
          <w:b/>
          <w:sz w:val="24"/>
          <w:szCs w:val="24"/>
        </w:rPr>
      </w:r>
      <w:r w:rsidR="00AB19A7" w:rsidRPr="0096251D">
        <w:rPr>
          <w:b/>
          <w:sz w:val="24"/>
          <w:szCs w:val="24"/>
        </w:rPr>
        <w:fldChar w:fldCharType="separate"/>
      </w:r>
      <w:r w:rsidR="00854C55">
        <w:rPr>
          <w:b/>
          <w:noProof/>
          <w:sz w:val="24"/>
          <w:szCs w:val="24"/>
        </w:rPr>
        <w:t>61,64</w:t>
      </w:r>
      <w:r w:rsidR="00AB19A7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AB19A7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AB19A7" w:rsidRPr="0096251D">
        <w:rPr>
          <w:b/>
          <w:sz w:val="24"/>
          <w:szCs w:val="24"/>
        </w:rPr>
      </w:r>
      <w:r w:rsidR="00AB19A7" w:rsidRPr="0096251D">
        <w:rPr>
          <w:b/>
          <w:sz w:val="24"/>
          <w:szCs w:val="24"/>
        </w:rPr>
        <w:fldChar w:fldCharType="separate"/>
      </w:r>
      <w:r w:rsidR="00854C55">
        <w:rPr>
          <w:b/>
          <w:noProof/>
          <w:sz w:val="24"/>
          <w:szCs w:val="24"/>
        </w:rPr>
        <w:t>13</w:t>
      </w:r>
      <w:r w:rsidR="00AB19A7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AB19A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AB19A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AB19A7">
        <w:rPr>
          <w:b/>
          <w:sz w:val="24"/>
          <w:szCs w:val="24"/>
        </w:rPr>
      </w:r>
      <w:r w:rsidR="00AB19A7">
        <w:rPr>
          <w:b/>
          <w:sz w:val="24"/>
          <w:szCs w:val="24"/>
        </w:rPr>
        <w:fldChar w:fldCharType="separate"/>
      </w:r>
      <w:r w:rsidR="00854C55">
        <w:rPr>
          <w:b/>
          <w:noProof/>
          <w:sz w:val="24"/>
          <w:szCs w:val="24"/>
        </w:rPr>
        <w:t>6</w:t>
      </w:r>
      <w:r w:rsidR="00AB19A7">
        <w:rPr>
          <w:b/>
          <w:sz w:val="24"/>
          <w:szCs w:val="24"/>
        </w:rPr>
        <w:fldChar w:fldCharType="end"/>
      </w:r>
      <w:bookmarkEnd w:id="6"/>
      <w:r w:rsidR="00AB19A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AB19A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AB19A7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AB19A7">
        <w:rPr>
          <w:b/>
          <w:sz w:val="24"/>
          <w:szCs w:val="24"/>
        </w:rPr>
      </w:r>
      <w:r w:rsidR="00AB19A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B19A7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AB19A7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854C55">
        <w:rPr>
          <w:b/>
          <w:sz w:val="24"/>
          <w:szCs w:val="24"/>
        </w:rPr>
        <w:t>ELVIS ATHANASE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AB19A7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AB19A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 w:rsidR="00854C55">
        <w:rPr>
          <w:noProof/>
          <w:sz w:val="24"/>
          <w:szCs w:val="24"/>
        </w:rPr>
        <w:t>21 June 2016</w:t>
      </w:r>
      <w:r w:rsidR="00AB19A7">
        <w:rPr>
          <w:sz w:val="24"/>
          <w:szCs w:val="24"/>
        </w:rPr>
        <w:fldChar w:fldCharType="end"/>
      </w:r>
      <w:bookmarkEnd w:id="11"/>
      <w:r w:rsidR="00AB19A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B19A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9A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 w:rsidR="00854C55">
        <w:rPr>
          <w:noProof/>
          <w:sz w:val="24"/>
          <w:szCs w:val="24"/>
        </w:rPr>
        <w:t>Mr Gabriel</w:t>
      </w:r>
      <w:r w:rsidR="00AB19A7">
        <w:rPr>
          <w:sz w:val="24"/>
          <w:szCs w:val="24"/>
        </w:rPr>
        <w:fldChar w:fldCharType="end"/>
      </w:r>
      <w:bookmarkEnd w:id="12"/>
      <w:r w:rsidR="00AB19A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AB19A7">
        <w:rPr>
          <w:sz w:val="24"/>
          <w:szCs w:val="24"/>
        </w:rPr>
        <w:fldChar w:fldCharType="end"/>
      </w:r>
      <w:r w:rsidR="00AB19A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B19A7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AB19A7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9A7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B19A7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9A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 w:rsidR="00854C55">
        <w:rPr>
          <w:sz w:val="24"/>
          <w:szCs w:val="24"/>
        </w:rPr>
        <w:t>Ms Rongmei</w:t>
      </w:r>
      <w:r w:rsidR="00AB19A7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AB19A7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end"/>
      </w:r>
      <w:bookmarkEnd w:id="16"/>
      <w:r w:rsidR="00AB19A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AB19A7">
        <w:rPr>
          <w:sz w:val="24"/>
          <w:szCs w:val="24"/>
        </w:rPr>
        <w:fldChar w:fldCharType="end"/>
      </w:r>
      <w:r w:rsidR="00AB19A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B19A7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AB19A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 w:rsidR="00854C55">
        <w:rPr>
          <w:noProof/>
          <w:sz w:val="24"/>
          <w:szCs w:val="24"/>
        </w:rPr>
        <w:t>21 June 2016</w:t>
      </w:r>
      <w:r w:rsidR="00AB19A7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AB19A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B19A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21" w:name="Dropdown9"/>
      <w:r w:rsidR="00F1678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4C9B" w:rsidRPr="002F4C9B" w:rsidRDefault="00854C55" w:rsidP="009F4A97">
      <w:pPr>
        <w:pStyle w:val="JudgmentText"/>
        <w:rPr>
          <w:u w:val="single"/>
        </w:rPr>
      </w:pPr>
      <w:r>
        <w:lastRenderedPageBreak/>
        <w:t xml:space="preserve"> The Appellant was on the 30</w:t>
      </w:r>
      <w:r w:rsidRPr="00854C55">
        <w:rPr>
          <w:vertAlign w:val="superscript"/>
        </w:rPr>
        <w:t>th</w:t>
      </w:r>
      <w:r>
        <w:t xml:space="preserve"> of December 2013, convicted of the offence of breaking and entering into a building and committing a felo</w:t>
      </w:r>
      <w:r w:rsidR="002F4C9B">
        <w:t>ny therein Contra Section 291 (a</w:t>
      </w:r>
      <w:r>
        <w:t>) of the Penal Code and was sentenced to a term of 8 years imprisonment. The learned trial Magistrate ordered this sentence to run consecutive to another previous Sentence</w:t>
      </w:r>
      <w:r w:rsidR="009F4A97">
        <w:t xml:space="preserve"> of 8 years; hence making it a total of 16 years. The Appellant was dissatisfied with the above conviction, sentence and orders and lodged this Appeal to the Supreme Court. </w:t>
      </w:r>
    </w:p>
    <w:p w:rsidR="009F4A97" w:rsidRPr="009F4A97" w:rsidRDefault="009F4A97" w:rsidP="009F4A97">
      <w:pPr>
        <w:pStyle w:val="JudgmentText"/>
        <w:rPr>
          <w:u w:val="single"/>
        </w:rPr>
      </w:pPr>
      <w:r>
        <w:t>The following grounds were formulated in his memorandum of appeal.</w:t>
      </w:r>
    </w:p>
    <w:p w:rsidR="009F4A97" w:rsidRPr="008106E3" w:rsidRDefault="009F4A97" w:rsidP="009F4A97">
      <w:pPr>
        <w:pStyle w:val="JudgmentText"/>
        <w:numPr>
          <w:ilvl w:val="0"/>
          <w:numId w:val="0"/>
        </w:numPr>
        <w:ind w:left="720"/>
      </w:pPr>
      <w:r>
        <w:lastRenderedPageBreak/>
        <w:t xml:space="preserve">(A) </w:t>
      </w:r>
      <w:r w:rsidRPr="009F4A97">
        <w:rPr>
          <w:u w:val="single"/>
        </w:rPr>
        <w:t>Against Conviction</w:t>
      </w:r>
      <w:r w:rsidR="008106E3">
        <w:t>:-</w:t>
      </w:r>
    </w:p>
    <w:p w:rsidR="002F4C9B" w:rsidRDefault="002F4C9B" w:rsidP="002F4C9B">
      <w:pPr>
        <w:pStyle w:val="JudgmentText"/>
        <w:numPr>
          <w:ilvl w:val="0"/>
          <w:numId w:val="0"/>
        </w:numPr>
        <w:tabs>
          <w:tab w:val="left" w:pos="1134"/>
        </w:tabs>
        <w:ind w:left="720"/>
      </w:pPr>
      <w:r>
        <w:t xml:space="preserve">(1)  </w:t>
      </w:r>
      <w:r w:rsidR="009F4A97">
        <w:t xml:space="preserve">That the learned magistrate erred in law in having admitted the facts </w:t>
      </w:r>
      <w:r>
        <w:t xml:space="preserve">pertaining </w:t>
      </w:r>
      <w:r w:rsidR="009F4A97">
        <w:t xml:space="preserve">to </w:t>
      </w:r>
      <w:r>
        <w:tab/>
      </w:r>
      <w:r w:rsidR="009F4A97">
        <w:t xml:space="preserve">the plea of guilty of the Appellant when in actual fact it was the Appellant’s </w:t>
      </w:r>
      <w:r>
        <w:tab/>
      </w:r>
      <w:r w:rsidR="009F4A97">
        <w:t>attorney who had admitted the facts contra</w:t>
      </w:r>
      <w:r>
        <w:t>ry</w:t>
      </w:r>
      <w:r w:rsidR="009F4A97">
        <w:t xml:space="preserve"> to law.</w:t>
      </w:r>
    </w:p>
    <w:p w:rsidR="009F4A97" w:rsidRDefault="009F4A97" w:rsidP="002F4C9B">
      <w:pPr>
        <w:pStyle w:val="JudgmentText"/>
        <w:numPr>
          <w:ilvl w:val="0"/>
          <w:numId w:val="0"/>
        </w:numPr>
        <w:ind w:left="720"/>
      </w:pPr>
      <w:r>
        <w:t xml:space="preserve">(B) </w:t>
      </w:r>
      <w:r w:rsidRPr="009F4A97">
        <w:rPr>
          <w:u w:val="single"/>
        </w:rPr>
        <w:t>Against Sentence</w:t>
      </w:r>
      <w:r w:rsidR="008106E3">
        <w:t>:-</w:t>
      </w:r>
      <w:r>
        <w:t xml:space="preserve">  </w:t>
      </w:r>
    </w:p>
    <w:p w:rsidR="009F4A97" w:rsidRDefault="002F4C9B" w:rsidP="002F4C9B">
      <w:pPr>
        <w:pStyle w:val="JudgmentText"/>
        <w:numPr>
          <w:ilvl w:val="0"/>
          <w:numId w:val="0"/>
        </w:numPr>
        <w:tabs>
          <w:tab w:val="left" w:pos="1134"/>
        </w:tabs>
        <w:ind w:left="720"/>
      </w:pPr>
      <w:r>
        <w:t>(2)</w:t>
      </w:r>
      <w:r>
        <w:tab/>
      </w:r>
      <w:r w:rsidR="009F4A97">
        <w:t>That the Sentence imposed by</w:t>
      </w:r>
      <w:r w:rsidR="008106E3">
        <w:t xml:space="preserve"> the learned Magistrate was manifestly</w:t>
      </w:r>
      <w:r w:rsidR="009F4A97">
        <w:t xml:space="preserve"> harsh, excessive </w:t>
      </w:r>
      <w:r>
        <w:tab/>
      </w:r>
      <w:r w:rsidR="009F4A97">
        <w:t xml:space="preserve">and wrong in principle as the Appellant was already serving a term of 8 years </w:t>
      </w:r>
      <w:r>
        <w:tab/>
      </w:r>
      <w:r w:rsidR="009F4A97">
        <w:t>imprisonment.</w:t>
      </w:r>
    </w:p>
    <w:p w:rsidR="008106E3" w:rsidRDefault="008106E3" w:rsidP="008106E3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  <w:r>
        <w:t>(3)</w:t>
      </w:r>
      <w:r>
        <w:tab/>
      </w:r>
      <w:r w:rsidR="009F4A97">
        <w:t>That the learned Mag</w:t>
      </w:r>
      <w:r w:rsidR="00CC6D54">
        <w:t xml:space="preserve">istrate failed to consider the principle of totality of sentences </w:t>
      </w:r>
      <w:r>
        <w:tab/>
      </w:r>
      <w:r w:rsidR="00CC6D54">
        <w:t xml:space="preserve">when sentencing the Appellant. He therefore prayed for the allowing of the appeal </w:t>
      </w:r>
      <w:r>
        <w:tab/>
      </w:r>
      <w:r w:rsidR="00CC6D54">
        <w:t>and the quashing of conviction and the setting aside</w:t>
      </w:r>
      <w:r w:rsidR="00FE2E43">
        <w:t xml:space="preserve"> </w:t>
      </w:r>
      <w:r w:rsidR="00B94A24">
        <w:t xml:space="preserve">of the Sentence. </w:t>
      </w:r>
    </w:p>
    <w:p w:rsidR="008106E3" w:rsidRDefault="008106E3" w:rsidP="008106E3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8106E3" w:rsidRDefault="00B94A24" w:rsidP="002F4C9B">
      <w:pPr>
        <w:pStyle w:val="JudgmentText"/>
        <w:tabs>
          <w:tab w:val="left" w:pos="1134"/>
        </w:tabs>
        <w:spacing w:after="0"/>
      </w:pPr>
      <w:r>
        <w:t xml:space="preserve">At the hearing, Mr Nicole Gabriel represented the Appellant and Mr Khalyaan appeared before the Respondent. </w:t>
      </w:r>
    </w:p>
    <w:p w:rsidR="008106E3" w:rsidRDefault="008106E3" w:rsidP="008106E3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8106E3" w:rsidRDefault="00B94A24" w:rsidP="008106E3">
      <w:pPr>
        <w:pStyle w:val="JudgmentText"/>
        <w:tabs>
          <w:tab w:val="left" w:pos="1134"/>
        </w:tabs>
        <w:spacing w:after="0"/>
      </w:pPr>
      <w:r>
        <w:t>The lower Court record has the following entries entered on the 5</w:t>
      </w:r>
      <w:r w:rsidRPr="00B94A24">
        <w:rPr>
          <w:vertAlign w:val="superscript"/>
        </w:rPr>
        <w:t>th</w:t>
      </w:r>
      <w:r>
        <w:t xml:space="preserve"> of December 2013 (Second page of the proceedings) quoted; </w:t>
      </w:r>
    </w:p>
    <w:p w:rsidR="00D80533" w:rsidRDefault="00D80533" w:rsidP="00D80533">
      <w:pPr>
        <w:pStyle w:val="JudgmentText"/>
        <w:numPr>
          <w:ilvl w:val="0"/>
          <w:numId w:val="0"/>
        </w:numPr>
        <w:tabs>
          <w:tab w:val="left" w:pos="709"/>
          <w:tab w:val="left" w:pos="993"/>
        </w:tabs>
        <w:spacing w:after="0"/>
        <w:rPr>
          <w:b/>
        </w:rPr>
      </w:pPr>
      <w:r>
        <w:rPr>
          <w:b/>
        </w:rPr>
        <w:tab/>
      </w:r>
      <w:r w:rsidR="008106E3" w:rsidRPr="00D80533">
        <w:rPr>
          <w:b/>
        </w:rPr>
        <w:t>“</w:t>
      </w:r>
      <w:r>
        <w:rPr>
          <w:b/>
        </w:rPr>
        <w:tab/>
      </w:r>
      <w:r w:rsidR="008106E3" w:rsidRPr="00D80533">
        <w:rPr>
          <w:b/>
          <w:u w:val="single"/>
        </w:rPr>
        <w:t>Republic</w:t>
      </w:r>
      <w:r w:rsidR="008106E3" w:rsidRPr="00D80533">
        <w:rPr>
          <w:b/>
        </w:rPr>
        <w:t>: Republic by Mrs Youpa.</w:t>
      </w:r>
    </w:p>
    <w:p w:rsidR="008106E3" w:rsidRPr="00D80533" w:rsidRDefault="00D8053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>
        <w:rPr>
          <w:b/>
        </w:rPr>
        <w:tab/>
      </w:r>
      <w:r w:rsidR="008106E3" w:rsidRPr="00D80533">
        <w:rPr>
          <w:b/>
          <w:u w:val="single"/>
        </w:rPr>
        <w:t>Accused</w:t>
      </w:r>
      <w:r w:rsidR="008106E3" w:rsidRPr="00D80533">
        <w:rPr>
          <w:b/>
        </w:rPr>
        <w:t xml:space="preserve">: Present (Mr Guy Ferley) </w:t>
      </w:r>
    </w:p>
    <w:p w:rsidR="008106E3" w:rsidRPr="00D80533" w:rsidRDefault="00D8053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="008106E3" w:rsidRPr="00D80533">
        <w:rPr>
          <w:b/>
          <w:u w:val="single"/>
        </w:rPr>
        <w:t>Republic</w:t>
      </w:r>
      <w:r w:rsidR="008106E3" w:rsidRPr="00D80533">
        <w:rPr>
          <w:b/>
        </w:rPr>
        <w:t>: The case for plea.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Accused</w:t>
      </w:r>
      <w:r w:rsidRPr="00D80533">
        <w:rPr>
          <w:b/>
        </w:rPr>
        <w:t>: Yes it is. Would the charge be put to my client?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  <w:i/>
        </w:rPr>
      </w:pPr>
      <w:r w:rsidRPr="00D80533">
        <w:rPr>
          <w:b/>
        </w:rPr>
        <w:tab/>
      </w:r>
      <w:r w:rsidRPr="00D80533">
        <w:rPr>
          <w:b/>
          <w:i/>
        </w:rPr>
        <w:t>Charge Read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Accused</w:t>
      </w:r>
      <w:r w:rsidRPr="00D80533">
        <w:rPr>
          <w:b/>
        </w:rPr>
        <w:t>: I am guilty.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Court</w:t>
      </w:r>
      <w:r w:rsidRPr="00D80533">
        <w:rPr>
          <w:b/>
        </w:rPr>
        <w:t xml:space="preserve">: A guilty plea is entered on the record against the Accused person. Would </w:t>
      </w:r>
      <w:r w:rsidRPr="00D80533">
        <w:rPr>
          <w:b/>
        </w:rPr>
        <w:tab/>
        <w:t>the prosecution narrate the facts?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8106E3">
        <w:tab/>
      </w:r>
      <w:r w:rsidRPr="00D80533">
        <w:rPr>
          <w:b/>
          <w:u w:val="single"/>
        </w:rPr>
        <w:t>Republic</w:t>
      </w:r>
      <w:r w:rsidRPr="00D80533">
        <w:rPr>
          <w:b/>
        </w:rPr>
        <w:t>: As per charge sheet.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Court</w:t>
      </w:r>
      <w:r w:rsidRPr="00D80533">
        <w:rPr>
          <w:b/>
        </w:rPr>
        <w:t>: Are the facts admitted?</w:t>
      </w:r>
    </w:p>
    <w:p w:rsidR="008106E3" w:rsidRPr="00D8053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Defence</w:t>
      </w:r>
      <w:r w:rsidRPr="00D80533">
        <w:rPr>
          <w:b/>
        </w:rPr>
        <w:t>: Yes the fact(s) are admitted.</w:t>
      </w:r>
    </w:p>
    <w:p w:rsidR="008106E3" w:rsidRDefault="008106E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/>
        <w:rPr>
          <w:b/>
        </w:rPr>
      </w:pPr>
      <w:r w:rsidRPr="00D80533">
        <w:rPr>
          <w:b/>
        </w:rPr>
        <w:tab/>
      </w:r>
      <w:r w:rsidRPr="00D80533">
        <w:rPr>
          <w:b/>
          <w:u w:val="single"/>
        </w:rPr>
        <w:t>Court</w:t>
      </w:r>
      <w:r w:rsidRPr="00D80533">
        <w:rPr>
          <w:b/>
        </w:rPr>
        <w:t xml:space="preserve">: The Accused person is convicted on his own guilty plea to the charge in </w:t>
      </w:r>
      <w:r w:rsidRPr="00D80533">
        <w:rPr>
          <w:b/>
        </w:rPr>
        <w:tab/>
        <w:t xml:space="preserve">the </w:t>
      </w:r>
      <w:r w:rsidR="00D80533" w:rsidRPr="00D80533">
        <w:rPr>
          <w:b/>
        </w:rPr>
        <w:tab/>
      </w:r>
      <w:r w:rsidRPr="00D80533">
        <w:rPr>
          <w:b/>
        </w:rPr>
        <w:t xml:space="preserve">Court. </w:t>
      </w:r>
      <w:r w:rsidR="00D80533">
        <w:rPr>
          <w:b/>
        </w:rPr>
        <w:t>"</w:t>
      </w:r>
    </w:p>
    <w:p w:rsidR="00D80533" w:rsidRPr="00D80533" w:rsidRDefault="00D80533" w:rsidP="00D80533">
      <w:pPr>
        <w:pStyle w:val="JudgmentText"/>
        <w:numPr>
          <w:ilvl w:val="0"/>
          <w:numId w:val="0"/>
        </w:numPr>
        <w:tabs>
          <w:tab w:val="left" w:pos="993"/>
        </w:tabs>
        <w:spacing w:after="0" w:line="240" w:lineRule="auto"/>
        <w:rPr>
          <w:b/>
        </w:rPr>
      </w:pPr>
    </w:p>
    <w:p w:rsidR="00D80533" w:rsidRDefault="00151F5C" w:rsidP="008106E3">
      <w:pPr>
        <w:pStyle w:val="JudgmentText"/>
        <w:tabs>
          <w:tab w:val="left" w:pos="1134"/>
        </w:tabs>
        <w:spacing w:after="0"/>
      </w:pPr>
      <w:r>
        <w:t>It is clear that from the above extract that the word “Defence” connotes the defence counsel, as the Accused person is referred to in the proceedings</w:t>
      </w:r>
      <w:r w:rsidR="00B741A5">
        <w:t xml:space="preserve"> as the “Accused”. This is contrary to the provision of Section 181 (2) of the Criminal Procedure Code and the principles initiated in the case of </w:t>
      </w:r>
      <w:r w:rsidR="00B741A5" w:rsidRPr="00D80533">
        <w:rPr>
          <w:b/>
        </w:rPr>
        <w:t>Estico vs The Republic</w:t>
      </w:r>
      <w:r w:rsidR="00CF0BF4" w:rsidRPr="00D80533">
        <w:rPr>
          <w:b/>
        </w:rPr>
        <w:t xml:space="preserve"> [2014]</w:t>
      </w:r>
      <w:r w:rsidR="00363097">
        <w:rPr>
          <w:b/>
        </w:rPr>
        <w:t xml:space="preserve"> SLR 483</w:t>
      </w:r>
      <w:r w:rsidR="00CF0BF4">
        <w:t xml:space="preserve">. This position of the law was again re-emphasized in the recent case of </w:t>
      </w:r>
      <w:r w:rsidR="00CF0BF4" w:rsidRPr="00D80533">
        <w:rPr>
          <w:b/>
        </w:rPr>
        <w:t>Freddy Francis vs the Republic [2016] SCSC 392</w:t>
      </w:r>
      <w:r w:rsidR="00CF0BF4">
        <w:t xml:space="preserve"> or </w:t>
      </w:r>
      <w:r w:rsidR="00D80533">
        <w:t>(</w:t>
      </w:r>
      <w:r w:rsidR="00CF0BF4">
        <w:t>Criminal Appeal Number CN 39/2014</w:t>
      </w:r>
      <w:r w:rsidR="00D80533">
        <w:t>)</w:t>
      </w:r>
      <w:r w:rsidR="00CF0BF4">
        <w:t xml:space="preserve">. The position of </w:t>
      </w:r>
      <w:r w:rsidR="00D80533">
        <w:t>the law</w:t>
      </w:r>
      <w:r w:rsidR="00CF0BF4">
        <w:t xml:space="preserve"> is that, it is only the Accused person who had the right to accept, deny or indeed dispute the correctness of some or all of the facts narrated by the prosecution</w:t>
      </w:r>
      <w:r w:rsidR="00D80533">
        <w:t>. H</w:t>
      </w:r>
      <w:r w:rsidR="00CF0BF4">
        <w:t xml:space="preserve">e is the only person who has the primary knowledge of exactly what he did or what took place at the time of </w:t>
      </w:r>
      <w:r w:rsidR="00D80533">
        <w:t>committing</w:t>
      </w:r>
      <w:r w:rsidR="00CF0BF4">
        <w:t xml:space="preserve"> the crime. Nobody else, his counsel inclusive</w:t>
      </w:r>
      <w:r w:rsidR="00D80533">
        <w:t>,</w:t>
      </w:r>
      <w:r w:rsidR="00CF0BF4">
        <w:t xml:space="preserve"> can take that place. Otherwise the plea would be held to be equivocal and cannot be allowed to stand. </w:t>
      </w:r>
    </w:p>
    <w:p w:rsidR="00D80533" w:rsidRDefault="00D80533" w:rsidP="00D80533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D80533" w:rsidRDefault="00CF0BF4" w:rsidP="008106E3">
      <w:pPr>
        <w:pStyle w:val="JudgmentText"/>
        <w:tabs>
          <w:tab w:val="left" w:pos="1134"/>
        </w:tabs>
        <w:spacing w:after="0"/>
      </w:pPr>
      <w:r>
        <w:t xml:space="preserve">In the premises therefore the conviction based on the </w:t>
      </w:r>
      <w:r w:rsidR="004D2261">
        <w:t>purported</w:t>
      </w:r>
      <w:r>
        <w:t xml:space="preserve"> admission of the facts by the Appellant’s advocate (Defence) </w:t>
      </w:r>
      <w:r w:rsidR="00FA531C">
        <w:t>had rendered the plea equivocal</w:t>
      </w:r>
      <w:r w:rsidR="00734567">
        <w:t xml:space="preserve"> and the convic</w:t>
      </w:r>
      <w:r w:rsidR="00A1321E">
        <w:t>tion entered by the learned tria</w:t>
      </w:r>
      <w:r w:rsidR="00734567">
        <w:t xml:space="preserve">l Magistrate cannot be allowed to stand and must be quashed. </w:t>
      </w:r>
    </w:p>
    <w:p w:rsidR="004D2261" w:rsidRDefault="004D2261" w:rsidP="004D2261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4D2261" w:rsidRDefault="00734567" w:rsidP="008106E3">
      <w:pPr>
        <w:pStyle w:val="JudgmentText"/>
        <w:tabs>
          <w:tab w:val="left" w:pos="1134"/>
        </w:tabs>
        <w:spacing w:after="0"/>
      </w:pPr>
      <w:r>
        <w:t>Given the fact that this is a 2</w:t>
      </w:r>
      <w:r w:rsidR="004D2261">
        <w:t xml:space="preserve">013 case, and the Appellant has already </w:t>
      </w:r>
      <w:r>
        <w:t xml:space="preserve">served </w:t>
      </w:r>
      <w:r w:rsidR="004D2261">
        <w:t xml:space="preserve">a </w:t>
      </w:r>
      <w:r>
        <w:t xml:space="preserve">substantial </w:t>
      </w:r>
      <w:r w:rsidR="004D2261">
        <w:t>illegal sentence imposed on him, I will not order for a re</w:t>
      </w:r>
      <w:r>
        <w:t xml:space="preserve">trial which would ordinarily have been the case. This finding however does not affect the other cases not dealt with by this Court </w:t>
      </w:r>
      <w:r w:rsidR="004D2261">
        <w:t>and are not the subject of an a</w:t>
      </w:r>
      <w:r>
        <w:t xml:space="preserve">ppeal here. </w:t>
      </w:r>
    </w:p>
    <w:p w:rsidR="004D2261" w:rsidRDefault="004D2261" w:rsidP="004D2261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4D2261" w:rsidRDefault="00734567" w:rsidP="008106E3">
      <w:pPr>
        <w:pStyle w:val="JudgmentText"/>
        <w:tabs>
          <w:tab w:val="left" w:pos="1134"/>
        </w:tabs>
        <w:spacing w:after="0"/>
      </w:pPr>
      <w:r>
        <w:t xml:space="preserve">Given the quashing of the Conviction, I would not bother to consider the grounds </w:t>
      </w:r>
      <w:proofErr w:type="gramStart"/>
      <w:r>
        <w:t>raised</w:t>
      </w:r>
      <w:proofErr w:type="gramEnd"/>
      <w:r>
        <w:t xml:space="preserve"> in respect of the Sentence, as it would be a moot question.</w:t>
      </w:r>
    </w:p>
    <w:p w:rsidR="004D2261" w:rsidRDefault="004D2261" w:rsidP="004D2261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</w:pPr>
    </w:p>
    <w:p w:rsidR="009F4A97" w:rsidRDefault="00734567" w:rsidP="008106E3">
      <w:pPr>
        <w:pStyle w:val="JudgmentText"/>
        <w:tabs>
          <w:tab w:val="left" w:pos="1134"/>
        </w:tabs>
        <w:spacing w:after="0"/>
      </w:pPr>
      <w:r>
        <w:t>All in all this appeal succeeds to the above extend only. Order accordingly.</w:t>
      </w:r>
    </w:p>
    <w:p w:rsidR="00734567" w:rsidRPr="009F4A97" w:rsidRDefault="00734567" w:rsidP="002F4C9B">
      <w:pPr>
        <w:pStyle w:val="JudgmentText"/>
        <w:numPr>
          <w:ilvl w:val="0"/>
          <w:numId w:val="0"/>
        </w:numPr>
        <w:tabs>
          <w:tab w:val="left" w:pos="1134"/>
        </w:tabs>
        <w:spacing w:after="0"/>
        <w:ind w:left="720"/>
        <w:rPr>
          <w:u w:val="single"/>
        </w:rPr>
      </w:pPr>
    </w:p>
    <w:p w:rsidR="00EF2051" w:rsidRDefault="00AB19A7" w:rsidP="002F4C9B">
      <w:pPr>
        <w:pStyle w:val="ListParagraph"/>
        <w:widowControl/>
        <w:tabs>
          <w:tab w:val="left" w:pos="1134"/>
        </w:tabs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4D2261">
          <w:type w:val="continuous"/>
          <w:pgSz w:w="12240" w:h="15840"/>
          <w:pgMar w:top="1134" w:right="1440" w:bottom="1134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AB19A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AB19A7">
        <w:rPr>
          <w:sz w:val="24"/>
          <w:szCs w:val="24"/>
        </w:rPr>
      </w:r>
      <w:r w:rsidR="00AB19A7">
        <w:rPr>
          <w:sz w:val="24"/>
          <w:szCs w:val="24"/>
        </w:rPr>
        <w:fldChar w:fldCharType="separate"/>
      </w:r>
      <w:r w:rsidR="00A1321E">
        <w:rPr>
          <w:sz w:val="24"/>
          <w:szCs w:val="24"/>
        </w:rPr>
        <w:t>1 July 2016</w:t>
      </w:r>
      <w:r w:rsidR="00AB19A7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854C55" w:rsidRDefault="00854C5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854C55" w:rsidRDefault="00854C5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854C5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B19A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6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Govinden J"/>
            </w:ddList>
          </w:ffData>
        </w:fldChar>
      </w:r>
      <w:bookmarkStart w:id="23" w:name="Dropdown6"/>
      <w:r w:rsidR="00596E9C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AB19A7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AB19A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9C" w:rsidRDefault="000E6B9C" w:rsidP="00DB6D34">
      <w:r>
        <w:separator/>
      </w:r>
    </w:p>
  </w:endnote>
  <w:endnote w:type="continuationSeparator" w:id="1">
    <w:p w:rsidR="000E6B9C" w:rsidRDefault="000E6B9C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AB19A7">
    <w:pPr>
      <w:pStyle w:val="Footer"/>
      <w:jc w:val="center"/>
    </w:pPr>
    <w:fldSimple w:instr=" PAGE   \* MERGEFORMAT ">
      <w:r w:rsidR="0036309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9C" w:rsidRDefault="000E6B9C" w:rsidP="00DB6D34">
      <w:r>
        <w:separator/>
      </w:r>
    </w:p>
  </w:footnote>
  <w:footnote w:type="continuationSeparator" w:id="1">
    <w:p w:rsidR="000E6B9C" w:rsidRDefault="000E6B9C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97"/>
    <w:rsid w:val="00005BEF"/>
    <w:rsid w:val="00030C81"/>
    <w:rsid w:val="0006489F"/>
    <w:rsid w:val="00075573"/>
    <w:rsid w:val="00091036"/>
    <w:rsid w:val="000A10B8"/>
    <w:rsid w:val="000B0E14"/>
    <w:rsid w:val="000D1DD3"/>
    <w:rsid w:val="000E39A5"/>
    <w:rsid w:val="000E6B9C"/>
    <w:rsid w:val="000E7400"/>
    <w:rsid w:val="001008BC"/>
    <w:rsid w:val="00101D12"/>
    <w:rsid w:val="00117CBF"/>
    <w:rsid w:val="00126A10"/>
    <w:rsid w:val="001376AB"/>
    <w:rsid w:val="00144612"/>
    <w:rsid w:val="00151F5C"/>
    <w:rsid w:val="001529B0"/>
    <w:rsid w:val="00154A4E"/>
    <w:rsid w:val="00157919"/>
    <w:rsid w:val="0016510C"/>
    <w:rsid w:val="00180158"/>
    <w:rsid w:val="00182880"/>
    <w:rsid w:val="001D30F7"/>
    <w:rsid w:val="001E4ED8"/>
    <w:rsid w:val="0020244B"/>
    <w:rsid w:val="0023057E"/>
    <w:rsid w:val="00231C17"/>
    <w:rsid w:val="00236AAC"/>
    <w:rsid w:val="0024353F"/>
    <w:rsid w:val="00290E14"/>
    <w:rsid w:val="002A02B8"/>
    <w:rsid w:val="002A6388"/>
    <w:rsid w:val="002A7376"/>
    <w:rsid w:val="002B2255"/>
    <w:rsid w:val="002B4478"/>
    <w:rsid w:val="002C7560"/>
    <w:rsid w:val="002D06AA"/>
    <w:rsid w:val="002D67FC"/>
    <w:rsid w:val="002E6963"/>
    <w:rsid w:val="002F40A1"/>
    <w:rsid w:val="002F4C9B"/>
    <w:rsid w:val="00301D88"/>
    <w:rsid w:val="00304E76"/>
    <w:rsid w:val="00363097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1756D"/>
    <w:rsid w:val="00445BFA"/>
    <w:rsid w:val="00452BB6"/>
    <w:rsid w:val="0046133B"/>
    <w:rsid w:val="004C3D80"/>
    <w:rsid w:val="004D168B"/>
    <w:rsid w:val="004D2261"/>
    <w:rsid w:val="004F3823"/>
    <w:rsid w:val="00516E73"/>
    <w:rsid w:val="005207C8"/>
    <w:rsid w:val="00530663"/>
    <w:rsid w:val="0055036F"/>
    <w:rsid w:val="005514D6"/>
    <w:rsid w:val="00552704"/>
    <w:rsid w:val="0056312E"/>
    <w:rsid w:val="00572AB3"/>
    <w:rsid w:val="005836AC"/>
    <w:rsid w:val="00584583"/>
    <w:rsid w:val="00594FAC"/>
    <w:rsid w:val="00596E9C"/>
    <w:rsid w:val="005B7E5E"/>
    <w:rsid w:val="005F5FB0"/>
    <w:rsid w:val="00606587"/>
    <w:rsid w:val="00606EEA"/>
    <w:rsid w:val="00610498"/>
    <w:rsid w:val="006174DB"/>
    <w:rsid w:val="0064023C"/>
    <w:rsid w:val="006578C2"/>
    <w:rsid w:val="00666D33"/>
    <w:rsid w:val="00695110"/>
    <w:rsid w:val="006A58E4"/>
    <w:rsid w:val="006D36C9"/>
    <w:rsid w:val="007175A6"/>
    <w:rsid w:val="00734567"/>
    <w:rsid w:val="00744508"/>
    <w:rsid w:val="00745949"/>
    <w:rsid w:val="007A47DC"/>
    <w:rsid w:val="007B6178"/>
    <w:rsid w:val="007C2809"/>
    <w:rsid w:val="007D416E"/>
    <w:rsid w:val="00807411"/>
    <w:rsid w:val="008106E3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54C55"/>
    <w:rsid w:val="008778ED"/>
    <w:rsid w:val="008A5208"/>
    <w:rsid w:val="008C0FD6"/>
    <w:rsid w:val="008D5510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B7E"/>
    <w:rsid w:val="00951EC0"/>
    <w:rsid w:val="0096041D"/>
    <w:rsid w:val="0096251D"/>
    <w:rsid w:val="00981287"/>
    <w:rsid w:val="00983045"/>
    <w:rsid w:val="009B5ED9"/>
    <w:rsid w:val="009E05E5"/>
    <w:rsid w:val="009F1B68"/>
    <w:rsid w:val="009F4A97"/>
    <w:rsid w:val="009F4DC4"/>
    <w:rsid w:val="00A11166"/>
    <w:rsid w:val="00A1321E"/>
    <w:rsid w:val="00A14038"/>
    <w:rsid w:val="00A24346"/>
    <w:rsid w:val="00A32238"/>
    <w:rsid w:val="00A42850"/>
    <w:rsid w:val="00A53837"/>
    <w:rsid w:val="00A80E4E"/>
    <w:rsid w:val="00AB19A7"/>
    <w:rsid w:val="00AB4A4F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41A5"/>
    <w:rsid w:val="00B75AE2"/>
    <w:rsid w:val="00B9148E"/>
    <w:rsid w:val="00B938BB"/>
    <w:rsid w:val="00B94805"/>
    <w:rsid w:val="00B94A24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67AAC"/>
    <w:rsid w:val="00C87FCA"/>
    <w:rsid w:val="00CA1B0C"/>
    <w:rsid w:val="00CA7795"/>
    <w:rsid w:val="00CA7F40"/>
    <w:rsid w:val="00CB186C"/>
    <w:rsid w:val="00CB2313"/>
    <w:rsid w:val="00CB3C7E"/>
    <w:rsid w:val="00CC2FC3"/>
    <w:rsid w:val="00CC6D54"/>
    <w:rsid w:val="00CF0BF4"/>
    <w:rsid w:val="00D03314"/>
    <w:rsid w:val="00D06A0F"/>
    <w:rsid w:val="00D80533"/>
    <w:rsid w:val="00D82047"/>
    <w:rsid w:val="00DB6D34"/>
    <w:rsid w:val="00DD4E02"/>
    <w:rsid w:val="00DE08C1"/>
    <w:rsid w:val="00DE54BD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16784"/>
    <w:rsid w:val="00F804CC"/>
    <w:rsid w:val="00F82A83"/>
    <w:rsid w:val="00F83B3D"/>
    <w:rsid w:val="00FA531C"/>
    <w:rsid w:val="00FA5F6B"/>
    <w:rsid w:val="00FB0AFB"/>
    <w:rsid w:val="00FB2453"/>
    <w:rsid w:val="00FB39BA"/>
    <w:rsid w:val="00FC61E3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AppData\Local\Microsoft\Windows\INetCache\Content.MSO\393BC6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A697-E451-4F72-8A15-248A2B15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393BC639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b.sedgwick</dc:creator>
  <cp:lastModifiedBy>b.sedgwick</cp:lastModifiedBy>
  <cp:revision>3</cp:revision>
  <cp:lastPrinted>2016-07-01T05:53:00Z</cp:lastPrinted>
  <dcterms:created xsi:type="dcterms:W3CDTF">2016-07-01T10:27:00Z</dcterms:created>
  <dcterms:modified xsi:type="dcterms:W3CDTF">2016-07-04T10:56:00Z</dcterms:modified>
</cp:coreProperties>
</file>