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4A031C" w:rsidRDefault="004A031C" w:rsidP="004A031C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4A031C" w:rsidRDefault="004A031C" w:rsidP="004A031C">
      <w:pPr>
        <w:jc w:val="center"/>
        <w:rPr>
          <w:i/>
          <w:sz w:val="24"/>
          <w:szCs w:val="24"/>
        </w:rPr>
        <w:sectPr w:rsidR="004A031C" w:rsidSect="004A031C">
          <w:footerReference w:type="default" r:id="rId7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4A031C" w:rsidRDefault="004A031C" w:rsidP="004A031C">
      <w:pPr>
        <w:jc w:val="center"/>
        <w:rPr>
          <w:b/>
          <w:sz w:val="28"/>
          <w:szCs w:val="28"/>
        </w:rPr>
      </w:pPr>
    </w:p>
    <w:p w:rsidR="004A031C" w:rsidRPr="00606EEA" w:rsidRDefault="004A031C" w:rsidP="004A031C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4A031C" w:rsidRDefault="004A031C" w:rsidP="004A031C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riminal</w:t>
      </w:r>
      <w:r w:rsidRPr="00B75AE2">
        <w:rPr>
          <w:b/>
          <w:sz w:val="28"/>
          <w:szCs w:val="28"/>
        </w:rPr>
        <w:t xml:space="preserve"> Side: </w:t>
      </w:r>
      <w:bookmarkStart w:id="2" w:name="Dropdown15"/>
      <w:r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>
        <w:rPr>
          <w:b/>
          <w:sz w:val="28"/>
          <w:szCs w:val="28"/>
        </w:rPr>
        <w:instrText xml:space="preserve"> FORMDROPDOWN </w:instrText>
      </w:r>
      <w:r w:rsidR="0097067A">
        <w:rPr>
          <w:b/>
          <w:sz w:val="28"/>
          <w:szCs w:val="28"/>
        </w:rPr>
      </w:r>
      <w:r w:rsidR="0097067A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2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10</w:t>
      </w:r>
      <w:r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/20</w:t>
      </w:r>
      <w:r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Pr="00B75AE2">
        <w:rPr>
          <w:b/>
          <w:sz w:val="28"/>
          <w:szCs w:val="28"/>
        </w:rPr>
        <w:instrText xml:space="preserve"> FORMTEXT </w:instrText>
      </w:r>
      <w:r w:rsidRPr="00B75AE2">
        <w:rPr>
          <w:b/>
          <w:sz w:val="28"/>
          <w:szCs w:val="28"/>
        </w:rPr>
      </w:r>
      <w:r w:rsidRPr="00B75AE2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15</w:t>
      </w:r>
      <w:r w:rsidRPr="00B75AE2">
        <w:rPr>
          <w:b/>
          <w:sz w:val="28"/>
          <w:szCs w:val="28"/>
        </w:rPr>
        <w:fldChar w:fldCharType="end"/>
      </w:r>
      <w:bookmarkEnd w:id="4"/>
    </w:p>
    <w:p w:rsidR="004A031C" w:rsidRPr="00606EEA" w:rsidRDefault="004A031C" w:rsidP="004A031C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4A031C" w:rsidRPr="00606EEA" w:rsidRDefault="004A031C" w:rsidP="004A031C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06EEA">
        <w:rPr>
          <w:b/>
          <w:sz w:val="24"/>
          <w:szCs w:val="24"/>
        </w:rPr>
        <w:t>[201</w:t>
      </w:r>
      <w:r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6</w:t>
      </w:r>
      <w:r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 </w:instrText>
      </w:r>
      <w:r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97067A">
        <w:rPr>
          <w:b/>
          <w:sz w:val="24"/>
          <w:szCs w:val="24"/>
        </w:rPr>
        <w:t>481</w:t>
      </w:r>
      <w:bookmarkStart w:id="6" w:name="_GoBack"/>
      <w:bookmarkEnd w:id="6"/>
    </w:p>
    <w:p w:rsidR="004A031C" w:rsidRPr="00606EEA" w:rsidRDefault="004A031C" w:rsidP="004A031C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4A031C" w:rsidRDefault="004A031C" w:rsidP="004A031C">
      <w:pPr>
        <w:rPr>
          <w:sz w:val="24"/>
          <w:szCs w:val="24"/>
        </w:rPr>
      </w:pPr>
    </w:p>
    <w:p w:rsidR="004A031C" w:rsidRPr="00B119B1" w:rsidRDefault="004A031C" w:rsidP="004A031C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4A031C" w:rsidRDefault="004A031C" w:rsidP="004A031C">
      <w:pPr>
        <w:spacing w:after="240"/>
        <w:jc w:val="center"/>
        <w:rPr>
          <w:sz w:val="24"/>
          <w:szCs w:val="24"/>
        </w:rPr>
        <w:sectPr w:rsidR="004A031C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4A031C" w:rsidRDefault="004A031C" w:rsidP="004A031C">
      <w:pPr>
        <w:spacing w:before="120"/>
        <w:jc w:val="center"/>
        <w:rPr>
          <w:sz w:val="24"/>
          <w:szCs w:val="24"/>
        </w:rPr>
      </w:pPr>
    </w:p>
    <w:p w:rsidR="004A031C" w:rsidRDefault="004A031C" w:rsidP="004A031C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4A031C" w:rsidRDefault="004A031C" w:rsidP="004A031C">
      <w:pPr>
        <w:jc w:val="center"/>
        <w:rPr>
          <w:sz w:val="24"/>
          <w:szCs w:val="24"/>
        </w:rPr>
      </w:pPr>
    </w:p>
    <w:p w:rsidR="004A031C" w:rsidRDefault="004A031C" w:rsidP="004A031C">
      <w:pPr>
        <w:jc w:val="center"/>
        <w:rPr>
          <w:sz w:val="24"/>
          <w:szCs w:val="24"/>
        </w:rPr>
      </w:pPr>
    </w:p>
    <w:bookmarkStart w:id="9" w:name="Text46"/>
    <w:p w:rsidR="004A031C" w:rsidRPr="000827FA" w:rsidRDefault="004A031C" w:rsidP="004A031C">
      <w:pPr>
        <w:jc w:val="center"/>
        <w:rPr>
          <w:b/>
          <w:sz w:val="24"/>
          <w:szCs w:val="24"/>
        </w:rPr>
        <w:sectPr w:rsidR="004A031C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ROY JULIUS JULIENNE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4A031C" w:rsidRDefault="004A031C" w:rsidP="004A031C">
      <w:pPr>
        <w:spacing w:after="240"/>
        <w:jc w:val="center"/>
        <w:rPr>
          <w:sz w:val="24"/>
          <w:szCs w:val="24"/>
        </w:rPr>
        <w:sectPr w:rsidR="004A031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result w:val="1"/>
              <w:listEntry w:val="Accused"/>
              <w:listEntry w:val="First Accused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97067A">
        <w:rPr>
          <w:sz w:val="24"/>
          <w:szCs w:val="24"/>
        </w:rPr>
      </w:r>
      <w:r w:rsidR="0097067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4A031C" w:rsidRDefault="004A031C" w:rsidP="004A0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RON POUPONNEAU</w:t>
      </w:r>
    </w:p>
    <w:p w:rsidR="004A031C" w:rsidRPr="00B877B9" w:rsidRDefault="004A031C" w:rsidP="004A031C">
      <w:pPr>
        <w:jc w:val="center"/>
        <w:rPr>
          <w:sz w:val="24"/>
          <w:szCs w:val="24"/>
        </w:rPr>
        <w:sectPr w:rsidR="004A031C" w:rsidRPr="00B877B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</w:rPr>
        <w:t>Second Accused</w:t>
      </w:r>
    </w:p>
    <w:p w:rsidR="004A031C" w:rsidRPr="007779A2" w:rsidRDefault="004A031C" w:rsidP="004A031C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4A031C" w:rsidRPr="00E0467F" w:rsidRDefault="004A031C" w:rsidP="004A031C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B33B80">
        <w:rPr>
          <w:sz w:val="24"/>
          <w:szCs w:val="24"/>
        </w:rPr>
        <w:t>22</w:t>
      </w:r>
      <w:r w:rsidR="00B33B80">
        <w:rPr>
          <w:sz w:val="24"/>
          <w:szCs w:val="24"/>
          <w:vertAlign w:val="superscript"/>
        </w:rPr>
        <w:t xml:space="preserve">  </w:t>
      </w:r>
      <w:r w:rsidR="00B33B80">
        <w:rPr>
          <w:sz w:val="24"/>
          <w:szCs w:val="24"/>
        </w:rPr>
        <w:t>June 2016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</w:p>
    <w:p w:rsidR="004A031C" w:rsidRDefault="004A031C" w:rsidP="004A031C">
      <w:pPr>
        <w:rPr>
          <w:sz w:val="24"/>
          <w:szCs w:val="24"/>
        </w:rPr>
        <w:sectPr w:rsidR="004A031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Mr. Hermanth Kumar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97067A">
        <w:rPr>
          <w:sz w:val="24"/>
          <w:szCs w:val="24"/>
        </w:rPr>
      </w:r>
      <w:r w:rsidR="0097067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Respondent Lawyer Full Name"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for the Republic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Appellant Lawyer full name"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</w:p>
    <w:p w:rsidR="004A031C" w:rsidRDefault="004A031C" w:rsidP="004A031C">
      <w:pPr>
        <w:rPr>
          <w:sz w:val="24"/>
          <w:szCs w:val="24"/>
        </w:rPr>
        <w:sectPr w:rsidR="004A031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Mr. Basil Hoareau Attorney at Law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Respondent Lawyer Full Name"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for </w:t>
      </w:r>
      <w:bookmarkStart w:id="12" w:name="Dropdown12"/>
      <w:r>
        <w:rPr>
          <w:sz w:val="24"/>
          <w:szCs w:val="24"/>
        </w:rPr>
        <w:t xml:space="preserve">the </w:t>
      </w:r>
      <w:bookmarkStart w:id="13" w:name="Dropdown17"/>
      <w:bookmarkEnd w:id="12"/>
      <w:r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result w:val="1"/>
              <w:listEntry w:val="accused"/>
              <w:listEntry w:val="first accused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97067A">
        <w:rPr>
          <w:sz w:val="24"/>
          <w:szCs w:val="24"/>
        </w:rPr>
      </w:r>
      <w:r w:rsidR="0097067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</w:p>
    <w:p w:rsidR="004A031C" w:rsidRDefault="004A031C" w:rsidP="004A031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Ms. Karen Domingue Attorney at Law for the second accused</w:t>
      </w:r>
      <w:r>
        <w:rPr>
          <w:sz w:val="24"/>
          <w:szCs w:val="24"/>
        </w:rPr>
        <w:fldChar w:fldCharType="end"/>
      </w:r>
      <w:bookmarkEnd w:id="14"/>
    </w:p>
    <w:p w:rsidR="004A031C" w:rsidRDefault="004A031C" w:rsidP="004A031C">
      <w:pPr>
        <w:rPr>
          <w:sz w:val="24"/>
          <w:szCs w:val="24"/>
        </w:rPr>
        <w:sectPr w:rsidR="004A031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31C" w:rsidRPr="00E6492F" w:rsidRDefault="004A031C" w:rsidP="004A031C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5" w:name="Text26"/>
      <w:r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 July 2016</w:t>
      </w:r>
      <w:r>
        <w:rPr>
          <w:sz w:val="24"/>
          <w:szCs w:val="24"/>
        </w:rPr>
        <w:fldChar w:fldCharType="end"/>
      </w:r>
      <w:bookmarkEnd w:id="15"/>
    </w:p>
    <w:p w:rsidR="004A031C" w:rsidRPr="00C87FCA" w:rsidRDefault="004A031C" w:rsidP="004A031C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6" w:name="Dropdown2"/>
    </w:p>
    <w:bookmarkStart w:id="17" w:name="Dropdown8"/>
    <w:bookmarkEnd w:id="16"/>
    <w:p w:rsidR="004A031C" w:rsidRDefault="004A031C" w:rsidP="004A031C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4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>
        <w:rPr>
          <w:b/>
          <w:sz w:val="24"/>
          <w:szCs w:val="24"/>
        </w:rPr>
        <w:instrText xml:space="preserve"> FORMDROPDOWN </w:instrText>
      </w:r>
      <w:r w:rsidR="0097067A">
        <w:rPr>
          <w:b/>
          <w:sz w:val="24"/>
          <w:szCs w:val="24"/>
        </w:rPr>
      </w:r>
      <w:r w:rsidR="0097067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7"/>
    </w:p>
    <w:p w:rsidR="004A031C" w:rsidRDefault="004A031C" w:rsidP="004A031C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4A031C" w:rsidRPr="001008BC" w:rsidRDefault="004A031C" w:rsidP="004A031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4A031C" w:rsidRDefault="004A031C" w:rsidP="004A031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8" w:name="Dropdown9"/>
      <w:r>
        <w:rPr>
          <w:b/>
          <w:sz w:val="24"/>
          <w:szCs w:val="24"/>
        </w:rPr>
        <w:instrText xml:space="preserve"> FORMDROPDOWN </w:instrText>
      </w:r>
      <w:r w:rsidR="0097067A">
        <w:rPr>
          <w:b/>
          <w:sz w:val="24"/>
          <w:szCs w:val="24"/>
        </w:rPr>
      </w:r>
      <w:r w:rsidR="0097067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4A031C" w:rsidRDefault="004A031C" w:rsidP="004A031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4A031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1430" w:rsidRDefault="00551430" w:rsidP="00551430">
      <w:pPr>
        <w:pStyle w:val="JudgmentText"/>
        <w:numPr>
          <w:ilvl w:val="0"/>
          <w:numId w:val="3"/>
        </w:numPr>
        <w:tabs>
          <w:tab w:val="left" w:pos="720"/>
        </w:tabs>
      </w:pPr>
      <w:r>
        <w:lastRenderedPageBreak/>
        <w:t>I have considered the submission made by learned counsel Mr. Chetty</w:t>
      </w:r>
      <w:r w:rsidR="00B33B80">
        <w:t xml:space="preserve">, in respect of his application </w:t>
      </w:r>
      <w:r>
        <w:t>for the release of both the accused on bail and the objections</w:t>
      </w:r>
      <w:r w:rsidR="00B33B80">
        <w:t xml:space="preserve"> to the application</w:t>
      </w:r>
      <w:r w:rsidR="000312B5">
        <w:t>,</w:t>
      </w:r>
      <w:r>
        <w:t xml:space="preserve"> expressed by learned counsel for the prosecution</w:t>
      </w:r>
      <w:r w:rsidR="00B33B80">
        <w:t>,</w:t>
      </w:r>
      <w:r>
        <w:t xml:space="preserve"> Mr. Hemanth Kumar, Assist</w:t>
      </w:r>
      <w:r w:rsidR="00B33B80">
        <w:t>ant</w:t>
      </w:r>
      <w:r>
        <w:t xml:space="preserve"> Principal State Counsel.</w:t>
      </w:r>
    </w:p>
    <w:p w:rsidR="00551430" w:rsidRDefault="00551430" w:rsidP="00551430">
      <w:pPr>
        <w:pStyle w:val="JudgmentText"/>
        <w:numPr>
          <w:ilvl w:val="0"/>
          <w:numId w:val="3"/>
        </w:numPr>
        <w:tabs>
          <w:tab w:val="left" w:pos="720"/>
        </w:tabs>
        <w:rPr>
          <w:i/>
        </w:rPr>
      </w:pPr>
      <w:r>
        <w:t>The man ground urged by learned counsel for the 1</w:t>
      </w:r>
      <w:r w:rsidRPr="00551430">
        <w:rPr>
          <w:vertAlign w:val="superscript"/>
        </w:rPr>
        <w:t>st</w:t>
      </w:r>
      <w:r>
        <w:t xml:space="preserve"> accused whose application was on behalf of both accused, is the delay in concluding this case. It is to be observed from the </w:t>
      </w:r>
      <w:r>
        <w:lastRenderedPageBreak/>
        <w:t>proceedings that as trial proceeded</w:t>
      </w:r>
      <w:r w:rsidR="00B33B80">
        <w:t>,</w:t>
      </w:r>
      <w:r>
        <w:t xml:space="preserve"> a majority of the</w:t>
      </w:r>
      <w:r w:rsidR="00B33B80">
        <w:t xml:space="preserve"> adjournments on</w:t>
      </w:r>
      <w:r>
        <w:t xml:space="preserve"> trial dates were sought by learned </w:t>
      </w:r>
      <w:r w:rsidR="00B33B80">
        <w:t xml:space="preserve">counsel </w:t>
      </w:r>
      <w:r>
        <w:t>for the defence. In fact</w:t>
      </w:r>
      <w:r w:rsidR="00B33B80">
        <w:t>,</w:t>
      </w:r>
      <w:r>
        <w:t xml:space="preserve"> even though the prosecution counsel was held up in another ongoing </w:t>
      </w:r>
      <w:r w:rsidR="000312B5">
        <w:t xml:space="preserve">case namely the “Charitha case” </w:t>
      </w:r>
      <w:r w:rsidR="000312B5">
        <w:rPr>
          <w:i/>
        </w:rPr>
        <w:t xml:space="preserve">The </w:t>
      </w:r>
      <w:r>
        <w:rPr>
          <w:i/>
        </w:rPr>
        <w:t>Republic v Roy Brioche &amp; Ors</w:t>
      </w:r>
      <w:r w:rsidR="000312B5">
        <w:rPr>
          <w:i/>
        </w:rPr>
        <w:t xml:space="preserve"> CO 2 of 2013</w:t>
      </w:r>
      <w:r w:rsidR="00B33B80">
        <w:rPr>
          <w:i/>
        </w:rPr>
        <w:t>,</w:t>
      </w:r>
      <w:r>
        <w:rPr>
          <w:i/>
        </w:rPr>
        <w:t xml:space="preserve">, </w:t>
      </w:r>
      <w:r>
        <w:t>he had made it a point to be present on the 16</w:t>
      </w:r>
      <w:r>
        <w:rPr>
          <w:vertAlign w:val="superscript"/>
        </w:rPr>
        <w:t>th</w:t>
      </w:r>
      <w:r>
        <w:t xml:space="preserve"> of March 2016 with his witnesses but it appears defence counsel for the 1</w:t>
      </w:r>
      <w:r>
        <w:rPr>
          <w:vertAlign w:val="superscript"/>
        </w:rPr>
        <w:t>st</w:t>
      </w:r>
      <w:r>
        <w:t xml:space="preserve"> accused was held up in another urgent matter, the election petition case, as borne out by the proceedings and the case had to be</w:t>
      </w:r>
      <w:r w:rsidR="00FC5E3E">
        <w:t xml:space="preserve"> once again</w:t>
      </w:r>
      <w:r>
        <w:t xml:space="preserve"> adjourned.</w:t>
      </w:r>
    </w:p>
    <w:p w:rsidR="00A33626" w:rsidRDefault="00551430" w:rsidP="00A33626">
      <w:pPr>
        <w:pStyle w:val="JudgmentText"/>
        <w:numPr>
          <w:ilvl w:val="0"/>
          <w:numId w:val="3"/>
        </w:numPr>
        <w:tabs>
          <w:tab w:val="left" w:pos="720"/>
        </w:tabs>
        <w:rPr>
          <w:i/>
        </w:rPr>
      </w:pPr>
      <w:r>
        <w:t>On the 21</w:t>
      </w:r>
      <w:r>
        <w:rPr>
          <w:vertAlign w:val="superscript"/>
        </w:rPr>
        <w:t>st</w:t>
      </w:r>
      <w:r>
        <w:t xml:space="preserve"> of March 2016 even though learned counsel for the prosecution had free dates in the month of May 2016, learned counsel for the 2</w:t>
      </w:r>
      <w:r>
        <w:rPr>
          <w:vertAlign w:val="superscript"/>
        </w:rPr>
        <w:t>nd</w:t>
      </w:r>
      <w:r>
        <w:t xml:space="preserve"> accused informed court her earliest free date was the 25</w:t>
      </w:r>
      <w:r>
        <w:rPr>
          <w:vertAlign w:val="superscript"/>
        </w:rPr>
        <w:t>th</w:t>
      </w:r>
      <w:r>
        <w:t xml:space="preserve"> of July 2016 which was not convenient to the prosecution. Thereafter the case was fixed for the 9</w:t>
      </w:r>
      <w:r>
        <w:rPr>
          <w:vertAlign w:val="superscript"/>
        </w:rPr>
        <w:t>th</w:t>
      </w:r>
      <w:r>
        <w:t xml:space="preserve"> and 13</w:t>
      </w:r>
      <w:r>
        <w:rPr>
          <w:vertAlign w:val="superscript"/>
        </w:rPr>
        <w:t>th</w:t>
      </w:r>
      <w:r w:rsidR="000312B5">
        <w:t xml:space="preserve"> of September 2016 dates convenient to both counsel.</w:t>
      </w:r>
      <w:r>
        <w:t xml:space="preserve"> Although this was done in the presence of Mr. Chetty himself as he was standing in for </w:t>
      </w:r>
      <w:r w:rsidR="00B33B80">
        <w:t xml:space="preserve">learned counsel </w:t>
      </w:r>
      <w:r>
        <w:t>Mr. Basil Hoareau, he now informs court that it will not be possible to hear the case on the 13</w:t>
      </w:r>
      <w:r>
        <w:rPr>
          <w:vertAlign w:val="superscript"/>
        </w:rPr>
        <w:t xml:space="preserve">th </w:t>
      </w:r>
      <w:r>
        <w:t>of September 2016 as Mr. Basil Hoareau is held up in another court and it would not be possible</w:t>
      </w:r>
      <w:r w:rsidR="00B33B80">
        <w:t xml:space="preserve"> for him</w:t>
      </w:r>
      <w:r>
        <w:t xml:space="preserve"> to attend on that date.</w:t>
      </w:r>
    </w:p>
    <w:p w:rsidR="00551430" w:rsidRPr="00A33626" w:rsidRDefault="00551430" w:rsidP="00A33626">
      <w:pPr>
        <w:pStyle w:val="JudgmentText"/>
        <w:numPr>
          <w:ilvl w:val="0"/>
          <w:numId w:val="3"/>
        </w:numPr>
        <w:tabs>
          <w:tab w:val="left" w:pos="720"/>
        </w:tabs>
        <w:rPr>
          <w:i/>
        </w:rPr>
      </w:pPr>
      <w:r>
        <w:t>It is apparent that the prosecution is now at the tail end of its case</w:t>
      </w:r>
      <w:r w:rsidR="00A33626">
        <w:t>,</w:t>
      </w:r>
      <w:r>
        <w:t xml:space="preserve"> having led the evidence of the accomp</w:t>
      </w:r>
      <w:r w:rsidR="00A33626">
        <w:t>lice and the detecting officers and from the above mentioned facts, it is apparent t</w:t>
      </w:r>
      <w:r>
        <w:t>he delay in concluding th</w:t>
      </w:r>
      <w:r w:rsidR="00A33626">
        <w:t>is case</w:t>
      </w:r>
      <w:r w:rsidR="00B33B80">
        <w:t xml:space="preserve"> is </w:t>
      </w:r>
      <w:r w:rsidR="00A33626">
        <w:t>due</w:t>
      </w:r>
      <w:r w:rsidR="00E604CC">
        <w:t xml:space="preserve"> largely</w:t>
      </w:r>
      <w:r w:rsidR="00A33626">
        <w:t xml:space="preserve"> to the</w:t>
      </w:r>
      <w:r w:rsidR="00B33B80">
        <w:t xml:space="preserve"> several</w:t>
      </w:r>
      <w:r w:rsidR="00A33626">
        <w:t xml:space="preserve"> adjournments sought by the defence.</w:t>
      </w:r>
    </w:p>
    <w:p w:rsidR="00551430" w:rsidRDefault="00551430" w:rsidP="00551430">
      <w:pPr>
        <w:pStyle w:val="JudgmentText"/>
        <w:numPr>
          <w:ilvl w:val="0"/>
          <w:numId w:val="3"/>
        </w:numPr>
        <w:tabs>
          <w:tab w:val="left" w:pos="720"/>
        </w:tabs>
      </w:pPr>
      <w:r>
        <w:t>The charge against both accused is under the old Misuse of Drugs Act and in respect of trafficking in a quantity of a Class B controlled drug. However when one considers the quantity involved i.e.  16, 863.9 grams, the seriousness of the charge becomes apparent as the trafficking of such a large quantity of controlled drug even of a Cl</w:t>
      </w:r>
      <w:r w:rsidR="00E604CC">
        <w:t>ass B nature, attracts a</w:t>
      </w:r>
      <w:r>
        <w:t xml:space="preserve"> mandatory term of life imprisonment under the old Act</w:t>
      </w:r>
      <w:r w:rsidR="000312B5">
        <w:t xml:space="preserve"> and 50 years imprisonment under the new Act</w:t>
      </w:r>
      <w:r>
        <w:t xml:space="preserve">.   </w:t>
      </w:r>
    </w:p>
    <w:p w:rsidR="00551430" w:rsidRDefault="00551430" w:rsidP="00551430">
      <w:pPr>
        <w:pStyle w:val="JudgmentText"/>
        <w:numPr>
          <w:ilvl w:val="0"/>
          <w:numId w:val="3"/>
        </w:numPr>
        <w:tabs>
          <w:tab w:val="left" w:pos="720"/>
        </w:tabs>
      </w:pPr>
      <w:r>
        <w:t>I am of the view that considering the seriousness of the charge as borne out by the severity of the penalty prescribed by law, there is a strong possibility of both the accused absconding if released on bail.</w:t>
      </w:r>
    </w:p>
    <w:p w:rsidR="00551430" w:rsidRDefault="00551430" w:rsidP="00551430">
      <w:pPr>
        <w:pStyle w:val="JudgmentText"/>
        <w:numPr>
          <w:ilvl w:val="0"/>
          <w:numId w:val="3"/>
        </w:numPr>
        <w:tabs>
          <w:tab w:val="left" w:pos="720"/>
        </w:tabs>
      </w:pPr>
      <w:r>
        <w:lastRenderedPageBreak/>
        <w:t>Further I observe that the prosecution has led a large volume of its evidence and</w:t>
      </w:r>
      <w:r w:rsidR="00FC5E3E">
        <w:t xml:space="preserve"> unlike at the time both accused were produced before this court,</w:t>
      </w:r>
      <w:r>
        <w:t xml:space="preserve"> there exists </w:t>
      </w:r>
      <w:r w:rsidR="00FC5E3E">
        <w:t xml:space="preserve">now </w:t>
      </w:r>
      <w:r>
        <w:t xml:space="preserve">more than affidavit evidence before court against both the </w:t>
      </w:r>
      <w:r w:rsidR="00130F58">
        <w:t>accused.</w:t>
      </w:r>
      <w:r>
        <w:t xml:space="preserve"> </w:t>
      </w:r>
    </w:p>
    <w:p w:rsidR="00551430" w:rsidRDefault="00551430" w:rsidP="00551430">
      <w:pPr>
        <w:pStyle w:val="JudgmentText"/>
        <w:numPr>
          <w:ilvl w:val="0"/>
          <w:numId w:val="3"/>
        </w:numPr>
        <w:tabs>
          <w:tab w:val="left" w:pos="720"/>
        </w:tabs>
      </w:pPr>
      <w:r>
        <w:t>For the aforementioned reasons i.e. considering the seriousness of the charge, the likelihood of the accused absconding in the face of such a serious charge and the fact that the delay in hearing of the case has been largely due to the non-attendance of</w:t>
      </w:r>
      <w:r w:rsidR="00FC5E3E">
        <w:t xml:space="preserve"> defence counsel on trial dates</w:t>
      </w:r>
      <w:r>
        <w:t xml:space="preserve"> when all the prosecution witnesses were presen</w:t>
      </w:r>
      <w:r w:rsidR="00A33626">
        <w:t>t</w:t>
      </w:r>
      <w:r w:rsidR="00FC5E3E">
        <w:t>,</w:t>
      </w:r>
      <w:r w:rsidR="00A33626">
        <w:t xml:space="preserve"> it would be unfair for learned</w:t>
      </w:r>
      <w:r>
        <w:t xml:space="preserve"> defence counsel to complain or state that the case is not being completed </w:t>
      </w:r>
      <w:r w:rsidR="002803A0">
        <w:t>within a reasonable time, especially when the case is a case filed in the year 2015.</w:t>
      </w:r>
    </w:p>
    <w:p w:rsidR="00551430" w:rsidRDefault="00551430" w:rsidP="00551430">
      <w:pPr>
        <w:pStyle w:val="JudgmentText"/>
        <w:numPr>
          <w:ilvl w:val="0"/>
          <w:numId w:val="3"/>
        </w:numPr>
        <w:tabs>
          <w:tab w:val="left" w:pos="720"/>
        </w:tabs>
      </w:pPr>
      <w:r>
        <w:t>Therefore the application for bail is declined. Both accused are further remanded into custody.</w:t>
      </w:r>
    </w:p>
    <w:p w:rsidR="004A031C" w:rsidRDefault="004A031C" w:rsidP="00FC5E3E">
      <w:pPr>
        <w:pStyle w:val="JudgmentText"/>
        <w:numPr>
          <w:ilvl w:val="0"/>
          <w:numId w:val="0"/>
        </w:numPr>
      </w:pPr>
    </w:p>
    <w:p w:rsidR="004A031C" w:rsidRDefault="004A031C" w:rsidP="004A031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4A031C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4A031C" w:rsidRDefault="004A031C" w:rsidP="004A031C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dated and delivered at Ile du Port on </w:t>
      </w:r>
      <w:bookmarkStart w:id="19" w:name="Text19"/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 July 2016</w:t>
      </w:r>
      <w:r>
        <w:rPr>
          <w:sz w:val="24"/>
          <w:szCs w:val="24"/>
        </w:rPr>
        <w:fldChar w:fldCharType="end"/>
      </w:r>
      <w:bookmarkEnd w:id="19"/>
    </w:p>
    <w:p w:rsidR="004A031C" w:rsidRDefault="004A031C" w:rsidP="004A031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4A031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31C" w:rsidRDefault="004A031C" w:rsidP="004A031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4A031C" w:rsidRDefault="004A031C" w:rsidP="004A031C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4A031C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4A031C" w:rsidRDefault="004A031C" w:rsidP="004A031C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4A031C" w:rsidRPr="002A7376" w:rsidRDefault="004A031C" w:rsidP="004A031C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0" w:name="Dropdown6"/>
      <w:r>
        <w:rPr>
          <w:sz w:val="24"/>
          <w:szCs w:val="24"/>
        </w:rPr>
        <w:instrText xml:space="preserve"> FORMDROPDOWN </w:instrText>
      </w:r>
      <w:r w:rsidR="0097067A">
        <w:rPr>
          <w:sz w:val="24"/>
          <w:szCs w:val="24"/>
        </w:rPr>
      </w:r>
      <w:r w:rsidR="0097067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</w:p>
    <w:p w:rsidR="004A031C" w:rsidRPr="00E33F35" w:rsidRDefault="004A031C" w:rsidP="004A031C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p w:rsidR="008C6964" w:rsidRDefault="0097067A"/>
    <w:sectPr w:rsidR="008C6964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43" w:rsidRDefault="00EA6891">
      <w:r>
        <w:separator/>
      </w:r>
    </w:p>
  </w:endnote>
  <w:endnote w:type="continuationSeparator" w:id="0">
    <w:p w:rsidR="00CB5E43" w:rsidRDefault="00EA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4A03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67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43" w:rsidRDefault="00EA6891">
      <w:r>
        <w:separator/>
      </w:r>
    </w:p>
  </w:footnote>
  <w:footnote w:type="continuationSeparator" w:id="0">
    <w:p w:rsidR="00CB5E43" w:rsidRDefault="00EA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542D2"/>
    <w:multiLevelType w:val="multilevel"/>
    <w:tmpl w:val="1CC89892"/>
    <w:numStyleLink w:val="Judgments"/>
  </w:abstractNum>
  <w:abstractNum w:abstractNumId="1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cs="Times New Roman" w:hint="default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GzNDC0NDYytTQ1MTVV0lEKTi0uzszPAykwrAUADWJBmCwAAAA="/>
  </w:docVars>
  <w:rsids>
    <w:rsidRoot w:val="004A031C"/>
    <w:rsid w:val="000312B5"/>
    <w:rsid w:val="00064A6F"/>
    <w:rsid w:val="00121BB8"/>
    <w:rsid w:val="00130F58"/>
    <w:rsid w:val="001B0EB4"/>
    <w:rsid w:val="00262F24"/>
    <w:rsid w:val="0026329A"/>
    <w:rsid w:val="002803A0"/>
    <w:rsid w:val="00382780"/>
    <w:rsid w:val="003D185B"/>
    <w:rsid w:val="003D383B"/>
    <w:rsid w:val="004324C0"/>
    <w:rsid w:val="004A031C"/>
    <w:rsid w:val="004E7C63"/>
    <w:rsid w:val="00551430"/>
    <w:rsid w:val="00572BA8"/>
    <w:rsid w:val="00613E6E"/>
    <w:rsid w:val="0065421F"/>
    <w:rsid w:val="006A3C4B"/>
    <w:rsid w:val="007A7FB1"/>
    <w:rsid w:val="00847C13"/>
    <w:rsid w:val="00887D03"/>
    <w:rsid w:val="00922182"/>
    <w:rsid w:val="00963C4B"/>
    <w:rsid w:val="0097067A"/>
    <w:rsid w:val="00975F56"/>
    <w:rsid w:val="009B59D9"/>
    <w:rsid w:val="00A33626"/>
    <w:rsid w:val="00AB539A"/>
    <w:rsid w:val="00AE1F87"/>
    <w:rsid w:val="00B24815"/>
    <w:rsid w:val="00B33B80"/>
    <w:rsid w:val="00BF76AF"/>
    <w:rsid w:val="00C21832"/>
    <w:rsid w:val="00C75AE9"/>
    <w:rsid w:val="00C81DB9"/>
    <w:rsid w:val="00C84754"/>
    <w:rsid w:val="00CB5E43"/>
    <w:rsid w:val="00CD331B"/>
    <w:rsid w:val="00CF2079"/>
    <w:rsid w:val="00CF2897"/>
    <w:rsid w:val="00D32EB2"/>
    <w:rsid w:val="00D52DA8"/>
    <w:rsid w:val="00D9274C"/>
    <w:rsid w:val="00E37FEE"/>
    <w:rsid w:val="00E604CC"/>
    <w:rsid w:val="00E7050A"/>
    <w:rsid w:val="00EA6891"/>
    <w:rsid w:val="00FC5E3E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04B01-7AC2-4922-8514-5FCB6C0C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1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Calibri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1C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4A0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31C"/>
    <w:rPr>
      <w:rFonts w:eastAsia="Calibri"/>
      <w:sz w:val="20"/>
      <w:szCs w:val="20"/>
      <w:lang w:val="en-GB"/>
    </w:rPr>
  </w:style>
  <w:style w:type="numbering" w:customStyle="1" w:styleId="Judgments">
    <w:name w:val="Judgments"/>
    <w:uiPriority w:val="99"/>
    <w:rsid w:val="004A031C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4A031C"/>
    <w:pPr>
      <w:widowControl/>
      <w:numPr>
        <w:numId w:val="2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CC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j.bastienne</dc:creator>
  <cp:keywords/>
  <dc:description/>
  <cp:lastModifiedBy>Joelle Barnes</cp:lastModifiedBy>
  <cp:revision>20</cp:revision>
  <cp:lastPrinted>2016-07-07T07:45:00Z</cp:lastPrinted>
  <dcterms:created xsi:type="dcterms:W3CDTF">2016-07-07T05:42:00Z</dcterms:created>
  <dcterms:modified xsi:type="dcterms:W3CDTF">2016-08-03T09:30:00Z</dcterms:modified>
</cp:coreProperties>
</file>