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C131E7">
        <w:rPr>
          <w:b/>
          <w:sz w:val="28"/>
          <w:szCs w:val="28"/>
        </w:rPr>
        <w:fldChar w:fldCharType="begin">
          <w:ffData>
            <w:name w:val="Dropdown10"/>
            <w:enabled/>
            <w:calcOnExit w:val="0"/>
            <w:ddList>
              <w:result w:val="1"/>
              <w:listEntry w:val="DC"/>
              <w:listEntry w:val="MC"/>
              <w:listEntry w:val="CS"/>
            </w:ddList>
          </w:ffData>
        </w:fldChar>
      </w:r>
      <w:r w:rsidR="0002151A">
        <w:rPr>
          <w:b/>
          <w:sz w:val="28"/>
          <w:szCs w:val="28"/>
        </w:rPr>
        <w:instrText xml:space="preserve"> FORMDROPDOWN </w:instrText>
      </w:r>
      <w:r w:rsidR="00DF650A">
        <w:rPr>
          <w:b/>
          <w:sz w:val="28"/>
          <w:szCs w:val="28"/>
        </w:rPr>
      </w:r>
      <w:r w:rsidR="00DF650A">
        <w:rPr>
          <w:b/>
          <w:sz w:val="28"/>
          <w:szCs w:val="28"/>
        </w:rPr>
        <w:fldChar w:fldCharType="separate"/>
      </w:r>
      <w:r w:rsidR="00C131E7">
        <w:rPr>
          <w:b/>
          <w:sz w:val="28"/>
          <w:szCs w:val="28"/>
        </w:rPr>
        <w:fldChar w:fldCharType="end"/>
      </w:r>
      <w:bookmarkEnd w:id="0"/>
      <w:r w:rsidR="00C131E7">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C131E7">
        <w:rPr>
          <w:b/>
          <w:sz w:val="28"/>
          <w:szCs w:val="28"/>
        </w:rPr>
      </w:r>
      <w:r w:rsidR="00C131E7">
        <w:rPr>
          <w:b/>
          <w:sz w:val="28"/>
          <w:szCs w:val="28"/>
        </w:rPr>
        <w:fldChar w:fldCharType="separate"/>
      </w:r>
      <w:r w:rsidR="00B40FB5">
        <w:rPr>
          <w:b/>
          <w:noProof/>
          <w:sz w:val="28"/>
          <w:szCs w:val="28"/>
        </w:rPr>
        <w:t>87</w:t>
      </w:r>
      <w:r w:rsidR="00C131E7">
        <w:rPr>
          <w:b/>
          <w:sz w:val="28"/>
          <w:szCs w:val="28"/>
        </w:rPr>
        <w:fldChar w:fldCharType="end"/>
      </w:r>
      <w:bookmarkEnd w:id="1"/>
      <w:r w:rsidRPr="00B75AE2">
        <w:rPr>
          <w:b/>
          <w:sz w:val="28"/>
          <w:szCs w:val="28"/>
        </w:rPr>
        <w:t>/</w:t>
      </w:r>
      <w:r w:rsidR="00C87FCA" w:rsidRPr="00B75AE2">
        <w:rPr>
          <w:b/>
          <w:sz w:val="28"/>
          <w:szCs w:val="28"/>
        </w:rPr>
        <w:t>20</w:t>
      </w:r>
      <w:r w:rsidR="00C131E7"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C131E7" w:rsidRPr="00B75AE2">
        <w:rPr>
          <w:b/>
          <w:sz w:val="28"/>
          <w:szCs w:val="28"/>
        </w:rPr>
      </w:r>
      <w:r w:rsidR="00C131E7" w:rsidRPr="00B75AE2">
        <w:rPr>
          <w:b/>
          <w:sz w:val="28"/>
          <w:szCs w:val="28"/>
        </w:rPr>
        <w:fldChar w:fldCharType="separate"/>
      </w:r>
      <w:r w:rsidR="00B40FB5">
        <w:rPr>
          <w:b/>
          <w:noProof/>
          <w:sz w:val="28"/>
          <w:szCs w:val="28"/>
        </w:rPr>
        <w:t>16</w:t>
      </w:r>
      <w:r w:rsidR="00C131E7" w:rsidRPr="00B75AE2">
        <w:rPr>
          <w:b/>
          <w:sz w:val="28"/>
          <w:szCs w:val="28"/>
        </w:rPr>
        <w:fldChar w:fldCharType="end"/>
      </w:r>
      <w:bookmarkEnd w:id="2"/>
    </w:p>
    <w:p w:rsidR="00A53837" w:rsidRPr="00606EEA" w:rsidRDefault="00C131E7"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314C7A">
      <w:pPr>
        <w:spacing w:before="240" w:after="160"/>
        <w:ind w:left="6480"/>
        <w:rPr>
          <w:b/>
          <w:sz w:val="24"/>
          <w:szCs w:val="24"/>
        </w:rPr>
      </w:pPr>
      <w:r w:rsidRPr="00606EEA">
        <w:rPr>
          <w:b/>
          <w:sz w:val="24"/>
          <w:szCs w:val="24"/>
        </w:rPr>
        <w:t>[201</w:t>
      </w:r>
      <w:r w:rsidR="00C131E7">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C131E7">
        <w:rPr>
          <w:b/>
          <w:sz w:val="24"/>
          <w:szCs w:val="24"/>
        </w:rPr>
      </w:r>
      <w:r w:rsidR="00C131E7">
        <w:rPr>
          <w:b/>
          <w:sz w:val="24"/>
          <w:szCs w:val="24"/>
        </w:rPr>
        <w:fldChar w:fldCharType="separate"/>
      </w:r>
      <w:r w:rsidR="00B40FB5">
        <w:rPr>
          <w:b/>
          <w:noProof/>
          <w:sz w:val="24"/>
          <w:szCs w:val="24"/>
        </w:rPr>
        <w:t>6</w:t>
      </w:r>
      <w:r w:rsidR="00C131E7">
        <w:rPr>
          <w:b/>
          <w:sz w:val="24"/>
          <w:szCs w:val="24"/>
        </w:rPr>
        <w:fldChar w:fldCharType="end"/>
      </w:r>
      <w:bookmarkEnd w:id="3"/>
      <w:r w:rsidR="00C131E7">
        <w:rPr>
          <w:b/>
          <w:sz w:val="24"/>
          <w:szCs w:val="24"/>
        </w:rPr>
        <w:fldChar w:fldCharType="begin"/>
      </w:r>
      <w:r w:rsidR="00C131E7">
        <w:rPr>
          <w:b/>
          <w:sz w:val="24"/>
          <w:szCs w:val="24"/>
        </w:rPr>
        <w:fldChar w:fldCharType="end"/>
      </w:r>
      <w:r w:rsidRPr="00606EEA">
        <w:rPr>
          <w:b/>
          <w:sz w:val="24"/>
          <w:szCs w:val="24"/>
        </w:rPr>
        <w:t>] SCSC</w:t>
      </w:r>
      <w:r w:rsidR="00C131E7">
        <w:rPr>
          <w:b/>
          <w:sz w:val="24"/>
          <w:szCs w:val="24"/>
        </w:rPr>
        <w:fldChar w:fldCharType="begin">
          <w:ffData>
            <w:name w:val="Text43"/>
            <w:enabled/>
            <w:calcOnExit w:val="0"/>
            <w:textInput/>
          </w:ffData>
        </w:fldChar>
      </w:r>
      <w:bookmarkStart w:id="4" w:name="Text43"/>
      <w:r w:rsidR="00314C7A">
        <w:rPr>
          <w:b/>
          <w:sz w:val="24"/>
          <w:szCs w:val="24"/>
        </w:rPr>
        <w:instrText xml:space="preserve"> FORMTEXT </w:instrText>
      </w:r>
      <w:r w:rsidR="00C131E7">
        <w:rPr>
          <w:b/>
          <w:sz w:val="24"/>
          <w:szCs w:val="24"/>
        </w:rPr>
      </w:r>
      <w:r w:rsidR="00C131E7">
        <w:rPr>
          <w:b/>
          <w:sz w:val="24"/>
          <w:szCs w:val="24"/>
        </w:rPr>
        <w:fldChar w:fldCharType="separate"/>
      </w:r>
      <w:r w:rsidR="00DF650A">
        <w:rPr>
          <w:b/>
          <w:sz w:val="24"/>
          <w:szCs w:val="24"/>
        </w:rPr>
        <w:t xml:space="preserve"> 6</w:t>
      </w:r>
      <w:r w:rsidR="00DF650A">
        <w:rPr>
          <w:b/>
          <w:noProof/>
          <w:sz w:val="24"/>
          <w:szCs w:val="24"/>
        </w:rPr>
        <w:t>17</w:t>
      </w:r>
      <w:r w:rsidR="00C131E7">
        <w:rPr>
          <w:b/>
          <w:sz w:val="24"/>
          <w:szCs w:val="24"/>
        </w:rPr>
        <w:fldChar w:fldCharType="end"/>
      </w:r>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B40FB5" w:rsidRDefault="00B40FB5" w:rsidP="00B40898">
      <w:pPr>
        <w:spacing w:after="240"/>
        <w:jc w:val="center"/>
        <w:rPr>
          <w:b/>
          <w:sz w:val="24"/>
          <w:szCs w:val="24"/>
        </w:rPr>
      </w:pPr>
      <w:bookmarkStart w:id="5" w:name="Dropdown13"/>
      <w:r>
        <w:rPr>
          <w:b/>
          <w:sz w:val="24"/>
          <w:szCs w:val="24"/>
        </w:rPr>
        <w:t>LINYON DEMOKRATIK SESELWA</w:t>
      </w:r>
    </w:p>
    <w:p w:rsidR="00B40FB5" w:rsidRPr="00B40FB5" w:rsidRDefault="00B40FB5" w:rsidP="00B40898">
      <w:pPr>
        <w:spacing w:after="240"/>
        <w:jc w:val="center"/>
        <w:rPr>
          <w:b/>
          <w:sz w:val="24"/>
          <w:szCs w:val="24"/>
        </w:rPr>
      </w:pPr>
      <w:r>
        <w:rPr>
          <w:b/>
          <w:sz w:val="24"/>
          <w:szCs w:val="24"/>
        </w:rPr>
        <w:t>REPRESENTED BY ROGER MANCIENNE</w:t>
      </w:r>
    </w:p>
    <w:bookmarkStart w:id="6" w:name="_GoBack"/>
    <w:p w:rsidR="00B40898" w:rsidRDefault="00C131E7"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sidR="00DF650A">
        <w:rPr>
          <w:sz w:val="24"/>
          <w:szCs w:val="24"/>
        </w:rPr>
      </w:r>
      <w:r w:rsidR="00DF650A">
        <w:rPr>
          <w:sz w:val="24"/>
          <w:szCs w:val="24"/>
        </w:rPr>
        <w:fldChar w:fldCharType="separate"/>
      </w:r>
      <w:r>
        <w:rPr>
          <w:sz w:val="24"/>
          <w:szCs w:val="24"/>
        </w:rPr>
        <w:fldChar w:fldCharType="end"/>
      </w:r>
      <w:bookmarkEnd w:id="5"/>
      <w:bookmarkEnd w:id="6"/>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B40FB5" w:rsidP="003862CB">
      <w:pPr>
        <w:jc w:val="center"/>
        <w:rPr>
          <w:b/>
          <w:sz w:val="24"/>
          <w:szCs w:val="24"/>
        </w:rPr>
      </w:pPr>
      <w:r>
        <w:rPr>
          <w:b/>
          <w:sz w:val="24"/>
          <w:szCs w:val="24"/>
        </w:rPr>
        <w:t>THE ELECTORAL COMISSION</w:t>
      </w:r>
    </w:p>
    <w:p w:rsidR="00B40FB5" w:rsidRDefault="00B40FB5" w:rsidP="003862CB">
      <w:pPr>
        <w:jc w:val="center"/>
        <w:rPr>
          <w:sz w:val="24"/>
          <w:szCs w:val="24"/>
        </w:rPr>
      </w:pPr>
      <w:r>
        <w:rPr>
          <w:b/>
          <w:sz w:val="24"/>
          <w:szCs w:val="24"/>
        </w:rPr>
        <w:t>REPRESENTED BY THE ITS CHAIRMAN</w:t>
      </w:r>
    </w:p>
    <w:bookmarkStart w:id="7" w:name="Dropdown14"/>
    <w:p w:rsidR="00B40898" w:rsidRDefault="00C131E7"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sidR="00DF650A">
        <w:rPr>
          <w:sz w:val="24"/>
          <w:szCs w:val="24"/>
        </w:rPr>
      </w:r>
      <w:r w:rsidR="00DF650A">
        <w:rPr>
          <w:sz w:val="24"/>
          <w:szCs w:val="24"/>
        </w:rPr>
        <w:fldChar w:fldCharType="separate"/>
      </w:r>
      <w:r>
        <w:rPr>
          <w:sz w:val="24"/>
          <w:szCs w:val="24"/>
        </w:rPr>
        <w:fldChar w:fldCharType="end"/>
      </w:r>
      <w:bookmarkEnd w:id="7"/>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8" w:name="Text34"/>
      <w:r w:rsidR="00C131E7">
        <w:rPr>
          <w:sz w:val="24"/>
          <w:szCs w:val="24"/>
        </w:rPr>
        <w:fldChar w:fldCharType="begin">
          <w:ffData>
            <w:name w:val="Text34"/>
            <w:enabled/>
            <w:calcOnExit w:val="0"/>
            <w:textInput/>
          </w:ffData>
        </w:fldChar>
      </w:r>
      <w:r w:rsidR="002A7376">
        <w:rPr>
          <w:sz w:val="24"/>
          <w:szCs w:val="24"/>
        </w:rPr>
        <w:instrText xml:space="preserve"> FORMTEXT </w:instrText>
      </w:r>
      <w:r w:rsidR="00C131E7">
        <w:rPr>
          <w:sz w:val="24"/>
          <w:szCs w:val="24"/>
        </w:rPr>
      </w:r>
      <w:r w:rsidR="00C131E7">
        <w:rPr>
          <w:sz w:val="24"/>
          <w:szCs w:val="24"/>
        </w:rPr>
        <w:fldChar w:fldCharType="separate"/>
      </w:r>
      <w:r w:rsidR="00B40FB5">
        <w:rPr>
          <w:noProof/>
          <w:sz w:val="24"/>
          <w:szCs w:val="24"/>
        </w:rPr>
        <w:t xml:space="preserve">25 August 2016 </w:t>
      </w:r>
      <w:r w:rsidR="00C131E7">
        <w:rPr>
          <w:sz w:val="24"/>
          <w:szCs w:val="24"/>
        </w:rPr>
        <w:fldChar w:fldCharType="end"/>
      </w:r>
      <w:bookmarkEnd w:id="8"/>
      <w:r w:rsidR="00C131E7">
        <w:rPr>
          <w:sz w:val="24"/>
          <w:szCs w:val="24"/>
        </w:rPr>
        <w:fldChar w:fldCharType="begin"/>
      </w:r>
      <w:r w:rsidR="00C131E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C131E7">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C131E7">
        <w:rPr>
          <w:sz w:val="24"/>
          <w:szCs w:val="24"/>
        </w:rPr>
      </w:r>
      <w:r w:rsidR="00C131E7">
        <w:rPr>
          <w:sz w:val="24"/>
          <w:szCs w:val="24"/>
        </w:rPr>
        <w:fldChar w:fldCharType="separate"/>
      </w:r>
      <w:r w:rsidR="00B40FB5">
        <w:rPr>
          <w:sz w:val="24"/>
          <w:szCs w:val="24"/>
        </w:rPr>
        <w:t xml:space="preserve">Mr. A. Derjacques </w:t>
      </w:r>
      <w:r w:rsidR="00C131E7">
        <w:rPr>
          <w:sz w:val="24"/>
          <w:szCs w:val="24"/>
        </w:rPr>
        <w:fldChar w:fldCharType="end"/>
      </w:r>
      <w:bookmarkEnd w:id="9"/>
      <w:r w:rsidR="00C131E7">
        <w:rPr>
          <w:sz w:val="24"/>
          <w:szCs w:val="24"/>
        </w:rPr>
        <w:fldChar w:fldCharType="begin"/>
      </w:r>
      <w:r w:rsidR="00F804CC">
        <w:rPr>
          <w:sz w:val="24"/>
          <w:szCs w:val="24"/>
        </w:rPr>
        <w:instrText xml:space="preserve"> ASK  "Enter Appellant Lawyer full name"  \* MERGEFORMAT </w:instrText>
      </w:r>
      <w:r w:rsidR="00C131E7">
        <w:rPr>
          <w:sz w:val="24"/>
          <w:szCs w:val="24"/>
        </w:rPr>
        <w:fldChar w:fldCharType="end"/>
      </w:r>
      <w:r w:rsidR="00C131E7">
        <w:rPr>
          <w:sz w:val="24"/>
          <w:szCs w:val="24"/>
        </w:rPr>
        <w:fldChar w:fldCharType="begin"/>
      </w:r>
      <w:r w:rsidR="00C131E7">
        <w:rPr>
          <w:sz w:val="24"/>
          <w:szCs w:val="24"/>
        </w:rPr>
        <w:fldChar w:fldCharType="end"/>
      </w:r>
      <w:r w:rsidR="009E05E5">
        <w:rPr>
          <w:sz w:val="24"/>
          <w:szCs w:val="24"/>
        </w:rPr>
        <w:t xml:space="preserve">for </w:t>
      </w:r>
      <w:bookmarkStart w:id="10" w:name="Dropdown11"/>
      <w:r w:rsidR="00C131E7">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DF650A">
        <w:rPr>
          <w:sz w:val="24"/>
          <w:szCs w:val="24"/>
        </w:rPr>
      </w:r>
      <w:r w:rsidR="00DF650A">
        <w:rPr>
          <w:sz w:val="24"/>
          <w:szCs w:val="24"/>
        </w:rPr>
        <w:fldChar w:fldCharType="separate"/>
      </w:r>
      <w:r w:rsidR="00C131E7">
        <w:rPr>
          <w:sz w:val="24"/>
          <w:szCs w:val="24"/>
        </w:rPr>
        <w:fldChar w:fldCharType="end"/>
      </w:r>
      <w:bookmarkEnd w:id="10"/>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131E7">
        <w:rPr>
          <w:sz w:val="24"/>
          <w:szCs w:val="24"/>
        </w:rPr>
        <w:fldChar w:fldCharType="begin">
          <w:ffData>
            <w:name w:val="Text36"/>
            <w:enabled/>
            <w:calcOnExit w:val="0"/>
            <w:textInput/>
          </w:ffData>
        </w:fldChar>
      </w:r>
      <w:bookmarkStart w:id="11" w:name="Text36"/>
      <w:r>
        <w:rPr>
          <w:sz w:val="24"/>
          <w:szCs w:val="24"/>
        </w:rPr>
        <w:instrText xml:space="preserve"> FORMTEXT </w:instrText>
      </w:r>
      <w:r w:rsidR="00C131E7">
        <w:rPr>
          <w:sz w:val="24"/>
          <w:szCs w:val="24"/>
        </w:rPr>
      </w:r>
      <w:r w:rsidR="00C131E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131E7">
        <w:rPr>
          <w:sz w:val="24"/>
          <w:szCs w:val="24"/>
        </w:rPr>
        <w:fldChar w:fldCharType="end"/>
      </w:r>
      <w:bookmarkEnd w:id="11"/>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131E7">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C131E7">
        <w:rPr>
          <w:sz w:val="24"/>
          <w:szCs w:val="24"/>
        </w:rPr>
      </w:r>
      <w:r w:rsidR="00C131E7">
        <w:rPr>
          <w:sz w:val="24"/>
          <w:szCs w:val="24"/>
        </w:rPr>
        <w:fldChar w:fldCharType="separate"/>
      </w:r>
      <w:r w:rsidR="00B40FB5">
        <w:rPr>
          <w:noProof/>
          <w:sz w:val="24"/>
          <w:szCs w:val="24"/>
        </w:rPr>
        <w:t xml:space="preserve">Ms Aglae </w:t>
      </w:r>
      <w:r w:rsidR="00C131E7">
        <w:rPr>
          <w:sz w:val="24"/>
          <w:szCs w:val="24"/>
        </w:rPr>
        <w:fldChar w:fldCharType="end"/>
      </w:r>
      <w:bookmarkEnd w:id="12"/>
      <w:r w:rsidR="00C131E7">
        <w:rPr>
          <w:sz w:val="24"/>
          <w:szCs w:val="24"/>
        </w:rPr>
        <w:fldChar w:fldCharType="begin"/>
      </w:r>
      <w:r w:rsidR="00F804CC">
        <w:rPr>
          <w:sz w:val="24"/>
          <w:szCs w:val="24"/>
        </w:rPr>
        <w:instrText xml:space="preserve"> ASK  "Enter Respondent Lawyer Full Name"  \* MERGEFORMAT </w:instrText>
      </w:r>
      <w:r w:rsidR="00C131E7">
        <w:rPr>
          <w:sz w:val="24"/>
          <w:szCs w:val="24"/>
        </w:rPr>
        <w:fldChar w:fldCharType="end"/>
      </w:r>
      <w:r w:rsidR="00C131E7">
        <w:rPr>
          <w:sz w:val="24"/>
          <w:szCs w:val="24"/>
        </w:rPr>
        <w:fldChar w:fldCharType="begin"/>
      </w:r>
      <w:r w:rsidR="00C131E7">
        <w:rPr>
          <w:sz w:val="24"/>
          <w:szCs w:val="24"/>
        </w:rPr>
        <w:fldChar w:fldCharType="end"/>
      </w:r>
      <w:r>
        <w:rPr>
          <w:sz w:val="24"/>
          <w:szCs w:val="24"/>
        </w:rPr>
        <w:t xml:space="preserve">for </w:t>
      </w:r>
      <w:bookmarkStart w:id="13" w:name="Dropdown12"/>
      <w:r w:rsidR="00C131E7">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DF650A">
        <w:rPr>
          <w:sz w:val="24"/>
          <w:szCs w:val="24"/>
        </w:rPr>
      </w:r>
      <w:r w:rsidR="00DF650A">
        <w:rPr>
          <w:sz w:val="24"/>
          <w:szCs w:val="24"/>
        </w:rPr>
        <w:fldChar w:fldCharType="separate"/>
      </w:r>
      <w:r w:rsidR="00C131E7">
        <w:rPr>
          <w:sz w:val="24"/>
          <w:szCs w:val="24"/>
        </w:rPr>
        <w:fldChar w:fldCharType="end"/>
      </w:r>
      <w:bookmarkEnd w:id="13"/>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131E7">
        <w:rPr>
          <w:sz w:val="24"/>
          <w:szCs w:val="24"/>
        </w:rPr>
        <w:fldChar w:fldCharType="begin">
          <w:ffData>
            <w:name w:val="Text37"/>
            <w:enabled/>
            <w:calcOnExit w:val="0"/>
            <w:textInput/>
          </w:ffData>
        </w:fldChar>
      </w:r>
      <w:bookmarkStart w:id="14" w:name="Text37"/>
      <w:r>
        <w:rPr>
          <w:sz w:val="24"/>
          <w:szCs w:val="24"/>
        </w:rPr>
        <w:instrText xml:space="preserve"> FORMTEXT </w:instrText>
      </w:r>
      <w:r w:rsidR="00C131E7">
        <w:rPr>
          <w:sz w:val="24"/>
          <w:szCs w:val="24"/>
        </w:rPr>
      </w:r>
      <w:r w:rsidR="00C131E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131E7">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C131E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C131E7">
        <w:rPr>
          <w:sz w:val="24"/>
          <w:szCs w:val="24"/>
        </w:rPr>
      </w:r>
      <w:r w:rsidR="00C131E7">
        <w:rPr>
          <w:sz w:val="24"/>
          <w:szCs w:val="24"/>
        </w:rPr>
        <w:fldChar w:fldCharType="separate"/>
      </w:r>
      <w:r w:rsidR="00B40FB5">
        <w:rPr>
          <w:sz w:val="24"/>
          <w:szCs w:val="24"/>
        </w:rPr>
        <w:t>25 August 2016</w:t>
      </w:r>
      <w:r w:rsidR="00C131E7">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C131E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sidR="00DF650A">
        <w:rPr>
          <w:b/>
          <w:sz w:val="24"/>
          <w:szCs w:val="24"/>
        </w:rPr>
      </w:r>
      <w:r w:rsidR="00DF650A">
        <w:rPr>
          <w:b/>
          <w:sz w:val="24"/>
          <w:szCs w:val="24"/>
        </w:rPr>
        <w:fldChar w:fldCharType="separate"/>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B40FB5"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Karunakaran,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B40FB5" w:rsidRPr="008B1499" w:rsidRDefault="00B40FB5" w:rsidP="00B40FB5">
      <w:pPr>
        <w:pStyle w:val="JudgmentText"/>
        <w:rPr>
          <w:rFonts w:cs="Helvetica"/>
          <w:color w:val="333333"/>
          <w:lang w:val="en-US"/>
        </w:rPr>
      </w:pPr>
      <w:r w:rsidRPr="00DC6276">
        <w:lastRenderedPageBreak/>
        <w:t xml:space="preserve">This is a petition for “Judicial Review” of an administrative decision of the respondent, the Electoral Commission (EC), in registering a political party in the name of </w:t>
      </w:r>
      <w:r>
        <w:t>“</w:t>
      </w:r>
      <w:r w:rsidRPr="005B2A13">
        <w:rPr>
          <w:u w:val="single"/>
        </w:rPr>
        <w:t>LSD</w:t>
      </w:r>
      <w:r>
        <w:t>”</w:t>
      </w:r>
      <w:r w:rsidRPr="00DC6276">
        <w:t xml:space="preserve"> </w:t>
      </w:r>
      <w:r>
        <w:t xml:space="preserve">(Lafors Sosyal Democratik) </w:t>
      </w:r>
      <w:r w:rsidRPr="00DC6276">
        <w:t xml:space="preserve">under the provisions of the Registration of </w:t>
      </w:r>
      <w:r>
        <w:rPr>
          <w:rFonts w:cs="Helvetica"/>
          <w:color w:val="333333"/>
          <w:lang w:val="en-US"/>
        </w:rPr>
        <w:t xml:space="preserve">the </w:t>
      </w:r>
      <w:r w:rsidRPr="00805851">
        <w:rPr>
          <w:rFonts w:cs="Helvetica"/>
          <w:color w:val="333333"/>
          <w:lang w:val="en-US"/>
        </w:rPr>
        <w:t>Political Parties (Registration and Regulation) Act</w:t>
      </w:r>
      <w:r w:rsidRPr="00DC6276">
        <w:t>.</w:t>
      </w:r>
      <w:r>
        <w:t xml:space="preserve"> </w:t>
      </w:r>
      <w:r w:rsidRPr="00DC6276">
        <w:t xml:space="preserve">The petitioner, </w:t>
      </w:r>
      <w:r>
        <w:t>“</w:t>
      </w:r>
      <w:r w:rsidRPr="005B2A13">
        <w:rPr>
          <w:u w:val="single"/>
        </w:rPr>
        <w:t>LDS</w:t>
      </w:r>
      <w:r>
        <w:t>” (Linyon Democratik Seselwa),</w:t>
      </w:r>
      <w:r w:rsidRPr="00DC6276">
        <w:t xml:space="preserve"> an existing, recognised and registered political party is challenging the said </w:t>
      </w:r>
      <w:r w:rsidRPr="00DC6276">
        <w:lastRenderedPageBreak/>
        <w:t xml:space="preserve">decision </w:t>
      </w:r>
      <w:r>
        <w:t xml:space="preserve">hereinafter called the impugned decision </w:t>
      </w:r>
      <w:r w:rsidRPr="00DC6276">
        <w:t>of the EC on the ground</w:t>
      </w:r>
      <w:r>
        <w:t>s</w:t>
      </w:r>
      <w:r w:rsidRPr="00DC6276">
        <w:t xml:space="preserve"> that the said decision is</w:t>
      </w:r>
      <w:r>
        <w:t xml:space="preserve"> </w:t>
      </w:r>
      <w:r w:rsidRPr="00DC6276">
        <w:t>irrational</w:t>
      </w:r>
      <w:r>
        <w:t xml:space="preserve">, </w:t>
      </w:r>
      <w:r w:rsidRPr="00DC6276">
        <w:t>unreasonable</w:t>
      </w:r>
      <w:r>
        <w:t xml:space="preserve"> and above all, illegal. The Petitioner contends that</w:t>
      </w:r>
      <w:r w:rsidRPr="00DC6276">
        <w:t xml:space="preserve"> the name </w:t>
      </w:r>
      <w:r>
        <w:t>“</w:t>
      </w:r>
      <w:r w:rsidRPr="005B2A13">
        <w:rPr>
          <w:u w:val="single"/>
        </w:rPr>
        <w:t>LSD</w:t>
      </w:r>
      <w:r>
        <w:t>”</w:t>
      </w:r>
      <w:r w:rsidRPr="00DC6276">
        <w:t xml:space="preserve"> is </w:t>
      </w:r>
      <w:r w:rsidRPr="005573A6">
        <w:t>identical or so nearly resembles the name of an existing registered political party</w:t>
      </w:r>
      <w:r>
        <w:t xml:space="preserve"> “</w:t>
      </w:r>
      <w:r w:rsidRPr="005B2A13">
        <w:rPr>
          <w:u w:val="single"/>
        </w:rPr>
        <w:t>LDS</w:t>
      </w:r>
      <w:r>
        <w:t>”,</w:t>
      </w:r>
      <w:r w:rsidRPr="00DC6276">
        <w:t xml:space="preserve"> or </w:t>
      </w:r>
      <w:r>
        <w:t xml:space="preserve">is so </w:t>
      </w:r>
      <w:r w:rsidRPr="00DC6276">
        <w:t>close and similar</w:t>
      </w:r>
      <w:r>
        <w:t>,</w:t>
      </w:r>
      <w:r w:rsidRPr="00DC6276">
        <w:t xml:space="preserve"> or</w:t>
      </w:r>
      <w:r w:rsidRPr="008B1499">
        <w:rPr>
          <w:rFonts w:cs="Helvetica"/>
          <w:color w:val="333333"/>
          <w:lang w:val="en-US"/>
        </w:rPr>
        <w:t xml:space="preserve"> </w:t>
      </w:r>
      <w:r w:rsidRPr="00DC6276">
        <w:rPr>
          <w:rFonts w:cs="Helvetica"/>
          <w:color w:val="333333"/>
          <w:lang w:val="en-US"/>
        </w:rPr>
        <w:t>appear</w:t>
      </w:r>
      <w:r>
        <w:rPr>
          <w:rFonts w:cs="Helvetica"/>
          <w:color w:val="333333"/>
          <w:lang w:val="en-US"/>
        </w:rPr>
        <w:t>s</w:t>
      </w:r>
      <w:r w:rsidRPr="00DC6276">
        <w:rPr>
          <w:rFonts w:cs="Helvetica"/>
          <w:color w:val="333333"/>
          <w:lang w:val="en-US"/>
        </w:rPr>
        <w:t xml:space="preserve"> to be </w:t>
      </w:r>
      <w:r w:rsidRPr="008B1499">
        <w:rPr>
          <w:rFonts w:cs="Helvetica"/>
          <w:color w:val="333333"/>
          <w:lang w:val="en-US"/>
        </w:rPr>
        <w:t xml:space="preserve">the same as, or is likely to be confused with, or mistaken for, the name of </w:t>
      </w:r>
      <w:r w:rsidRPr="00DC6276">
        <w:rPr>
          <w:rFonts w:cs="Helvetica"/>
          <w:color w:val="333333"/>
          <w:lang w:val="en-US"/>
        </w:rPr>
        <w:t xml:space="preserve">the petitioner </w:t>
      </w:r>
      <w:r>
        <w:rPr>
          <w:rFonts w:cs="Helvetica"/>
          <w:color w:val="333333"/>
          <w:lang w:val="en-US"/>
        </w:rPr>
        <w:t>“</w:t>
      </w:r>
      <w:r w:rsidRPr="00DC6276">
        <w:rPr>
          <w:rFonts w:cs="Helvetica"/>
          <w:color w:val="333333"/>
          <w:lang w:val="en-US"/>
        </w:rPr>
        <w:t>LD</w:t>
      </w:r>
      <w:r>
        <w:rPr>
          <w:rFonts w:cs="Helvetica"/>
          <w:color w:val="333333"/>
          <w:lang w:val="en-US"/>
        </w:rPr>
        <w:t>S”</w:t>
      </w:r>
      <w:r w:rsidRPr="00DC6276">
        <w:rPr>
          <w:rFonts w:cs="Helvetica"/>
          <w:color w:val="333333"/>
          <w:lang w:val="en-US"/>
        </w:rPr>
        <w:t xml:space="preserve">, which is </w:t>
      </w:r>
      <w:r w:rsidRPr="00DC6276">
        <w:t>an existing, recognised and registered political party</w:t>
      </w:r>
      <w:r w:rsidRPr="00DC6276">
        <w:rPr>
          <w:rFonts w:cs="Helvetica"/>
          <w:color w:val="333333"/>
          <w:lang w:val="en-US"/>
        </w:rPr>
        <w:t>.</w:t>
      </w:r>
      <w:r w:rsidRPr="008B1499">
        <w:rPr>
          <w:rFonts w:cs="Helvetica"/>
          <w:color w:val="333333"/>
          <w:lang w:val="en-US"/>
        </w:rPr>
        <w:t xml:space="preserve"> </w:t>
      </w:r>
      <w:r w:rsidRPr="00DC6276">
        <w:rPr>
          <w:rFonts w:cs="Helvetica"/>
          <w:color w:val="333333"/>
          <w:lang w:val="en-US"/>
        </w:rPr>
        <w:t xml:space="preserve">The impugned name “LSD” according to the petitioner is likely to deceive, mislead or to say the least confuse the members of the public, its party members and supporters, who are potential electorates and soon going to exercise their voting rights in the forthcoming election to elect the members </w:t>
      </w:r>
      <w:r>
        <w:rPr>
          <w:rFonts w:cs="Helvetica"/>
          <w:color w:val="333333"/>
          <w:lang w:val="en-US"/>
        </w:rPr>
        <w:t>of</w:t>
      </w:r>
      <w:r w:rsidRPr="00DC6276">
        <w:rPr>
          <w:rFonts w:cs="Helvetica"/>
          <w:color w:val="333333"/>
          <w:lang w:val="en-US"/>
        </w:rPr>
        <w:t xml:space="preserve"> the National Assembly.</w:t>
      </w:r>
    </w:p>
    <w:p w:rsidR="00B40FB5" w:rsidRPr="00DC6276" w:rsidRDefault="00B40FB5" w:rsidP="00B40FB5">
      <w:pPr>
        <w:pStyle w:val="JudgmentText"/>
      </w:pPr>
      <w:r w:rsidRPr="00DC6276">
        <w:t xml:space="preserve">I carefully perused </w:t>
      </w:r>
      <w:r>
        <w:t xml:space="preserve">all the pleadings </w:t>
      </w:r>
      <w:r w:rsidRPr="00DC6276">
        <w:t>the affidavits</w:t>
      </w:r>
      <w:r>
        <w:t xml:space="preserve">, and all documents adduced including authorities cited by the parties for and against the petition. I diligently scrutinised the record of proceedings forwarded to the Court by the EC in this matter. I </w:t>
      </w:r>
      <w:r w:rsidRPr="00DC6276">
        <w:t xml:space="preserve">meticulously analysed the arguments advanced by counsel </w:t>
      </w:r>
      <w:r>
        <w:t xml:space="preserve">Mr. Derjacques </w:t>
      </w:r>
      <w:r w:rsidRPr="00DC6276">
        <w:t xml:space="preserve">for </w:t>
      </w:r>
      <w:r>
        <w:t xml:space="preserve">the </w:t>
      </w:r>
      <w:r w:rsidRPr="00DC6276">
        <w:t>Petitioner</w:t>
      </w:r>
      <w:r>
        <w:t xml:space="preserve"> and Mrs S. Aglae for the respondent, who vehemently argued that the impugned decision of the respondent was legal and reasonable given the circumstances of the case. I gave due consideration to</w:t>
      </w:r>
      <w:r w:rsidRPr="00DC6276">
        <w:t xml:space="preserve"> the relevant provisions of law, case law </w:t>
      </w:r>
      <w:r>
        <w:t xml:space="preserve">submissions of counsel on both sides, </w:t>
      </w:r>
      <w:r w:rsidRPr="00DC6276">
        <w:t xml:space="preserve">and </w:t>
      </w:r>
      <w:r>
        <w:t xml:space="preserve">to </w:t>
      </w:r>
      <w:r w:rsidRPr="00DC6276">
        <w:t>our jurisprudence</w:t>
      </w:r>
      <w:r>
        <w:t xml:space="preserve"> on the subject of judicial review.</w:t>
      </w:r>
      <w:r w:rsidRPr="00DC6276">
        <w:t xml:space="preserve"> </w:t>
      </w:r>
    </w:p>
    <w:p w:rsidR="00B40FB5" w:rsidRDefault="00B40FB5" w:rsidP="00B40FB5">
      <w:pPr>
        <w:pStyle w:val="JudgmentText"/>
      </w:pPr>
      <w:r w:rsidRPr="00DC6276">
        <w:t>First</w:t>
      </w:r>
      <w:r>
        <w:t xml:space="preserve"> of all</w:t>
      </w:r>
      <w:r w:rsidRPr="00DC6276">
        <w:t xml:space="preserve">, </w:t>
      </w:r>
      <w:r>
        <w:t xml:space="preserve">I hold the Judgment delivered earlier in MC 86 of 2016 and the Ruling delivered in MA 257 of 2016 mutatis mutandis be read as part of this Judgment hereof. In this judgment, I apply the same principles of law to facts relevant to the instant petition. Having heard arguments from both sides, </w:t>
      </w:r>
      <w:r w:rsidRPr="00DC6276">
        <w:t xml:space="preserve">I am satisfied of the reasons given by the petitioner </w:t>
      </w:r>
      <w:r>
        <w:t xml:space="preserve">inviting this Court to hold that the impugned </w:t>
      </w:r>
      <w:r w:rsidRPr="00DC6276">
        <w:t>decision</w:t>
      </w:r>
      <w:r>
        <w:t xml:space="preserve"> of the EC</w:t>
      </w:r>
      <w:r w:rsidRPr="00DC6276">
        <w:t xml:space="preserve"> is</w:t>
      </w:r>
      <w:r>
        <w:t xml:space="preserve"> </w:t>
      </w:r>
      <w:r w:rsidRPr="00DC6276">
        <w:t>irrational</w:t>
      </w:r>
      <w:r>
        <w:t xml:space="preserve">, </w:t>
      </w:r>
      <w:r w:rsidRPr="00DC6276">
        <w:t>unreasonable</w:t>
      </w:r>
      <w:r>
        <w:t xml:space="preserve"> and above all, illegal.</w:t>
      </w:r>
    </w:p>
    <w:p w:rsidR="00B40FB5" w:rsidRDefault="00B40FB5" w:rsidP="00B40FB5">
      <w:pPr>
        <w:pStyle w:val="JudgmentText"/>
        <w:rPr>
          <w:rFonts w:cs="Helvetica"/>
          <w:color w:val="333333"/>
          <w:lang w:val="en-US"/>
        </w:rPr>
      </w:pPr>
      <w:r>
        <w:t>O</w:t>
      </w:r>
      <w:r w:rsidRPr="00DC6276">
        <w:t xml:space="preserve">n the </w:t>
      </w:r>
      <w:r>
        <w:t>strength of the evidence and in the of light relevant provisions of law and legal principles</w:t>
      </w:r>
      <w:r w:rsidRPr="00DC6276">
        <w:t xml:space="preserve">, it is so evident </w:t>
      </w:r>
      <w:r>
        <w:t xml:space="preserve">as I stated in my previous order on interim injection </w:t>
      </w:r>
      <w:hyperlink r:id="rId9" w:anchor="1" w:history="1"/>
      <w:r w:rsidRPr="00DC6276">
        <w:rPr>
          <w:rFonts w:cs="Helvetica"/>
          <w:color w:val="333333"/>
          <w:lang w:val="en-US"/>
        </w:rPr>
        <w:t xml:space="preserve"> </w:t>
      </w:r>
      <w:r w:rsidRPr="00DC6276">
        <w:t xml:space="preserve">any reasonable man with average intelligence or the </w:t>
      </w:r>
      <w:r w:rsidRPr="00DC6276">
        <w:rPr>
          <w:i/>
          <w:iCs/>
        </w:rPr>
        <w:t xml:space="preserve">man on the </w:t>
      </w:r>
      <w:r w:rsidRPr="00DC6276">
        <w:rPr>
          <w:rStyle w:val="spelle"/>
          <w:rFonts w:ascii="Bookman Old Style" w:hAnsi="Bookman Old Style"/>
          <w:i/>
          <w:iCs/>
        </w:rPr>
        <w:t>Clapham</w:t>
      </w:r>
      <w:r w:rsidRPr="00DC6276">
        <w:rPr>
          <w:i/>
          <w:iCs/>
        </w:rPr>
        <w:t xml:space="preserve"> omnibus</w:t>
      </w:r>
      <w:r w:rsidRPr="00DC6276">
        <w:t xml:space="preserve"> would </w:t>
      </w:r>
      <w:r>
        <w:t xml:space="preserve">obviously </w:t>
      </w:r>
      <w:r w:rsidRPr="00DC6276">
        <w:t>find that the name</w:t>
      </w:r>
      <w:r>
        <w:t>/acronym</w:t>
      </w:r>
      <w:r w:rsidRPr="00DC6276">
        <w:t xml:space="preserve"> “LSD” </w:t>
      </w:r>
      <w:r>
        <w:t xml:space="preserve">does </w:t>
      </w:r>
      <w:r w:rsidRPr="00DC6276">
        <w:t>appear to be</w:t>
      </w:r>
      <w:r w:rsidRPr="008B1499">
        <w:rPr>
          <w:rFonts w:cs="Helvetica"/>
          <w:color w:val="333333"/>
          <w:lang w:val="en-US"/>
        </w:rPr>
        <w:t xml:space="preserve"> </w:t>
      </w:r>
      <w:r w:rsidRPr="00DC6276">
        <w:rPr>
          <w:rFonts w:cs="Helvetica"/>
          <w:color w:val="333333"/>
          <w:lang w:val="en-US"/>
        </w:rPr>
        <w:t xml:space="preserve">very similar or the same </w:t>
      </w:r>
      <w:r w:rsidRPr="008B1499">
        <w:rPr>
          <w:rFonts w:cs="Helvetica"/>
          <w:color w:val="333333"/>
          <w:lang w:val="en-US"/>
        </w:rPr>
        <w:lastRenderedPageBreak/>
        <w:t>as, or is likely to be confused with, or mistaken for, the name</w:t>
      </w:r>
      <w:r>
        <w:rPr>
          <w:rFonts w:cs="Helvetica"/>
          <w:color w:val="333333"/>
          <w:lang w:val="en-US"/>
        </w:rPr>
        <w:t>/acronym</w:t>
      </w:r>
      <w:r w:rsidRPr="008B1499">
        <w:rPr>
          <w:rFonts w:cs="Helvetica"/>
          <w:color w:val="333333"/>
          <w:lang w:val="en-US"/>
        </w:rPr>
        <w:t xml:space="preserve"> of </w:t>
      </w:r>
      <w:r w:rsidRPr="00DC6276">
        <w:rPr>
          <w:rFonts w:cs="Helvetica"/>
          <w:color w:val="333333"/>
          <w:lang w:val="en-US"/>
        </w:rPr>
        <w:t xml:space="preserve">“LDS” which is the name of </w:t>
      </w:r>
      <w:r w:rsidRPr="008B1499">
        <w:rPr>
          <w:rFonts w:cs="Helvetica"/>
          <w:color w:val="333333"/>
          <w:lang w:val="en-US"/>
        </w:rPr>
        <w:t>a</w:t>
      </w:r>
      <w:r w:rsidRPr="00DC6276">
        <w:rPr>
          <w:rFonts w:cs="Helvetica"/>
          <w:color w:val="333333"/>
          <w:lang w:val="en-US"/>
        </w:rPr>
        <w:t>n existing registered and recognized</w:t>
      </w:r>
      <w:r w:rsidRPr="008B1499">
        <w:rPr>
          <w:rFonts w:cs="Helvetica"/>
          <w:color w:val="333333"/>
          <w:lang w:val="en-US"/>
        </w:rPr>
        <w:t xml:space="preserve"> political </w:t>
      </w:r>
      <w:r w:rsidRPr="00DC6276">
        <w:rPr>
          <w:rFonts w:cs="Helvetica"/>
          <w:color w:val="333333"/>
          <w:lang w:val="en-US"/>
        </w:rPr>
        <w:t>party.</w:t>
      </w:r>
    </w:p>
    <w:p w:rsidR="00B40FB5" w:rsidRDefault="00B40FB5" w:rsidP="00B40FB5">
      <w:pPr>
        <w:pStyle w:val="JudgmentText"/>
        <w:rPr>
          <w:rFonts w:cs="Helvetica"/>
          <w:color w:val="333333"/>
          <w:lang w:val="en-US"/>
        </w:rPr>
      </w:pPr>
      <w:r>
        <w:rPr>
          <w:rFonts w:cs="Helvetica"/>
          <w:color w:val="333333"/>
          <w:lang w:val="en-US"/>
        </w:rPr>
        <w:t xml:space="preserve">Furthermore, it is axiomatic that Section 7(1) of the </w:t>
      </w:r>
      <w:r w:rsidRPr="00805851">
        <w:rPr>
          <w:rFonts w:cs="Helvetica"/>
          <w:color w:val="333333"/>
          <w:lang w:val="en-US"/>
        </w:rPr>
        <w:t>Political Parties (Registration and Regulation) Act</w:t>
      </w:r>
      <w:r>
        <w:rPr>
          <w:rFonts w:cs="Helvetica"/>
          <w:color w:val="333333"/>
          <w:lang w:val="en-US"/>
        </w:rPr>
        <w:t xml:space="preserve"> reads thus:</w:t>
      </w:r>
    </w:p>
    <w:p w:rsidR="00B40FB5" w:rsidRPr="00006347" w:rsidRDefault="00B40FB5" w:rsidP="00B40FB5">
      <w:pPr>
        <w:pStyle w:val="JudgmentText"/>
        <w:numPr>
          <w:ilvl w:val="0"/>
          <w:numId w:val="0"/>
        </w:numPr>
        <w:ind w:left="1440"/>
        <w:rPr>
          <w:rFonts w:ascii="Cambria Math" w:hAnsi="Cambria Math" w:cs="Cambria Math"/>
          <w:i/>
          <w:color w:val="333333"/>
          <w:lang w:val="en-US"/>
        </w:rPr>
      </w:pPr>
      <w:r>
        <w:rPr>
          <w:rFonts w:cs="Helvetica"/>
          <w:i/>
          <w:color w:val="333333"/>
          <w:lang w:val="en-US"/>
        </w:rPr>
        <w:t>“</w:t>
      </w:r>
      <w:r w:rsidRPr="00006347">
        <w:rPr>
          <w:rFonts w:cs="Helvetica"/>
          <w:i/>
          <w:color w:val="333333"/>
          <w:lang w:val="en-US"/>
        </w:rPr>
        <w:t xml:space="preserve">7. (1) The Commission may refuse to register a political party if he is satisfied that </w:t>
      </w:r>
      <w:r w:rsidRPr="00006347">
        <w:rPr>
          <w:rFonts w:ascii="MS Mincho" w:eastAsia="MS Mincho" w:hAnsi="MS Mincho" w:cs="MS Mincho" w:hint="eastAsia"/>
          <w:i/>
          <w:color w:val="333333"/>
          <w:lang w:val="en-US"/>
        </w:rPr>
        <w:t>‑</w:t>
      </w:r>
    </w:p>
    <w:p w:rsidR="00B40FB5" w:rsidRPr="00006347" w:rsidRDefault="00B40FB5" w:rsidP="00B40FB5">
      <w:pPr>
        <w:pStyle w:val="JudgmentText"/>
        <w:numPr>
          <w:ilvl w:val="0"/>
          <w:numId w:val="0"/>
        </w:numPr>
        <w:ind w:left="1440" w:firstLine="720"/>
        <w:rPr>
          <w:rFonts w:cs="Helvetica"/>
          <w:i/>
          <w:color w:val="333333"/>
          <w:lang w:val="en-US"/>
        </w:rPr>
      </w:pPr>
      <w:r w:rsidRPr="00006347">
        <w:rPr>
          <w:rFonts w:cs="Helvetica"/>
          <w:i/>
          <w:color w:val="333333"/>
          <w:lang w:val="en-US"/>
        </w:rPr>
        <w:t>(a) the application is not in conformity with this Act;</w:t>
      </w:r>
    </w:p>
    <w:p w:rsidR="00B40FB5" w:rsidRPr="00006347" w:rsidRDefault="00B40FB5" w:rsidP="00B40FB5">
      <w:pPr>
        <w:pStyle w:val="JudgmentText"/>
        <w:numPr>
          <w:ilvl w:val="0"/>
          <w:numId w:val="0"/>
        </w:numPr>
        <w:ind w:left="1440" w:firstLine="720"/>
        <w:rPr>
          <w:rFonts w:cs="Helvetica"/>
          <w:i/>
          <w:color w:val="333333"/>
          <w:lang w:val="en-US"/>
        </w:rPr>
      </w:pPr>
      <w:r w:rsidRPr="00006347">
        <w:rPr>
          <w:rFonts w:cs="Helvetica"/>
          <w:i/>
          <w:color w:val="333333"/>
          <w:lang w:val="en-US"/>
        </w:rPr>
        <w:t xml:space="preserve">(b) the name of the party </w:t>
      </w:r>
      <w:r w:rsidRPr="00006347">
        <w:rPr>
          <w:rFonts w:ascii="MS Mincho" w:eastAsia="MS Mincho" w:hAnsi="MS Mincho" w:cs="MS Mincho" w:hint="eastAsia"/>
          <w:i/>
          <w:color w:val="333333"/>
          <w:lang w:val="en-US"/>
        </w:rPr>
        <w:t>‑</w:t>
      </w:r>
    </w:p>
    <w:p w:rsidR="00B40FB5" w:rsidRPr="00006347" w:rsidRDefault="00B40FB5" w:rsidP="00B40FB5">
      <w:pPr>
        <w:pStyle w:val="JudgmentText"/>
        <w:numPr>
          <w:ilvl w:val="0"/>
          <w:numId w:val="0"/>
        </w:numPr>
        <w:ind w:left="2880"/>
        <w:rPr>
          <w:rFonts w:cs="Helvetica"/>
          <w:i/>
          <w:color w:val="333333"/>
          <w:lang w:val="en-US"/>
        </w:rPr>
      </w:pPr>
      <w:r w:rsidRPr="00006347">
        <w:rPr>
          <w:rFonts w:cs="Helvetica"/>
          <w:i/>
          <w:color w:val="333333"/>
          <w:lang w:val="en-US"/>
        </w:rPr>
        <w:t xml:space="preserve">(i) </w:t>
      </w:r>
      <w:r w:rsidRPr="00EE1A34">
        <w:rPr>
          <w:rFonts w:cs="Helvetica"/>
          <w:i/>
          <w:color w:val="333333"/>
          <w:u w:val="single"/>
          <w:lang w:val="en-US"/>
        </w:rPr>
        <w:t>is identical to the name of a registered political party</w:t>
      </w:r>
      <w:r w:rsidRPr="00006347">
        <w:rPr>
          <w:rFonts w:cs="Helvetica"/>
          <w:i/>
          <w:color w:val="333333"/>
          <w:lang w:val="en-US"/>
        </w:rPr>
        <w:t xml:space="preserve"> or a political party which has been cancelled under this Act or a political party whose application precedes the present application;</w:t>
      </w:r>
    </w:p>
    <w:p w:rsidR="00B40FB5" w:rsidRPr="00006347" w:rsidRDefault="00B40FB5" w:rsidP="00B40FB5">
      <w:pPr>
        <w:pStyle w:val="JudgmentText"/>
        <w:numPr>
          <w:ilvl w:val="0"/>
          <w:numId w:val="0"/>
        </w:numPr>
        <w:ind w:left="2880"/>
        <w:rPr>
          <w:rFonts w:cs="Helvetica"/>
          <w:i/>
          <w:color w:val="333333"/>
          <w:lang w:val="en-US"/>
        </w:rPr>
      </w:pPr>
      <w:r w:rsidRPr="00006347">
        <w:rPr>
          <w:rFonts w:cs="Helvetica"/>
          <w:i/>
          <w:color w:val="333333"/>
          <w:lang w:val="en-US"/>
        </w:rPr>
        <w:t xml:space="preserve">(ii) </w:t>
      </w:r>
      <w:r w:rsidRPr="00EE1A34">
        <w:rPr>
          <w:rFonts w:cs="Helvetica"/>
          <w:i/>
          <w:color w:val="333333"/>
          <w:u w:val="single"/>
          <w:lang w:val="en-US"/>
        </w:rPr>
        <w:t>so nearly resembles the name of a registered political party</w:t>
      </w:r>
      <w:r w:rsidRPr="00006347">
        <w:rPr>
          <w:rFonts w:cs="Helvetica"/>
          <w:i/>
          <w:color w:val="333333"/>
          <w:lang w:val="en-US"/>
        </w:rPr>
        <w:t xml:space="preserve"> or a political party which has been cancelled under this Act or a political party whose application precedes the present application as to be likely to deceive the members of the party or the public; or</w:t>
      </w:r>
    </w:p>
    <w:p w:rsidR="00B40FB5" w:rsidRPr="00006347" w:rsidRDefault="00B40FB5" w:rsidP="00B40FB5">
      <w:pPr>
        <w:pStyle w:val="JudgmentText"/>
        <w:numPr>
          <w:ilvl w:val="0"/>
          <w:numId w:val="0"/>
        </w:numPr>
        <w:ind w:left="2880"/>
        <w:rPr>
          <w:rFonts w:cs="Helvetica"/>
          <w:i/>
          <w:color w:val="333333"/>
          <w:lang w:val="en-US"/>
        </w:rPr>
      </w:pPr>
      <w:r w:rsidRPr="00006347">
        <w:rPr>
          <w:rFonts w:cs="Helvetica"/>
          <w:i/>
          <w:color w:val="333333"/>
          <w:lang w:val="en-US"/>
        </w:rPr>
        <w:t>(iii) is provocative or offends against public decency or contrary to any other written law as to be undesirable;</w:t>
      </w:r>
    </w:p>
    <w:p w:rsidR="00B40FB5" w:rsidRDefault="00B40FB5" w:rsidP="00B40FB5">
      <w:pPr>
        <w:pStyle w:val="JudgmentText"/>
        <w:numPr>
          <w:ilvl w:val="0"/>
          <w:numId w:val="0"/>
        </w:numPr>
        <w:ind w:left="1440" w:firstLine="720"/>
        <w:rPr>
          <w:rFonts w:cs="Helvetica"/>
          <w:i/>
          <w:color w:val="333333"/>
          <w:lang w:val="en-US"/>
        </w:rPr>
      </w:pPr>
      <w:r w:rsidRPr="00006347">
        <w:rPr>
          <w:rFonts w:cs="Helvetica"/>
          <w:i/>
          <w:color w:val="333333"/>
          <w:lang w:val="en-US"/>
        </w:rPr>
        <w:t>(c) any purpose or object of the party is unlawful.</w:t>
      </w:r>
      <w:r>
        <w:rPr>
          <w:rFonts w:cs="Helvetica"/>
          <w:i/>
          <w:color w:val="333333"/>
          <w:lang w:val="en-US"/>
        </w:rPr>
        <w:t>”</w:t>
      </w:r>
    </w:p>
    <w:p w:rsidR="00B40FB5" w:rsidRDefault="00B40FB5" w:rsidP="00B40FB5">
      <w:pPr>
        <w:pStyle w:val="JudgmentText"/>
        <w:rPr>
          <w:rFonts w:cs="Helvetica"/>
          <w:color w:val="333333"/>
          <w:lang w:val="en-US"/>
        </w:rPr>
      </w:pPr>
      <w:r>
        <w:rPr>
          <w:rFonts w:cs="Helvetica"/>
          <w:color w:val="333333"/>
          <w:lang w:val="en-US"/>
        </w:rPr>
        <w:t xml:space="preserve">I also restate, what I have stated earlier that in accordance with the rules of interpretation of statutes (See, Maxwell) and judicial exposition vide </w:t>
      </w:r>
      <w:r w:rsidRPr="003D5BCD">
        <w:rPr>
          <w:rFonts w:cs="Helvetica"/>
          <w:i/>
          <w:color w:val="333333"/>
          <w:lang w:val="en-US"/>
        </w:rPr>
        <w:t>Border R.D.C. v. Roberts</w:t>
      </w:r>
      <w:r>
        <w:rPr>
          <w:rFonts w:cs="Helvetica"/>
          <w:color w:val="333333"/>
          <w:lang w:val="en-US"/>
        </w:rPr>
        <w:t xml:space="preserve"> </w:t>
      </w:r>
      <w:r w:rsidRPr="003D5BCD">
        <w:rPr>
          <w:rFonts w:cs="Helvetica"/>
          <w:i/>
          <w:color w:val="333333"/>
          <w:lang w:val="en-US"/>
        </w:rPr>
        <w:t xml:space="preserve">[1950] 1 K.B, per Somervell L.J </w:t>
      </w:r>
      <w:r>
        <w:rPr>
          <w:rFonts w:cs="Helvetica"/>
          <w:color w:val="333333"/>
          <w:lang w:val="en-US"/>
        </w:rPr>
        <w:t xml:space="preserve">the word “may” used in Section 7 supra - to the least- has a compulsory force. </w:t>
      </w:r>
    </w:p>
    <w:p w:rsidR="00B40FB5" w:rsidRDefault="00B40FB5" w:rsidP="00B40FB5">
      <w:pPr>
        <w:pStyle w:val="JudgmentText"/>
        <w:rPr>
          <w:rFonts w:cs="Helvetica"/>
          <w:color w:val="333333"/>
          <w:lang w:val="en-US"/>
        </w:rPr>
      </w:pPr>
      <w:r>
        <w:rPr>
          <w:rFonts w:cs="Helvetica"/>
          <w:color w:val="333333"/>
          <w:lang w:val="en-US"/>
        </w:rPr>
        <w:t>It is interesting to note that the Election Commission was well-versed with this provision on 5th April 2016, in its letter to the Petitioner, when the Petitioner had sought to register a party under the name “Linyon 2015” stating that it resembled that of “Linyon Sanzman”. However, this very same provision was seemingly forgotten on the 11th August 2016, when the EC decided to allow the registration of “LSD” as a political party, when the Petitioner had already registered its political party under the name “LDS”. This selective application of the law in such a manner only strengthens my view that the decision of the Respondent was ill-conceived, and arbitrary.</w:t>
      </w:r>
    </w:p>
    <w:p w:rsidR="00B40FB5" w:rsidRPr="00A21F7E" w:rsidRDefault="00B40FB5" w:rsidP="00B40FB5">
      <w:pPr>
        <w:pStyle w:val="JudgmentText"/>
        <w:rPr>
          <w:rFonts w:cs="Helvetica"/>
          <w:color w:val="333333"/>
          <w:lang w:val="en-US"/>
        </w:rPr>
      </w:pPr>
      <w:r w:rsidRPr="00DC6276">
        <w:rPr>
          <w:rFonts w:cs="Helvetica"/>
          <w:color w:val="333333"/>
          <w:lang w:val="en-US"/>
        </w:rPr>
        <w:t>In the circumstances,</w:t>
      </w:r>
      <w:r w:rsidRPr="00A21F7E">
        <w:rPr>
          <w:rFonts w:cs="Helvetica"/>
          <w:color w:val="333333"/>
          <w:lang w:val="en-US"/>
        </w:rPr>
        <w:t xml:space="preserve"> I find and conclude that the impugned decision of the EC in this matter is grossly illegal, improper, irrational and unreasonable.</w:t>
      </w:r>
    </w:p>
    <w:p w:rsidR="00B40FB5" w:rsidRPr="00A21F7E" w:rsidRDefault="00B40FB5" w:rsidP="00B40FB5">
      <w:pPr>
        <w:pStyle w:val="JudgmentText"/>
        <w:numPr>
          <w:ilvl w:val="0"/>
          <w:numId w:val="0"/>
        </w:numPr>
        <w:ind w:left="720"/>
        <w:rPr>
          <w:rFonts w:cs="Helvetica"/>
          <w:color w:val="333333"/>
          <w:lang w:val="en-US"/>
        </w:rPr>
      </w:pPr>
      <w:r w:rsidRPr="00A21F7E">
        <w:rPr>
          <w:rFonts w:cs="Helvetica"/>
          <w:color w:val="333333"/>
          <w:lang w:val="en-US"/>
        </w:rPr>
        <w:t>Consequently, I make the following orders:</w:t>
      </w:r>
    </w:p>
    <w:p w:rsidR="00B40FB5" w:rsidRDefault="00B40FB5" w:rsidP="00B40FB5">
      <w:pPr>
        <w:pStyle w:val="JudgmentText"/>
        <w:numPr>
          <w:ilvl w:val="0"/>
          <w:numId w:val="8"/>
        </w:numPr>
      </w:pPr>
      <w:r>
        <w:t>I allow the petition and issue a writ of certiorari quashing the said impugned decision of the EC accordingly.</w:t>
      </w:r>
    </w:p>
    <w:p w:rsidR="00B40FB5" w:rsidRDefault="00B40FB5" w:rsidP="00B40FB5">
      <w:pPr>
        <w:pStyle w:val="JudgmentText"/>
        <w:numPr>
          <w:ilvl w:val="0"/>
          <w:numId w:val="8"/>
        </w:numPr>
      </w:pPr>
      <w:r>
        <w:t>I confirm and hereby make permanent, the ex parte interim injunction granted in this petition in respect of the relevant and operative part of the final orders made therein, to form mutatis mutandis, part of the orders made hereof in this judgment; and.</w:t>
      </w:r>
    </w:p>
    <w:p w:rsidR="00314C7A" w:rsidRDefault="00B40FB5" w:rsidP="00B40FB5">
      <w:pPr>
        <w:pStyle w:val="JudgmentText"/>
        <w:numPr>
          <w:ilvl w:val="0"/>
          <w:numId w:val="8"/>
        </w:numPr>
      </w:pPr>
      <w:r>
        <w:t>I make no orders as to costs</w:t>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18" w:name="Text19"/>
      <w:r w:rsidR="00C131E7">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C131E7">
        <w:rPr>
          <w:sz w:val="24"/>
          <w:szCs w:val="24"/>
        </w:rPr>
      </w:r>
      <w:r w:rsidR="00C131E7">
        <w:rPr>
          <w:sz w:val="24"/>
          <w:szCs w:val="24"/>
        </w:rPr>
        <w:fldChar w:fldCharType="separate"/>
      </w:r>
      <w:r w:rsidR="00B40FB5">
        <w:rPr>
          <w:sz w:val="24"/>
          <w:szCs w:val="24"/>
        </w:rPr>
        <w:t>25 August 2016</w:t>
      </w:r>
      <w:r w:rsidR="00C131E7">
        <w:rPr>
          <w:sz w:val="24"/>
          <w:szCs w:val="24"/>
        </w:rPr>
        <w:fldChar w:fldCharType="end"/>
      </w:r>
      <w:bookmarkEnd w:id="18"/>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pPr>
    </w:p>
    <w:p w:rsidR="00B40FB5" w:rsidRDefault="00B40FB5" w:rsidP="0006489F">
      <w:pPr>
        <w:pStyle w:val="ListParagraph"/>
        <w:widowControl/>
        <w:autoSpaceDE/>
        <w:autoSpaceDN/>
        <w:adjustRightInd/>
        <w:spacing w:after="120"/>
        <w:ind w:left="0"/>
        <w:contextualSpacing w:val="0"/>
        <w:jc w:val="both"/>
        <w:rPr>
          <w:sz w:val="24"/>
          <w:szCs w:val="24"/>
        </w:rPr>
        <w:sectPr w:rsidR="00B40FB5"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131E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ddList>
          </w:ffData>
        </w:fldChar>
      </w:r>
      <w:bookmarkStart w:id="19" w:name="Dropdown6"/>
      <w:r w:rsidR="00C3685F">
        <w:rPr>
          <w:sz w:val="24"/>
          <w:szCs w:val="24"/>
        </w:rPr>
        <w:instrText xml:space="preserve"> FORMDROPDOWN </w:instrText>
      </w:r>
      <w:r w:rsidR="00DF650A">
        <w:rPr>
          <w:sz w:val="24"/>
          <w:szCs w:val="24"/>
        </w:rPr>
      </w:r>
      <w:r w:rsidR="00DF650A">
        <w:rPr>
          <w:sz w:val="24"/>
          <w:szCs w:val="24"/>
        </w:rPr>
        <w:fldChar w:fldCharType="separate"/>
      </w:r>
      <w:r>
        <w:rPr>
          <w:sz w:val="24"/>
          <w:szCs w:val="24"/>
        </w:rPr>
        <w:fldChar w:fldCharType="end"/>
      </w:r>
      <w:bookmarkEnd w:id="19"/>
    </w:p>
    <w:bookmarkStart w:id="20" w:name="Dropdown7"/>
    <w:p w:rsidR="009E05E5" w:rsidRPr="00E33F35" w:rsidRDefault="00C131E7"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DF650A">
        <w:rPr>
          <w:b/>
          <w:sz w:val="24"/>
          <w:szCs w:val="24"/>
        </w:rPr>
      </w:r>
      <w:r w:rsidR="00DF650A">
        <w:rPr>
          <w:b/>
          <w:sz w:val="24"/>
          <w:szCs w:val="24"/>
        </w:rPr>
        <w:fldChar w:fldCharType="separate"/>
      </w:r>
      <w:r>
        <w:rPr>
          <w:b/>
          <w:sz w:val="24"/>
          <w:szCs w:val="24"/>
        </w:rPr>
        <w:fldChar w:fldCharType="end"/>
      </w:r>
      <w:bookmarkEnd w:id="20"/>
      <w:r w:rsidRPr="00E33F35">
        <w:rPr>
          <w:b/>
          <w:sz w:val="24"/>
          <w:szCs w:val="24"/>
        </w:rPr>
        <w:fldChar w:fldCharType="begin"/>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299" w:rsidRDefault="00AE6299" w:rsidP="00DB6D34">
      <w:r>
        <w:separator/>
      </w:r>
    </w:p>
  </w:endnote>
  <w:endnote w:type="continuationSeparator" w:id="0">
    <w:p w:rsidR="00AE6299" w:rsidRDefault="00AE6299"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131E7">
    <w:pPr>
      <w:pStyle w:val="Footer"/>
      <w:jc w:val="center"/>
    </w:pPr>
    <w:r>
      <w:fldChar w:fldCharType="begin"/>
    </w:r>
    <w:r w:rsidR="00C3685F">
      <w:instrText xml:space="preserve"> PAGE   \* MERGEFORMAT </w:instrText>
    </w:r>
    <w:r>
      <w:fldChar w:fldCharType="separate"/>
    </w:r>
    <w:r w:rsidR="00DF650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299" w:rsidRDefault="00AE6299" w:rsidP="00DB6D34">
      <w:r>
        <w:separator/>
      </w:r>
    </w:p>
  </w:footnote>
  <w:footnote w:type="continuationSeparator" w:id="0">
    <w:p w:rsidR="00AE6299" w:rsidRDefault="00AE6299"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8D13A4E"/>
    <w:multiLevelType w:val="hybridMultilevel"/>
    <w:tmpl w:val="56F0CF5A"/>
    <w:lvl w:ilvl="0" w:tplc="DD1AE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5819AF"/>
    <w:multiLevelType w:val="hybridMultilevel"/>
    <w:tmpl w:val="9B463FEC"/>
    <w:lvl w:ilvl="0" w:tplc="D736E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AE6299"/>
    <w:rsid w:val="00005BEF"/>
    <w:rsid w:val="0002151A"/>
    <w:rsid w:val="00030C81"/>
    <w:rsid w:val="0006489F"/>
    <w:rsid w:val="00075573"/>
    <w:rsid w:val="00091036"/>
    <w:rsid w:val="000A10B8"/>
    <w:rsid w:val="000D1DD3"/>
    <w:rsid w:val="000E39A5"/>
    <w:rsid w:val="000E51EA"/>
    <w:rsid w:val="000E5D08"/>
    <w:rsid w:val="000E7400"/>
    <w:rsid w:val="001008BC"/>
    <w:rsid w:val="00101D12"/>
    <w:rsid w:val="001040DB"/>
    <w:rsid w:val="00117CBF"/>
    <w:rsid w:val="00121267"/>
    <w:rsid w:val="00126A10"/>
    <w:rsid w:val="001376AB"/>
    <w:rsid w:val="00144612"/>
    <w:rsid w:val="0016510C"/>
    <w:rsid w:val="00180158"/>
    <w:rsid w:val="001B38E9"/>
    <w:rsid w:val="001D30F7"/>
    <w:rsid w:val="001E4ED8"/>
    <w:rsid w:val="0020244B"/>
    <w:rsid w:val="00231C17"/>
    <w:rsid w:val="00234AC1"/>
    <w:rsid w:val="00236AAC"/>
    <w:rsid w:val="0024353F"/>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647E7"/>
    <w:rsid w:val="00367D3C"/>
    <w:rsid w:val="0037270D"/>
    <w:rsid w:val="00377341"/>
    <w:rsid w:val="003838CC"/>
    <w:rsid w:val="003862CB"/>
    <w:rsid w:val="0038700C"/>
    <w:rsid w:val="0039596B"/>
    <w:rsid w:val="003B461C"/>
    <w:rsid w:val="003B4C19"/>
    <w:rsid w:val="003D58AA"/>
    <w:rsid w:val="003D7B97"/>
    <w:rsid w:val="003E2ABC"/>
    <w:rsid w:val="003F0F8D"/>
    <w:rsid w:val="004156B9"/>
    <w:rsid w:val="0043199B"/>
    <w:rsid w:val="00445BFA"/>
    <w:rsid w:val="00452BB6"/>
    <w:rsid w:val="0046133B"/>
    <w:rsid w:val="004B05AA"/>
    <w:rsid w:val="004C3D80"/>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3CED"/>
    <w:rsid w:val="00A80E4E"/>
    <w:rsid w:val="00AC3885"/>
    <w:rsid w:val="00AD7059"/>
    <w:rsid w:val="00AD75CD"/>
    <w:rsid w:val="00AE6299"/>
    <w:rsid w:val="00B05D6E"/>
    <w:rsid w:val="00B119B1"/>
    <w:rsid w:val="00B14612"/>
    <w:rsid w:val="00B23E73"/>
    <w:rsid w:val="00B40898"/>
    <w:rsid w:val="00B40FB5"/>
    <w:rsid w:val="00B4124C"/>
    <w:rsid w:val="00B4625E"/>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31E7"/>
    <w:rsid w:val="00C14327"/>
    <w:rsid w:val="00C22967"/>
    <w:rsid w:val="00C35333"/>
    <w:rsid w:val="00C3685F"/>
    <w:rsid w:val="00C55FDF"/>
    <w:rsid w:val="00C56CB6"/>
    <w:rsid w:val="00C5739F"/>
    <w:rsid w:val="00C66FBE"/>
    <w:rsid w:val="00C87FCA"/>
    <w:rsid w:val="00CA1B0C"/>
    <w:rsid w:val="00CA7795"/>
    <w:rsid w:val="00CA7F40"/>
    <w:rsid w:val="00CB3C7E"/>
    <w:rsid w:val="00CC0154"/>
    <w:rsid w:val="00CD5D07"/>
    <w:rsid w:val="00D03314"/>
    <w:rsid w:val="00D06A0F"/>
    <w:rsid w:val="00D5317D"/>
    <w:rsid w:val="00D82047"/>
    <w:rsid w:val="00DB6D34"/>
    <w:rsid w:val="00DD4E02"/>
    <w:rsid w:val="00DD639D"/>
    <w:rsid w:val="00DE08C1"/>
    <w:rsid w:val="00DF2970"/>
    <w:rsid w:val="00DF303A"/>
    <w:rsid w:val="00DF650A"/>
    <w:rsid w:val="00E0467F"/>
    <w:rsid w:val="00E0505F"/>
    <w:rsid w:val="00E068A5"/>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BB61C-2018-4569-8462-BDC52B77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paragraph" w:styleId="NormalWeb">
    <w:name w:val="Normal (Web)"/>
    <w:basedOn w:val="Normal"/>
    <w:rsid w:val="00B40FB5"/>
    <w:pPr>
      <w:widowControl/>
      <w:autoSpaceDE/>
      <w:autoSpaceDN/>
      <w:adjustRightInd/>
      <w:spacing w:before="100" w:beforeAutospacing="1" w:after="100" w:afterAutospacing="1"/>
    </w:pPr>
    <w:rPr>
      <w:rFonts w:eastAsia="Times New Roman"/>
      <w:sz w:val="24"/>
      <w:szCs w:val="24"/>
    </w:rPr>
  </w:style>
  <w:style w:type="character" w:customStyle="1" w:styleId="spelle">
    <w:name w:val="spelle"/>
    <w:rsid w:val="00B4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ec.gov.au/parties_and_representatives/party_registration/guide/proces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Judgment%20Templates\Civil%20Side%20-%20petitions%20(DC,MC,judicial%20review)%20-%20not%20MA%20-%20petitioner-respo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6383-B484-4A7E-8D5D-083571A5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petitions (DC,MC,judicial review) - not MA - petitioner-respondent</Template>
  <TotalTime>8</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a.houarea</dc:creator>
  <cp:lastModifiedBy>Interprter 5</cp:lastModifiedBy>
  <cp:revision>2</cp:revision>
  <cp:lastPrinted>2013-08-26T11:27:00Z</cp:lastPrinted>
  <dcterms:created xsi:type="dcterms:W3CDTF">2016-08-25T12:15:00Z</dcterms:created>
  <dcterms:modified xsi:type="dcterms:W3CDTF">2016-09-28T07:11:00Z</dcterms:modified>
</cp:coreProperties>
</file>