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M</w:t>
      </w:r>
      <w:r w:rsidR="00170D0E">
        <w:rPr>
          <w:b/>
          <w:sz w:val="28"/>
          <w:szCs w:val="28"/>
        </w:rPr>
        <w:t>C8/</w:t>
      </w:r>
      <w:r w:rsidR="00C87FCA" w:rsidRPr="00B75AE2">
        <w:rPr>
          <w:b/>
          <w:sz w:val="28"/>
          <w:szCs w:val="28"/>
        </w:rPr>
        <w:t>20</w:t>
      </w:r>
      <w:r w:rsidR="00170D0E">
        <w:rPr>
          <w:b/>
          <w:sz w:val="28"/>
          <w:szCs w:val="28"/>
        </w:rPr>
        <w:t>16</w:t>
      </w:r>
    </w:p>
    <w:p w:rsidR="00A53837" w:rsidRPr="00606EEA" w:rsidRDefault="00D069EE"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E3237">
      <w:pPr>
        <w:spacing w:before="240" w:after="160"/>
        <w:ind w:left="6480"/>
        <w:rPr>
          <w:b/>
          <w:sz w:val="24"/>
          <w:szCs w:val="24"/>
        </w:rPr>
      </w:pPr>
      <w:r w:rsidRPr="00606EEA">
        <w:rPr>
          <w:b/>
          <w:sz w:val="24"/>
          <w:szCs w:val="24"/>
        </w:rPr>
        <w:t>[201</w:t>
      </w:r>
      <w:r w:rsidR="00333723">
        <w:rPr>
          <w:b/>
          <w:sz w:val="24"/>
          <w:szCs w:val="24"/>
        </w:rPr>
        <w:t>6</w:t>
      </w:r>
      <w:r w:rsidR="00D069EE">
        <w:rPr>
          <w:b/>
          <w:sz w:val="24"/>
          <w:szCs w:val="24"/>
        </w:rPr>
        <w:fldChar w:fldCharType="begin"/>
      </w:r>
      <w:r w:rsidR="00D069EE">
        <w:rPr>
          <w:b/>
          <w:sz w:val="24"/>
          <w:szCs w:val="24"/>
        </w:rPr>
        <w:fldChar w:fldCharType="end"/>
      </w:r>
      <w:r w:rsidRPr="00606EEA">
        <w:rPr>
          <w:b/>
          <w:sz w:val="24"/>
          <w:szCs w:val="24"/>
        </w:rPr>
        <w:t>] SCSC</w:t>
      </w:r>
      <w:r w:rsidR="00BE3413">
        <w:rPr>
          <w:b/>
          <w:sz w:val="24"/>
          <w:szCs w:val="24"/>
        </w:rPr>
        <w:t xml:space="preserve"> 88</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0" w:name="Text20"/>
    <w:p w:rsidR="00FB2453" w:rsidRPr="00B119B1" w:rsidRDefault="00D069EE"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0"/>
    </w:p>
    <w:p w:rsidR="00333723" w:rsidRPr="00952BFE" w:rsidRDefault="00952BFE" w:rsidP="00952BFE">
      <w:pPr>
        <w:spacing w:after="240"/>
        <w:ind w:left="720" w:firstLine="720"/>
        <w:jc w:val="center"/>
        <w:rPr>
          <w:b/>
          <w:sz w:val="24"/>
          <w:szCs w:val="24"/>
        </w:rPr>
      </w:pPr>
      <w:bookmarkStart w:id="1" w:name="Dropdown13"/>
      <w:r w:rsidRPr="00952BFE">
        <w:rPr>
          <w:b/>
          <w:sz w:val="24"/>
          <w:szCs w:val="24"/>
        </w:rPr>
        <w:t xml:space="preserve">WAVEL JOHN CHARLES RAMKALAWAN </w:t>
      </w:r>
      <w:r w:rsidR="00170D0E" w:rsidRPr="00952BFE">
        <w:rPr>
          <w:b/>
          <w:sz w:val="24"/>
          <w:szCs w:val="24"/>
        </w:rPr>
        <w:tab/>
      </w:r>
      <w:r w:rsidR="00170D0E" w:rsidRPr="00952BFE">
        <w:rPr>
          <w:b/>
          <w:sz w:val="24"/>
          <w:szCs w:val="24"/>
        </w:rPr>
        <w:tab/>
      </w:r>
    </w:p>
    <w:p w:rsidR="00B40898" w:rsidRDefault="00D069EE"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2" w:name="Text22"/>
    <w:p w:rsidR="00B119B1" w:rsidRDefault="00D069EE"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333723" w:rsidRPr="00952BFE" w:rsidRDefault="00952BFE" w:rsidP="00333723">
      <w:pPr>
        <w:spacing w:after="240"/>
        <w:ind w:left="720" w:firstLine="720"/>
        <w:jc w:val="center"/>
        <w:rPr>
          <w:b/>
          <w:sz w:val="24"/>
          <w:szCs w:val="24"/>
        </w:rPr>
      </w:pPr>
      <w:bookmarkStart w:id="3" w:name="Dropdown14"/>
      <w:r w:rsidRPr="00952BFE">
        <w:rPr>
          <w:b/>
          <w:sz w:val="24"/>
          <w:szCs w:val="24"/>
        </w:rPr>
        <w:t>THE AGENCY OF SOCIAL PROTECTION</w:t>
      </w:r>
      <w:r w:rsidR="00170D0E" w:rsidRPr="00952BFE">
        <w:rPr>
          <w:b/>
          <w:sz w:val="24"/>
          <w:szCs w:val="24"/>
        </w:rPr>
        <w:tab/>
      </w:r>
      <w:r w:rsidR="00170D0E" w:rsidRPr="00952BFE">
        <w:rPr>
          <w:b/>
          <w:sz w:val="24"/>
          <w:szCs w:val="24"/>
        </w:rPr>
        <w:tab/>
      </w:r>
    </w:p>
    <w:p w:rsidR="00B40898" w:rsidRDefault="00D069EE"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170D0E">
        <w:rPr>
          <w:sz w:val="24"/>
          <w:szCs w:val="24"/>
        </w:rPr>
        <w:tab/>
        <w:t>9</w:t>
      </w:r>
      <w:r w:rsidR="00170D0E" w:rsidRPr="00170D0E">
        <w:rPr>
          <w:sz w:val="24"/>
          <w:szCs w:val="24"/>
          <w:vertAlign w:val="superscript"/>
        </w:rPr>
        <w:t>th</w:t>
      </w:r>
      <w:r w:rsidR="00170D0E">
        <w:rPr>
          <w:sz w:val="24"/>
          <w:szCs w:val="24"/>
        </w:rPr>
        <w:t xml:space="preserve"> February 2016</w:t>
      </w:r>
      <w:r w:rsidRPr="00E0467F">
        <w:rPr>
          <w:sz w:val="24"/>
          <w:szCs w:val="24"/>
        </w:rPr>
        <w:tab/>
      </w:r>
      <w:r w:rsidRPr="00E0467F">
        <w:rPr>
          <w:sz w:val="24"/>
          <w:szCs w:val="24"/>
        </w:rPr>
        <w:tab/>
      </w:r>
      <w:bookmarkStart w:id="4" w:name="Text34"/>
      <w:r w:rsidR="00D069EE">
        <w:rPr>
          <w:sz w:val="24"/>
          <w:szCs w:val="24"/>
        </w:rPr>
        <w:fldChar w:fldCharType="begin">
          <w:ffData>
            <w:name w:val="Text34"/>
            <w:enabled/>
            <w:calcOnExit w:val="0"/>
            <w:textInput/>
          </w:ffData>
        </w:fldChar>
      </w:r>
      <w:r w:rsidR="002A7376">
        <w:rPr>
          <w:sz w:val="24"/>
          <w:szCs w:val="24"/>
        </w:rPr>
        <w:instrText xml:space="preserve"> FORMTEXT </w:instrText>
      </w:r>
      <w:r w:rsidR="00D069EE">
        <w:rPr>
          <w:sz w:val="24"/>
          <w:szCs w:val="24"/>
        </w:rPr>
      </w:r>
      <w:r w:rsidR="00D069EE">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D069EE">
        <w:rPr>
          <w:sz w:val="24"/>
          <w:szCs w:val="24"/>
        </w:rPr>
        <w:fldChar w:fldCharType="end"/>
      </w:r>
      <w:bookmarkEnd w:id="4"/>
      <w:r w:rsidR="00D069EE">
        <w:rPr>
          <w:sz w:val="24"/>
          <w:szCs w:val="24"/>
        </w:rPr>
        <w:fldChar w:fldCharType="begin"/>
      </w:r>
      <w:r w:rsidR="00D069EE">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170D0E">
        <w:rPr>
          <w:sz w:val="24"/>
          <w:szCs w:val="24"/>
        </w:rPr>
        <w:t xml:space="preserve">Bernard Georges and Annette Georges </w:t>
      </w:r>
      <w:r w:rsidR="00D069EE">
        <w:rPr>
          <w:sz w:val="24"/>
          <w:szCs w:val="24"/>
        </w:rPr>
        <w:fldChar w:fldCharType="begin"/>
      </w:r>
      <w:r w:rsidR="00F804CC">
        <w:rPr>
          <w:sz w:val="24"/>
          <w:szCs w:val="24"/>
        </w:rPr>
        <w:instrText xml:space="preserve"> ASK  "Enter Appellant Lawyer full name"  \* MERGEFORMAT </w:instrText>
      </w:r>
      <w:r w:rsidR="00D069EE">
        <w:rPr>
          <w:sz w:val="24"/>
          <w:szCs w:val="24"/>
        </w:rPr>
        <w:fldChar w:fldCharType="end"/>
      </w:r>
      <w:r w:rsidR="00D069EE">
        <w:rPr>
          <w:sz w:val="24"/>
          <w:szCs w:val="24"/>
        </w:rPr>
        <w:fldChar w:fldCharType="begin"/>
      </w:r>
      <w:r w:rsidR="00D069EE">
        <w:rPr>
          <w:sz w:val="24"/>
          <w:szCs w:val="24"/>
        </w:rPr>
        <w:fldChar w:fldCharType="end"/>
      </w:r>
      <w:r w:rsidR="009E05E5">
        <w:rPr>
          <w:sz w:val="24"/>
          <w:szCs w:val="24"/>
        </w:rPr>
        <w:t xml:space="preserve">for </w:t>
      </w:r>
      <w:bookmarkStart w:id="5" w:name="Dropdown11"/>
      <w:r w:rsidR="00D069EE">
        <w:rPr>
          <w:sz w:val="24"/>
          <w:szCs w:val="24"/>
        </w:rPr>
        <w:fldChar w:fldCharType="begin">
          <w:ffData>
            <w:name w:val="Dropdown11"/>
            <w:enabled/>
            <w:calcOnExit w:val="0"/>
            <w:ddList>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D069EE">
        <w:rPr>
          <w:sz w:val="24"/>
          <w:szCs w:val="24"/>
        </w:rPr>
      </w:r>
      <w:r w:rsidR="00D069EE">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069EE">
        <w:rPr>
          <w:sz w:val="24"/>
          <w:szCs w:val="24"/>
        </w:rPr>
        <w:fldChar w:fldCharType="begin">
          <w:ffData>
            <w:name w:val="Text36"/>
            <w:enabled/>
            <w:calcOnExit w:val="0"/>
            <w:textInput/>
          </w:ffData>
        </w:fldChar>
      </w:r>
      <w:bookmarkStart w:id="6" w:name="Text36"/>
      <w:r>
        <w:rPr>
          <w:sz w:val="24"/>
          <w:szCs w:val="24"/>
        </w:rPr>
        <w:instrText xml:space="preserve"> FORMTEXT </w:instrText>
      </w:r>
      <w:r w:rsidR="00D069EE">
        <w:rPr>
          <w:sz w:val="24"/>
          <w:szCs w:val="24"/>
        </w:rPr>
      </w:r>
      <w:r w:rsidR="00D069E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69EE">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170D0E">
        <w:rPr>
          <w:sz w:val="24"/>
          <w:szCs w:val="24"/>
        </w:rPr>
        <w:t>The Attorney General</w:t>
      </w:r>
      <w:r w:rsidR="00952BFE">
        <w:rPr>
          <w:sz w:val="24"/>
          <w:szCs w:val="24"/>
        </w:rPr>
        <w:t xml:space="preserve"> </w:t>
      </w:r>
      <w:r w:rsidR="00D069EE">
        <w:rPr>
          <w:sz w:val="24"/>
          <w:szCs w:val="24"/>
        </w:rPr>
        <w:fldChar w:fldCharType="begin"/>
      </w:r>
      <w:r w:rsidR="00F804CC">
        <w:rPr>
          <w:sz w:val="24"/>
          <w:szCs w:val="24"/>
        </w:rPr>
        <w:instrText xml:space="preserve"> ASK  "Enter Respondent Lawyer Full Name"  \* MERGEFORMAT </w:instrText>
      </w:r>
      <w:r w:rsidR="00D069EE">
        <w:rPr>
          <w:sz w:val="24"/>
          <w:szCs w:val="24"/>
        </w:rPr>
        <w:fldChar w:fldCharType="end"/>
      </w:r>
      <w:r w:rsidR="00D069EE">
        <w:rPr>
          <w:sz w:val="24"/>
          <w:szCs w:val="24"/>
        </w:rPr>
        <w:fldChar w:fldCharType="begin"/>
      </w:r>
      <w:r w:rsidR="00D069EE">
        <w:rPr>
          <w:sz w:val="24"/>
          <w:szCs w:val="24"/>
        </w:rPr>
        <w:fldChar w:fldCharType="end"/>
      </w:r>
      <w:r>
        <w:rPr>
          <w:sz w:val="24"/>
          <w:szCs w:val="24"/>
        </w:rPr>
        <w:t xml:space="preserve">for </w:t>
      </w:r>
      <w:bookmarkStart w:id="7" w:name="Dropdown12"/>
      <w:r w:rsidR="00D069EE">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D069EE">
        <w:rPr>
          <w:sz w:val="24"/>
          <w:szCs w:val="24"/>
        </w:rPr>
      </w:r>
      <w:r w:rsidR="00D069EE">
        <w:rPr>
          <w:sz w:val="24"/>
          <w:szCs w:val="24"/>
        </w:rPr>
        <w:fldChar w:fldCharType="end"/>
      </w:r>
      <w:bookmarkEnd w:id="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069EE">
        <w:rPr>
          <w:sz w:val="24"/>
          <w:szCs w:val="24"/>
        </w:rPr>
        <w:fldChar w:fldCharType="begin">
          <w:ffData>
            <w:name w:val="Text37"/>
            <w:enabled/>
            <w:calcOnExit w:val="0"/>
            <w:textInput/>
          </w:ffData>
        </w:fldChar>
      </w:r>
      <w:bookmarkStart w:id="8" w:name="Text37"/>
      <w:r>
        <w:rPr>
          <w:sz w:val="24"/>
          <w:szCs w:val="24"/>
        </w:rPr>
        <w:instrText xml:space="preserve"> FORMTEXT </w:instrText>
      </w:r>
      <w:r w:rsidR="00D069EE">
        <w:rPr>
          <w:sz w:val="24"/>
          <w:szCs w:val="24"/>
        </w:rPr>
      </w:r>
      <w:r w:rsidR="00D069E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069EE">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170D0E">
        <w:rPr>
          <w:sz w:val="24"/>
          <w:szCs w:val="24"/>
        </w:rPr>
        <w:t>15</w:t>
      </w:r>
      <w:r w:rsidR="00170D0E" w:rsidRPr="00170D0E">
        <w:rPr>
          <w:sz w:val="24"/>
          <w:szCs w:val="24"/>
          <w:vertAlign w:val="superscript"/>
        </w:rPr>
        <w:t>th</w:t>
      </w:r>
      <w:r w:rsidR="00170D0E">
        <w:rPr>
          <w:sz w:val="24"/>
          <w:szCs w:val="24"/>
        </w:rPr>
        <w:t xml:space="preserve"> February 2016</w:t>
      </w:r>
      <w:r w:rsidR="00E0467F">
        <w:rPr>
          <w:sz w:val="24"/>
          <w:szCs w:val="24"/>
        </w:rPr>
        <w:tab/>
      </w:r>
      <w:bookmarkStart w:id="9" w:name="Text26"/>
      <w:r w:rsidR="00D069E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069EE">
        <w:rPr>
          <w:sz w:val="24"/>
          <w:szCs w:val="24"/>
        </w:rPr>
      </w:r>
      <w:r w:rsidR="00D069EE">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D069EE">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Start w:id="11" w:name="Dropdown8"/>
    <w:bookmarkEnd w:id="10"/>
    <w:p w:rsidR="00C87FCA" w:rsidRDefault="00D069EE"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1"/>
      <w:r w:rsidR="006A2C88">
        <w:rPr>
          <w:b/>
          <w:sz w:val="24"/>
          <w:szCs w:val="24"/>
        </w:rPr>
        <w:t xml:space="preserve"> ON </w:t>
      </w:r>
      <w:bookmarkStart w:id="12"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C0AD9"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E3E4F" w:rsidRDefault="00170D0E" w:rsidP="00365043">
      <w:pPr>
        <w:pStyle w:val="JudgmentText"/>
      </w:pPr>
      <w:r>
        <w:lastRenderedPageBreak/>
        <w:t xml:space="preserve">This is an application for an order of discovery under </w:t>
      </w:r>
      <w:r w:rsidRPr="00B347D4">
        <w:t xml:space="preserve">Norwich </w:t>
      </w:r>
      <w:proofErr w:type="spellStart"/>
      <w:r w:rsidRPr="00B347D4">
        <w:t>Pharmacal</w:t>
      </w:r>
      <w:proofErr w:type="spellEnd"/>
      <w:r>
        <w:t xml:space="preserve"> principles as provided for in </w:t>
      </w:r>
      <w:r w:rsidR="00365043" w:rsidRPr="00365043">
        <w:t>Rule 31.16 of the C</w:t>
      </w:r>
      <w:r w:rsidR="00365043">
        <w:t xml:space="preserve">ivil </w:t>
      </w:r>
      <w:r w:rsidR="00365043" w:rsidRPr="00365043">
        <w:t>P</w:t>
      </w:r>
      <w:r w:rsidR="00365043">
        <w:t>rocedure</w:t>
      </w:r>
      <w:r>
        <w:t xml:space="preserve"> Rules of the Supreme Court </w:t>
      </w:r>
      <w:r w:rsidR="00FA604B">
        <w:t xml:space="preserve">of </w:t>
      </w:r>
      <w:r>
        <w:t>England</w:t>
      </w:r>
      <w:r w:rsidR="00FA604B">
        <w:t xml:space="preserve"> (</w:t>
      </w:r>
      <w:r>
        <w:t>White Book</w:t>
      </w:r>
      <w:r w:rsidR="001E3E4F">
        <w:t>).</w:t>
      </w:r>
    </w:p>
    <w:p w:rsidR="001E3E4F" w:rsidRDefault="00365043" w:rsidP="00365043">
      <w:pPr>
        <w:pStyle w:val="JudgmentText"/>
      </w:pPr>
      <w:r>
        <w:lastRenderedPageBreak/>
        <w:t>It is not disputed that the Supreme Court of Seychelles has jurisdiction to make such an Order</w:t>
      </w:r>
      <w:r w:rsidR="001E3E4F">
        <w:t xml:space="preserve">. This is </w:t>
      </w:r>
      <w:r>
        <w:t>by virtue of the fact that since the Seychelles Code of Civil Procedure does not provide for such an Order</w:t>
      </w:r>
      <w:r w:rsidR="001E3E4F">
        <w:t>,</w:t>
      </w:r>
      <w:r>
        <w:t xml:space="preserve"> the Supreme Court </w:t>
      </w:r>
      <w:r w:rsidR="001E3E4F">
        <w:t>being</w:t>
      </w:r>
      <w:r>
        <w:t xml:space="preserve"> vested with all the</w:t>
      </w:r>
      <w:r w:rsidR="001E3E4F">
        <w:t xml:space="preserve"> powers, privileges, authority and jurisdiction capable of being exercised by the High Court of </w:t>
      </w:r>
      <w:proofErr w:type="spellStart"/>
      <w:r w:rsidR="001E3E4F">
        <w:t>Justicemay</w:t>
      </w:r>
      <w:proofErr w:type="spellEnd"/>
      <w:r w:rsidR="001E3E4F">
        <w:t xml:space="preserve"> exercise its equitable jurisdiction </w:t>
      </w:r>
      <w:r>
        <w:t>to g</w:t>
      </w:r>
      <w:r w:rsidR="001E3E4F">
        <w:t>r</w:t>
      </w:r>
      <w:r>
        <w:t xml:space="preserve">ant </w:t>
      </w:r>
      <w:r w:rsidR="001E3E4F">
        <w:t>such relief (See sections 5</w:t>
      </w:r>
      <w:r w:rsidR="00FA604B">
        <w:t>, 6</w:t>
      </w:r>
      <w:r w:rsidR="001E3E4F">
        <w:t xml:space="preserve"> and 17 of the Courts Act).</w:t>
      </w:r>
    </w:p>
    <w:p w:rsidR="00FA604B" w:rsidRDefault="00FA604B" w:rsidP="00365043">
      <w:pPr>
        <w:pStyle w:val="JudgmentText"/>
      </w:pPr>
      <w:r>
        <w:t xml:space="preserve">The </w:t>
      </w:r>
      <w:r w:rsidR="00B5112F">
        <w:t>applicant</w:t>
      </w:r>
      <w:r>
        <w:t xml:space="preserve"> is the petitioner in an election petition filed before the Constitutional Court.</w:t>
      </w:r>
    </w:p>
    <w:p w:rsidR="00FA604B" w:rsidRDefault="00FA604B" w:rsidP="00FC63E2">
      <w:pPr>
        <w:pStyle w:val="JudgmentText"/>
      </w:pPr>
      <w:r>
        <w:t xml:space="preserve">The </w:t>
      </w:r>
      <w:r w:rsidR="00B5112F">
        <w:t>respondent</w:t>
      </w:r>
      <w:r>
        <w:t xml:space="preserve"> is </w:t>
      </w:r>
      <w:r w:rsidR="000A3753">
        <w:t xml:space="preserve">not described </w:t>
      </w:r>
      <w:r w:rsidR="001F332C">
        <w:t xml:space="preserve">in the application or </w:t>
      </w:r>
      <w:proofErr w:type="spellStart"/>
      <w:r w:rsidR="00B5112F">
        <w:t>affidavit</w:t>
      </w:r>
      <w:r w:rsidR="000A3753">
        <w:t>but</w:t>
      </w:r>
      <w:proofErr w:type="spellEnd"/>
      <w:r w:rsidR="000A3753">
        <w:t xml:space="preserve"> this court takes judicial notice of its functions as contained in the </w:t>
      </w:r>
      <w:r w:rsidR="000A3753" w:rsidRPr="000A3753">
        <w:t>A</w:t>
      </w:r>
      <w:r w:rsidR="000A3753">
        <w:t>gency for Social Protection Act</w:t>
      </w:r>
      <w:r w:rsidR="00477905">
        <w:t xml:space="preserve"> 2012, namely that </w:t>
      </w:r>
      <w:proofErr w:type="spellStart"/>
      <w:r w:rsidR="00477905">
        <w:t>itadministers</w:t>
      </w:r>
      <w:proofErr w:type="spellEnd"/>
      <w:r w:rsidR="00477905">
        <w:t xml:space="preserve"> social assistance and payments of benefits in accordance with the Social Security Act, 2010.</w:t>
      </w:r>
    </w:p>
    <w:p w:rsidR="00477905" w:rsidRDefault="00477905" w:rsidP="00FC63E2">
      <w:pPr>
        <w:pStyle w:val="JudgmentText"/>
      </w:pPr>
      <w:r>
        <w:t xml:space="preserve">The </w:t>
      </w:r>
      <w:r w:rsidR="00B5112F">
        <w:t>applicant</w:t>
      </w:r>
      <w:r>
        <w:t xml:space="preserve"> has averred in this application that by letter dated 28</w:t>
      </w:r>
      <w:r w:rsidRPr="00477905">
        <w:rPr>
          <w:vertAlign w:val="superscript"/>
        </w:rPr>
        <w:t>th</w:t>
      </w:r>
      <w:r>
        <w:t xml:space="preserve"> December 2015 his attorneys acting on his instructions wrote to the </w:t>
      </w:r>
      <w:r w:rsidR="00B5112F">
        <w:t>respondent</w:t>
      </w:r>
      <w:r>
        <w:t xml:space="preserve"> seeking information in its possession and that it had received a response to the letter.</w:t>
      </w:r>
      <w:r w:rsidR="00B270CA">
        <w:t xml:space="preserve"> As will become evident in the course of this ruling, such letter was not sent to the </w:t>
      </w:r>
      <w:r w:rsidR="00B5112F">
        <w:t>respondent</w:t>
      </w:r>
      <w:r w:rsidR="00B270CA">
        <w:t xml:space="preserve">. </w:t>
      </w:r>
    </w:p>
    <w:p w:rsidR="00477905" w:rsidRDefault="00477905" w:rsidP="00FC63E2">
      <w:pPr>
        <w:pStyle w:val="JudgmentText"/>
      </w:pPr>
      <w:r>
        <w:t xml:space="preserve">The information sought by the </w:t>
      </w:r>
      <w:r w:rsidR="00B5112F">
        <w:t>applicant</w:t>
      </w:r>
      <w:r>
        <w:t xml:space="preserve"> is contained in the Notice of Motion for this Application namely:</w:t>
      </w:r>
    </w:p>
    <w:p w:rsidR="00B270CA" w:rsidRDefault="00477905" w:rsidP="00477905">
      <w:pPr>
        <w:pStyle w:val="JudgmentText"/>
        <w:numPr>
          <w:ilvl w:val="0"/>
          <w:numId w:val="0"/>
        </w:numPr>
        <w:ind w:left="1440"/>
      </w:pPr>
      <w:r>
        <w:t>“The number of payments per day and the total daily value of these payments made to recipients in the period of 1 to 17 December 2015, both dates inclusive, the categories of these payments; and the same information for the same period in 2014.</w:t>
      </w:r>
      <w:r w:rsidR="00B270CA">
        <w:t>”</w:t>
      </w:r>
    </w:p>
    <w:p w:rsidR="00B270CA" w:rsidRDefault="00B270CA" w:rsidP="00FA604B">
      <w:pPr>
        <w:pStyle w:val="JudgmentText"/>
        <w:rPr>
          <w:color w:val="333335"/>
          <w:lang w:val="en-US"/>
        </w:rPr>
      </w:pPr>
      <w:r>
        <w:rPr>
          <w:color w:val="333335"/>
          <w:lang w:val="en-US"/>
        </w:rPr>
        <w:t xml:space="preserve">The other averments contained in the </w:t>
      </w:r>
      <w:r w:rsidR="00B5112F">
        <w:rPr>
          <w:color w:val="333335"/>
          <w:lang w:val="en-US"/>
        </w:rPr>
        <w:t>affidavit</w:t>
      </w:r>
      <w:r>
        <w:rPr>
          <w:color w:val="333335"/>
          <w:lang w:val="en-US"/>
        </w:rPr>
        <w:t xml:space="preserve"> of the </w:t>
      </w:r>
      <w:r w:rsidR="00B5112F">
        <w:rPr>
          <w:color w:val="333335"/>
          <w:lang w:val="en-US"/>
        </w:rPr>
        <w:t>applicant</w:t>
      </w:r>
      <w:r>
        <w:rPr>
          <w:color w:val="333335"/>
          <w:lang w:val="en-US"/>
        </w:rPr>
        <w:t xml:space="preserve"> are to the effect that the </w:t>
      </w:r>
      <w:r w:rsidR="00B5112F">
        <w:rPr>
          <w:color w:val="333335"/>
          <w:lang w:val="en-US"/>
        </w:rPr>
        <w:t>respondent</w:t>
      </w:r>
      <w:r>
        <w:rPr>
          <w:color w:val="333335"/>
          <w:lang w:val="en-US"/>
        </w:rPr>
        <w:t xml:space="preserve"> may well be an innocent party to the payment of monies to recipients, acting on orders of the government.</w:t>
      </w:r>
    </w:p>
    <w:p w:rsidR="00B270CA" w:rsidRDefault="00B270CA" w:rsidP="00FA604B">
      <w:pPr>
        <w:pStyle w:val="JudgmentText"/>
        <w:rPr>
          <w:color w:val="333335"/>
          <w:lang w:val="en-US"/>
        </w:rPr>
      </w:pPr>
      <w:r>
        <w:rPr>
          <w:color w:val="333335"/>
          <w:lang w:val="en-US"/>
        </w:rPr>
        <w:t xml:space="preserve">The Chief Executive Officer of the </w:t>
      </w:r>
      <w:r w:rsidR="00B5112F">
        <w:rPr>
          <w:color w:val="333335"/>
          <w:lang w:val="en-US"/>
        </w:rPr>
        <w:t>respondent</w:t>
      </w:r>
      <w:r>
        <w:rPr>
          <w:color w:val="333335"/>
          <w:lang w:val="en-US"/>
        </w:rPr>
        <w:t xml:space="preserve"> agency, one Marcus Simeon</w:t>
      </w:r>
      <w:r w:rsidR="001F332C">
        <w:rPr>
          <w:color w:val="333335"/>
          <w:lang w:val="en-US"/>
        </w:rPr>
        <w:t>,</w:t>
      </w:r>
      <w:r>
        <w:rPr>
          <w:color w:val="333335"/>
          <w:lang w:val="en-US"/>
        </w:rPr>
        <w:t xml:space="preserve"> has sworn a </w:t>
      </w:r>
      <w:r w:rsidR="00B5112F">
        <w:rPr>
          <w:color w:val="333335"/>
          <w:lang w:val="en-US"/>
        </w:rPr>
        <w:t>c</w:t>
      </w:r>
      <w:r>
        <w:rPr>
          <w:color w:val="333335"/>
          <w:lang w:val="en-US"/>
        </w:rPr>
        <w:t xml:space="preserve">ounter </w:t>
      </w:r>
      <w:r w:rsidR="00B5112F">
        <w:rPr>
          <w:color w:val="333335"/>
          <w:lang w:val="en-US"/>
        </w:rPr>
        <w:t>affidavit</w:t>
      </w:r>
      <w:r>
        <w:rPr>
          <w:color w:val="333335"/>
          <w:lang w:val="en-US"/>
        </w:rPr>
        <w:t xml:space="preserve"> in which he avers that the action as filed is not maintainable in law as it </w:t>
      </w:r>
      <w:r>
        <w:rPr>
          <w:color w:val="333335"/>
          <w:lang w:val="en-US"/>
        </w:rPr>
        <w:lastRenderedPageBreak/>
        <w:t xml:space="preserve">was not made in connection with any main case as is required by section 84 of the Seychelles Code of Civil Procedure. </w:t>
      </w:r>
    </w:p>
    <w:p w:rsidR="00B270CA" w:rsidRDefault="00B270CA" w:rsidP="00FA604B">
      <w:pPr>
        <w:pStyle w:val="JudgmentText"/>
        <w:rPr>
          <w:color w:val="333335"/>
          <w:lang w:val="en-US"/>
        </w:rPr>
      </w:pPr>
      <w:r>
        <w:rPr>
          <w:color w:val="333335"/>
          <w:lang w:val="en-US"/>
        </w:rPr>
        <w:t xml:space="preserve">He further avers that on the advice of his legal advisers the </w:t>
      </w:r>
      <w:r w:rsidR="00B5112F">
        <w:rPr>
          <w:color w:val="333335"/>
          <w:lang w:val="en-US"/>
        </w:rPr>
        <w:t>applicant</w:t>
      </w:r>
      <w:r w:rsidR="002A7C2F">
        <w:rPr>
          <w:color w:val="333335"/>
          <w:lang w:val="en-US"/>
        </w:rPr>
        <w:t xml:space="preserve">’s pleadings amount to seeking judicial relief in the nature of a writ mandamus and is therefore incorrectly brought. </w:t>
      </w:r>
    </w:p>
    <w:p w:rsidR="00B347D4" w:rsidRDefault="002A7C2F" w:rsidP="00FA604B">
      <w:pPr>
        <w:pStyle w:val="JudgmentText"/>
        <w:rPr>
          <w:color w:val="333335"/>
          <w:lang w:val="en-US"/>
        </w:rPr>
      </w:pPr>
      <w:r>
        <w:rPr>
          <w:color w:val="333335"/>
          <w:lang w:val="en-US"/>
        </w:rPr>
        <w:t xml:space="preserve">He also avers that a Norwich </w:t>
      </w:r>
      <w:proofErr w:type="spellStart"/>
      <w:r>
        <w:rPr>
          <w:color w:val="333335"/>
          <w:lang w:val="en-US"/>
        </w:rPr>
        <w:t>Pharmacal</w:t>
      </w:r>
      <w:proofErr w:type="spellEnd"/>
      <w:r>
        <w:rPr>
          <w:color w:val="333335"/>
          <w:lang w:val="en-US"/>
        </w:rPr>
        <w:t xml:space="preserve"> Order </w:t>
      </w:r>
      <w:r w:rsidR="00B347D4">
        <w:rPr>
          <w:color w:val="333335"/>
          <w:lang w:val="en-US"/>
        </w:rPr>
        <w:t xml:space="preserve">normally issues where the disclosure sought is from an innocent third party and who has nothing to do with the principal suit whereas in the present suit the </w:t>
      </w:r>
      <w:r w:rsidR="00B5112F">
        <w:rPr>
          <w:color w:val="333335"/>
          <w:lang w:val="en-US"/>
        </w:rPr>
        <w:t>respondent</w:t>
      </w:r>
      <w:r w:rsidR="00B347D4">
        <w:rPr>
          <w:color w:val="333335"/>
          <w:lang w:val="en-US"/>
        </w:rPr>
        <w:t xml:space="preserve"> has already been cited in an election petition case as allegedly carrying out illegal practices </w:t>
      </w:r>
      <w:r>
        <w:rPr>
          <w:color w:val="333335"/>
          <w:lang w:val="en-US"/>
        </w:rPr>
        <w:t>tantamount to the commission of criminal offences under the Elections Act</w:t>
      </w:r>
      <w:r w:rsidR="00B347D4">
        <w:rPr>
          <w:color w:val="333335"/>
          <w:lang w:val="en-US"/>
        </w:rPr>
        <w:t>.</w:t>
      </w:r>
    </w:p>
    <w:p w:rsidR="002A7C2F" w:rsidRDefault="00B347D4" w:rsidP="00FA604B">
      <w:pPr>
        <w:pStyle w:val="JudgmentText"/>
        <w:rPr>
          <w:color w:val="333335"/>
          <w:lang w:val="en-US"/>
        </w:rPr>
      </w:pPr>
      <w:r>
        <w:rPr>
          <w:color w:val="333335"/>
          <w:lang w:val="en-US"/>
        </w:rPr>
        <w:t>He adds that the application is an attempt to fish for information.</w:t>
      </w:r>
    </w:p>
    <w:p w:rsidR="00B347D4" w:rsidRDefault="00B347D4" w:rsidP="00FA604B">
      <w:pPr>
        <w:pStyle w:val="JudgmentText"/>
        <w:rPr>
          <w:color w:val="333335"/>
          <w:lang w:val="en-US"/>
        </w:rPr>
      </w:pPr>
      <w:r>
        <w:rPr>
          <w:color w:val="333335"/>
          <w:lang w:val="en-US"/>
        </w:rPr>
        <w:t xml:space="preserve">He also avers that the information sought would if disclosed breach the constitutional rights of individuals namely the protection of their privacy. </w:t>
      </w:r>
    </w:p>
    <w:p w:rsidR="009E7A41" w:rsidRDefault="009E7A41" w:rsidP="00FA604B">
      <w:pPr>
        <w:pStyle w:val="JudgmentText"/>
        <w:rPr>
          <w:color w:val="333335"/>
          <w:lang w:val="en-US"/>
        </w:rPr>
      </w:pPr>
      <w:r>
        <w:rPr>
          <w:color w:val="333335"/>
          <w:lang w:val="en-US"/>
        </w:rPr>
        <w:t xml:space="preserve">He concludes that in the circumstances the application is an abuse of court process and that if such Order were to issue on an application that is bad in law, the result would be the opening of flood </w:t>
      </w:r>
      <w:r w:rsidR="001F332C">
        <w:rPr>
          <w:color w:val="333335"/>
          <w:lang w:val="en-US"/>
        </w:rPr>
        <w:t>gates for</w:t>
      </w:r>
      <w:r>
        <w:rPr>
          <w:color w:val="333335"/>
          <w:lang w:val="en-US"/>
        </w:rPr>
        <w:t xml:space="preserve"> similar bad applications with the aim of </w:t>
      </w:r>
      <w:r w:rsidR="001F332C">
        <w:rPr>
          <w:color w:val="333335"/>
          <w:lang w:val="en-US"/>
        </w:rPr>
        <w:t>accessing</w:t>
      </w:r>
      <w:r>
        <w:rPr>
          <w:color w:val="333335"/>
          <w:lang w:val="en-US"/>
        </w:rPr>
        <w:t xml:space="preserve"> information about others.</w:t>
      </w:r>
    </w:p>
    <w:p w:rsidR="001F332C" w:rsidRDefault="001F332C" w:rsidP="00FA604B">
      <w:pPr>
        <w:pStyle w:val="JudgmentText"/>
        <w:rPr>
          <w:color w:val="333335"/>
          <w:lang w:val="en-US"/>
        </w:rPr>
      </w:pPr>
      <w:r>
        <w:rPr>
          <w:color w:val="333335"/>
          <w:lang w:val="en-US"/>
        </w:rPr>
        <w:t xml:space="preserve">Before considering the merits of the application for the Order I must consider the objections of the </w:t>
      </w:r>
      <w:r w:rsidR="00B5112F">
        <w:rPr>
          <w:color w:val="333335"/>
          <w:lang w:val="en-US"/>
        </w:rPr>
        <w:t>respondent</w:t>
      </w:r>
      <w:r>
        <w:rPr>
          <w:color w:val="333335"/>
          <w:lang w:val="en-US"/>
        </w:rPr>
        <w:t xml:space="preserve"> relating to </w:t>
      </w:r>
      <w:r w:rsidR="00FF4A7D">
        <w:rPr>
          <w:color w:val="333335"/>
          <w:lang w:val="en-US"/>
        </w:rPr>
        <w:t>alleged</w:t>
      </w:r>
      <w:r>
        <w:rPr>
          <w:color w:val="333335"/>
          <w:lang w:val="en-US"/>
        </w:rPr>
        <w:t xml:space="preserve"> procedural irregularities of the Application.</w:t>
      </w:r>
    </w:p>
    <w:p w:rsidR="001F332C" w:rsidRDefault="001F332C" w:rsidP="00FA604B">
      <w:pPr>
        <w:pStyle w:val="JudgmentText"/>
        <w:rPr>
          <w:color w:val="333335"/>
          <w:lang w:val="en-US"/>
        </w:rPr>
      </w:pPr>
      <w:r>
        <w:rPr>
          <w:color w:val="333335"/>
          <w:lang w:val="en-US"/>
        </w:rPr>
        <w:t xml:space="preserve">As I have already outlined above Norwich </w:t>
      </w:r>
      <w:proofErr w:type="spellStart"/>
      <w:r>
        <w:rPr>
          <w:color w:val="333335"/>
          <w:lang w:val="en-US"/>
        </w:rPr>
        <w:t>Pharmacal</w:t>
      </w:r>
      <w:proofErr w:type="spellEnd"/>
      <w:r>
        <w:rPr>
          <w:color w:val="333335"/>
          <w:lang w:val="en-US"/>
        </w:rPr>
        <w:t xml:space="preserve"> Orders are unknown to the Seychelles Civil Code of Procedure. In England an application for a Norwich </w:t>
      </w:r>
      <w:proofErr w:type="spellStart"/>
      <w:r>
        <w:rPr>
          <w:color w:val="333335"/>
          <w:lang w:val="en-US"/>
        </w:rPr>
        <w:t>Pharmacal</w:t>
      </w:r>
      <w:proofErr w:type="spellEnd"/>
      <w:r>
        <w:rPr>
          <w:color w:val="333335"/>
          <w:lang w:val="en-US"/>
        </w:rPr>
        <w:t xml:space="preserve"> Order is </w:t>
      </w:r>
      <w:r w:rsidR="00C063B0">
        <w:rPr>
          <w:color w:val="333335"/>
          <w:lang w:val="en-US"/>
        </w:rPr>
        <w:t xml:space="preserve">commenced by originating summons </w:t>
      </w:r>
      <w:r w:rsidR="00F540D9">
        <w:rPr>
          <w:color w:val="333335"/>
          <w:lang w:val="en-US"/>
        </w:rPr>
        <w:t xml:space="preserve">either as an application for </w:t>
      </w:r>
      <w:r w:rsidR="00C063B0">
        <w:rPr>
          <w:color w:val="333335"/>
          <w:lang w:val="en-US"/>
        </w:rPr>
        <w:t xml:space="preserve">sole relief </w:t>
      </w:r>
      <w:r w:rsidR="00F540D9">
        <w:rPr>
          <w:color w:val="333335"/>
          <w:lang w:val="en-US"/>
        </w:rPr>
        <w:t>or</w:t>
      </w:r>
      <w:r w:rsidR="00C063B0">
        <w:rPr>
          <w:color w:val="333335"/>
          <w:lang w:val="en-US"/>
        </w:rPr>
        <w:t xml:space="preserve"> ancillary to other relief.</w:t>
      </w:r>
    </w:p>
    <w:p w:rsidR="00F540D9" w:rsidRDefault="00F540D9" w:rsidP="00FA604B">
      <w:pPr>
        <w:pStyle w:val="JudgmentText"/>
        <w:rPr>
          <w:color w:val="333335"/>
          <w:lang w:val="en-US"/>
        </w:rPr>
      </w:pPr>
      <w:r>
        <w:rPr>
          <w:color w:val="333335"/>
          <w:lang w:val="en-US"/>
        </w:rPr>
        <w:t xml:space="preserve">An originating summons is defined in Rule 4 of Order 1 (RSC 1965 (White Book) as </w:t>
      </w:r>
    </w:p>
    <w:p w:rsidR="00F540D9" w:rsidRDefault="00F540D9" w:rsidP="00F540D9">
      <w:pPr>
        <w:pStyle w:val="JudgmentText"/>
        <w:numPr>
          <w:ilvl w:val="0"/>
          <w:numId w:val="0"/>
        </w:numPr>
        <w:ind w:left="1440"/>
        <w:rPr>
          <w:color w:val="333335"/>
          <w:lang w:val="en-US"/>
        </w:rPr>
      </w:pPr>
      <w:r>
        <w:rPr>
          <w:color w:val="333335"/>
          <w:lang w:val="en-US"/>
        </w:rPr>
        <w:t>“…every summons other than a summons in a pending cause or matter…”</w:t>
      </w:r>
    </w:p>
    <w:p w:rsidR="00F540D9" w:rsidRPr="00F540D9" w:rsidRDefault="00F540D9" w:rsidP="00F540D9">
      <w:pPr>
        <w:pStyle w:val="JudgmentText"/>
        <w:numPr>
          <w:ilvl w:val="0"/>
          <w:numId w:val="0"/>
        </w:numPr>
        <w:ind w:left="720" w:hanging="720"/>
        <w:rPr>
          <w:color w:val="333335"/>
          <w:lang w:val="en-US"/>
        </w:rPr>
      </w:pPr>
      <w:r>
        <w:rPr>
          <w:color w:val="333335"/>
          <w:lang w:val="en-US"/>
        </w:rPr>
        <w:lastRenderedPageBreak/>
        <w:tab/>
        <w:t xml:space="preserve">It is clear therefore that no parent pleading is necessary for an application for a Norwich </w:t>
      </w:r>
      <w:proofErr w:type="spellStart"/>
      <w:r>
        <w:rPr>
          <w:color w:val="333335"/>
          <w:lang w:val="en-US"/>
        </w:rPr>
        <w:t>Pharmacal</w:t>
      </w:r>
      <w:proofErr w:type="spellEnd"/>
      <w:r>
        <w:rPr>
          <w:color w:val="333335"/>
          <w:lang w:val="en-US"/>
        </w:rPr>
        <w:t xml:space="preserve"> Order. The reason is obvious: the </w:t>
      </w:r>
      <w:proofErr w:type="spellStart"/>
      <w:r w:rsidR="000B4D26">
        <w:rPr>
          <w:color w:val="333335"/>
          <w:lang w:val="en-US"/>
        </w:rPr>
        <w:t>respondent</w:t>
      </w:r>
      <w:r>
        <w:rPr>
          <w:color w:val="333335"/>
          <w:lang w:val="en-US"/>
        </w:rPr>
        <w:t>in</w:t>
      </w:r>
      <w:proofErr w:type="spellEnd"/>
      <w:r>
        <w:rPr>
          <w:color w:val="333335"/>
          <w:lang w:val="en-US"/>
        </w:rPr>
        <w:t xml:space="preserve"> an application for a Norwich </w:t>
      </w:r>
      <w:proofErr w:type="spellStart"/>
      <w:r>
        <w:rPr>
          <w:color w:val="333335"/>
          <w:lang w:val="en-US"/>
        </w:rPr>
        <w:t>Pharmacal</w:t>
      </w:r>
      <w:proofErr w:type="spellEnd"/>
      <w:r>
        <w:rPr>
          <w:color w:val="333335"/>
          <w:lang w:val="en-US"/>
        </w:rPr>
        <w:t xml:space="preserve"> Order is not intended to be a </w:t>
      </w:r>
      <w:r w:rsidR="000B4D26">
        <w:rPr>
          <w:color w:val="333335"/>
          <w:lang w:val="en-US"/>
        </w:rPr>
        <w:t>respondent</w:t>
      </w:r>
      <w:r>
        <w:rPr>
          <w:color w:val="333335"/>
          <w:lang w:val="en-US"/>
        </w:rPr>
        <w:t xml:space="preserve"> in the action for which the information is sought. </w:t>
      </w:r>
    </w:p>
    <w:p w:rsidR="007260C6" w:rsidRDefault="00F540D9" w:rsidP="00FA604B">
      <w:pPr>
        <w:pStyle w:val="JudgmentText"/>
        <w:rPr>
          <w:color w:val="333335"/>
          <w:lang w:val="en-US"/>
        </w:rPr>
      </w:pPr>
      <w:r>
        <w:rPr>
          <w:color w:val="333335"/>
          <w:lang w:val="en-US"/>
        </w:rPr>
        <w:t xml:space="preserve">There is no </w:t>
      </w:r>
      <w:r w:rsidR="00B5112F">
        <w:rPr>
          <w:color w:val="333335"/>
          <w:lang w:val="en-US"/>
        </w:rPr>
        <w:t>O</w:t>
      </w:r>
      <w:r>
        <w:rPr>
          <w:color w:val="333335"/>
          <w:lang w:val="en-US"/>
        </w:rPr>
        <w:t xml:space="preserve">riginating </w:t>
      </w:r>
      <w:r w:rsidR="00B5112F">
        <w:rPr>
          <w:color w:val="333335"/>
          <w:lang w:val="en-US"/>
        </w:rPr>
        <w:t>S</w:t>
      </w:r>
      <w:r>
        <w:rPr>
          <w:color w:val="333335"/>
          <w:lang w:val="en-US"/>
        </w:rPr>
        <w:t xml:space="preserve">ummons known </w:t>
      </w:r>
      <w:r w:rsidR="007260C6">
        <w:rPr>
          <w:color w:val="333335"/>
          <w:lang w:val="en-US"/>
        </w:rPr>
        <w:t>to</w:t>
      </w:r>
      <w:r>
        <w:rPr>
          <w:color w:val="333335"/>
          <w:lang w:val="en-US"/>
        </w:rPr>
        <w:t xml:space="preserve"> the civil procedure </w:t>
      </w:r>
      <w:r w:rsidR="007260C6">
        <w:rPr>
          <w:color w:val="333335"/>
          <w:lang w:val="en-US"/>
        </w:rPr>
        <w:t xml:space="preserve">laws </w:t>
      </w:r>
      <w:r>
        <w:rPr>
          <w:color w:val="333335"/>
          <w:lang w:val="en-US"/>
        </w:rPr>
        <w:t xml:space="preserve">of Seychelles. </w:t>
      </w:r>
      <w:proofErr w:type="gramStart"/>
      <w:r>
        <w:rPr>
          <w:color w:val="333335"/>
          <w:lang w:val="en-US"/>
        </w:rPr>
        <w:t>Summons are</w:t>
      </w:r>
      <w:proofErr w:type="gramEnd"/>
      <w:r>
        <w:rPr>
          <w:color w:val="333335"/>
          <w:lang w:val="en-US"/>
        </w:rPr>
        <w:t xml:space="preserve"> issued in Seych</w:t>
      </w:r>
      <w:r w:rsidR="007260C6">
        <w:rPr>
          <w:color w:val="333335"/>
          <w:lang w:val="en-US"/>
        </w:rPr>
        <w:t>e</w:t>
      </w:r>
      <w:r>
        <w:rPr>
          <w:color w:val="333335"/>
          <w:lang w:val="en-US"/>
        </w:rPr>
        <w:t>lles at the entering of plaints in the registry</w:t>
      </w:r>
      <w:r w:rsidR="007260C6">
        <w:rPr>
          <w:color w:val="333335"/>
          <w:lang w:val="en-US"/>
        </w:rPr>
        <w:t>. Section 30 of the Seychelles Code of Civil Procedure provides:</w:t>
      </w:r>
    </w:p>
    <w:p w:rsidR="007260C6" w:rsidRDefault="007260C6" w:rsidP="007260C6">
      <w:pPr>
        <w:pStyle w:val="JudgmentText"/>
        <w:numPr>
          <w:ilvl w:val="0"/>
          <w:numId w:val="0"/>
        </w:numPr>
        <w:ind w:left="1440"/>
        <w:rPr>
          <w:color w:val="333335"/>
          <w:lang w:val="en-US"/>
        </w:rPr>
      </w:pPr>
      <w:r>
        <w:rPr>
          <w:color w:val="333335"/>
          <w:lang w:val="en-US"/>
        </w:rPr>
        <w:t>“When the plaint has been entered in the register of civil and commercial suits, the Registrar shall issue a summons, under the seal of the court and signed by him, to each defendant calling upon him to appear in the Supreme Court at a date and time therein stated, to answer the claim…”</w:t>
      </w:r>
    </w:p>
    <w:p w:rsidR="0044542A" w:rsidRDefault="00F540D9" w:rsidP="00FC63E2">
      <w:pPr>
        <w:pStyle w:val="JudgmentText"/>
        <w:rPr>
          <w:color w:val="333335"/>
          <w:lang w:val="en-US"/>
        </w:rPr>
      </w:pPr>
      <w:r w:rsidRPr="00FF4A7D">
        <w:rPr>
          <w:color w:val="333335"/>
          <w:lang w:val="en-US"/>
        </w:rPr>
        <w:t>Notice</w:t>
      </w:r>
      <w:r w:rsidR="00304256">
        <w:rPr>
          <w:color w:val="333335"/>
          <w:lang w:val="en-US"/>
        </w:rPr>
        <w:t xml:space="preserve">s </w:t>
      </w:r>
      <w:r w:rsidRPr="00FF4A7D">
        <w:rPr>
          <w:color w:val="333335"/>
          <w:lang w:val="en-US"/>
        </w:rPr>
        <w:t xml:space="preserve">of </w:t>
      </w:r>
      <w:r w:rsidR="00FF4A7D" w:rsidRPr="00FF4A7D">
        <w:rPr>
          <w:color w:val="333335"/>
          <w:lang w:val="en-US"/>
        </w:rPr>
        <w:t>M</w:t>
      </w:r>
      <w:r w:rsidRPr="00FF4A7D">
        <w:rPr>
          <w:color w:val="333335"/>
          <w:lang w:val="en-US"/>
        </w:rPr>
        <w:t xml:space="preserve">otions </w:t>
      </w:r>
      <w:r w:rsidR="00FF4A7D" w:rsidRPr="00FF4A7D">
        <w:rPr>
          <w:color w:val="333335"/>
          <w:lang w:val="en-US"/>
        </w:rPr>
        <w:t xml:space="preserve">in accordance with Form 17 of the Seychelles Code of Civil Procedure have been used in previous applications for Norwich </w:t>
      </w:r>
      <w:proofErr w:type="spellStart"/>
      <w:r w:rsidR="00FF4A7D" w:rsidRPr="00FF4A7D">
        <w:rPr>
          <w:color w:val="333335"/>
          <w:lang w:val="en-US"/>
        </w:rPr>
        <w:t>Pharmacal</w:t>
      </w:r>
      <w:proofErr w:type="spellEnd"/>
      <w:r w:rsidR="00FF4A7D" w:rsidRPr="00FF4A7D">
        <w:rPr>
          <w:color w:val="333335"/>
          <w:lang w:val="en-US"/>
        </w:rPr>
        <w:t xml:space="preserve"> Orders. They are supported by </w:t>
      </w:r>
      <w:r w:rsidR="00B5112F">
        <w:rPr>
          <w:color w:val="333335"/>
          <w:lang w:val="en-US"/>
        </w:rPr>
        <w:t>affidavit</w:t>
      </w:r>
      <w:r w:rsidR="00FF4A7D" w:rsidRPr="00FF4A7D">
        <w:rPr>
          <w:color w:val="333335"/>
          <w:lang w:val="en-US"/>
        </w:rPr>
        <w:t xml:space="preserve">s of the </w:t>
      </w:r>
      <w:r w:rsidR="00B5112F">
        <w:rPr>
          <w:color w:val="333335"/>
          <w:lang w:val="en-US"/>
        </w:rPr>
        <w:t>applicant</w:t>
      </w:r>
      <w:r w:rsidR="00FF4A7D" w:rsidRPr="00FF4A7D">
        <w:rPr>
          <w:color w:val="333335"/>
          <w:lang w:val="en-US"/>
        </w:rPr>
        <w:t xml:space="preserve">s. </w:t>
      </w:r>
      <w:r w:rsidRPr="00FF4A7D">
        <w:rPr>
          <w:color w:val="333335"/>
          <w:lang w:val="en-US"/>
        </w:rPr>
        <w:t xml:space="preserve">In </w:t>
      </w:r>
      <w:r w:rsidR="00FF4A7D" w:rsidRPr="00FF4A7D">
        <w:rPr>
          <w:color w:val="333335"/>
          <w:lang w:val="en-US"/>
        </w:rPr>
        <w:t>comparing</w:t>
      </w:r>
      <w:r w:rsidRPr="00FF4A7D">
        <w:rPr>
          <w:color w:val="333335"/>
          <w:lang w:val="en-US"/>
        </w:rPr>
        <w:t xml:space="preserve"> the </w:t>
      </w:r>
      <w:r w:rsidR="00FF4A7D" w:rsidRPr="00FF4A7D">
        <w:rPr>
          <w:color w:val="333335"/>
          <w:lang w:val="en-US"/>
        </w:rPr>
        <w:t xml:space="preserve">prescribed </w:t>
      </w:r>
      <w:r w:rsidRPr="00FF4A7D">
        <w:rPr>
          <w:color w:val="333335"/>
          <w:lang w:val="en-US"/>
        </w:rPr>
        <w:t xml:space="preserve">form of </w:t>
      </w:r>
      <w:r w:rsidR="00FF4A7D" w:rsidRPr="00FF4A7D">
        <w:rPr>
          <w:color w:val="333335"/>
          <w:lang w:val="en-US"/>
        </w:rPr>
        <w:t>O</w:t>
      </w:r>
      <w:r w:rsidRPr="00FF4A7D">
        <w:rPr>
          <w:color w:val="333335"/>
          <w:lang w:val="en-US"/>
        </w:rPr>
        <w:t xml:space="preserve">riginating </w:t>
      </w:r>
      <w:r w:rsidR="00FF4A7D" w:rsidRPr="00FF4A7D">
        <w:rPr>
          <w:color w:val="333335"/>
          <w:lang w:val="en-US"/>
        </w:rPr>
        <w:t>S</w:t>
      </w:r>
      <w:r w:rsidRPr="00FF4A7D">
        <w:rPr>
          <w:color w:val="333335"/>
          <w:lang w:val="en-US"/>
        </w:rPr>
        <w:t>ummons</w:t>
      </w:r>
      <w:r w:rsidR="00FF4A7D" w:rsidRPr="00FF4A7D">
        <w:rPr>
          <w:color w:val="333335"/>
          <w:lang w:val="en-US"/>
        </w:rPr>
        <w:t xml:space="preserve"> in England and that of a Notice of Motion in Seychelles I am of the view that they are similar and achieve the same purpose. </w:t>
      </w:r>
    </w:p>
    <w:p w:rsidR="004755B3" w:rsidRDefault="004755B3" w:rsidP="004755B3">
      <w:pPr>
        <w:pStyle w:val="JudgmentText"/>
        <w:rPr>
          <w:lang w:val="en-US"/>
        </w:rPr>
      </w:pPr>
      <w:r>
        <w:rPr>
          <w:lang w:val="en-US"/>
        </w:rPr>
        <w:t>In the first a</w:t>
      </w:r>
      <w:r w:rsidR="0044542A">
        <w:rPr>
          <w:lang w:val="en-US"/>
        </w:rPr>
        <w:t xml:space="preserve">pplication in Seychelles </w:t>
      </w:r>
      <w:r>
        <w:rPr>
          <w:lang w:val="en-US"/>
        </w:rPr>
        <w:t xml:space="preserve">for a </w:t>
      </w:r>
      <w:r w:rsidRPr="004755B3">
        <w:rPr>
          <w:color w:val="333335"/>
          <w:lang w:val="en-US"/>
        </w:rPr>
        <w:t xml:space="preserve">Norwich </w:t>
      </w:r>
      <w:proofErr w:type="spellStart"/>
      <w:r w:rsidRPr="004755B3">
        <w:rPr>
          <w:color w:val="333335"/>
          <w:lang w:val="en-US"/>
        </w:rPr>
        <w:t>Pharmacal</w:t>
      </w:r>
      <w:proofErr w:type="spellEnd"/>
      <w:r w:rsidRPr="004755B3">
        <w:rPr>
          <w:color w:val="333335"/>
          <w:lang w:val="en-US"/>
        </w:rPr>
        <w:t xml:space="preserve"> Order </w:t>
      </w:r>
      <w:r w:rsidR="0044542A">
        <w:rPr>
          <w:lang w:val="en-US"/>
        </w:rPr>
        <w:t>in</w:t>
      </w:r>
      <w:r>
        <w:rPr>
          <w:lang w:val="en-US"/>
        </w:rPr>
        <w:t xml:space="preserve"> the case </w:t>
      </w:r>
      <w:r w:rsidR="00004FA7">
        <w:rPr>
          <w:lang w:val="en-US"/>
        </w:rPr>
        <w:t xml:space="preserve">of </w:t>
      </w:r>
      <w:proofErr w:type="spellStart"/>
      <w:r w:rsidR="00004FA7" w:rsidRPr="00004FA7">
        <w:rPr>
          <w:i/>
          <w:lang w:val="en-US"/>
        </w:rPr>
        <w:t>Danone</w:t>
      </w:r>
      <w:r w:rsidR="0044542A" w:rsidRPr="0044542A">
        <w:rPr>
          <w:i/>
          <w:lang w:val="en-US"/>
        </w:rPr>
        <w:t>AsiaPte</w:t>
      </w:r>
      <w:proofErr w:type="spellEnd"/>
      <w:r w:rsidR="0044542A" w:rsidRPr="0044542A">
        <w:rPr>
          <w:i/>
          <w:lang w:val="en-US"/>
        </w:rPr>
        <w:t xml:space="preserve"> Limited and ors v Off</w:t>
      </w:r>
      <w:r w:rsidR="0044542A">
        <w:rPr>
          <w:i/>
          <w:lang w:val="en-US"/>
        </w:rPr>
        <w:t>s</w:t>
      </w:r>
      <w:r w:rsidR="0044542A" w:rsidRPr="0044542A">
        <w:rPr>
          <w:i/>
          <w:lang w:val="en-US"/>
        </w:rPr>
        <w:t>hore Incorporations</w:t>
      </w:r>
      <w:r w:rsidR="0044542A">
        <w:rPr>
          <w:lang w:val="en-US"/>
        </w:rPr>
        <w:t xml:space="preserve"> (Seychelles) Ltd CS 310/2008</w:t>
      </w:r>
      <w:proofErr w:type="gramStart"/>
      <w:r w:rsidR="00B5112F">
        <w:rPr>
          <w:lang w:val="en-US"/>
        </w:rPr>
        <w:t>,</w:t>
      </w:r>
      <w:r>
        <w:rPr>
          <w:lang w:val="en-US"/>
        </w:rPr>
        <w:t>the</w:t>
      </w:r>
      <w:proofErr w:type="gramEnd"/>
      <w:r>
        <w:rPr>
          <w:lang w:val="en-US"/>
        </w:rPr>
        <w:t xml:space="preserve"> suit </w:t>
      </w:r>
      <w:r w:rsidR="00004FA7">
        <w:rPr>
          <w:lang w:val="en-US"/>
        </w:rPr>
        <w:t>was instituted</w:t>
      </w:r>
      <w:r w:rsidR="0044542A">
        <w:rPr>
          <w:lang w:val="en-US"/>
        </w:rPr>
        <w:t xml:space="preserve"> by way of </w:t>
      </w:r>
      <w:r w:rsidR="00B5112F">
        <w:rPr>
          <w:lang w:val="en-US"/>
        </w:rPr>
        <w:t>N</w:t>
      </w:r>
      <w:r w:rsidR="0044542A">
        <w:rPr>
          <w:lang w:val="en-US"/>
        </w:rPr>
        <w:t xml:space="preserve">otice of </w:t>
      </w:r>
      <w:r w:rsidR="00B5112F">
        <w:rPr>
          <w:lang w:val="en-US"/>
        </w:rPr>
        <w:t>M</w:t>
      </w:r>
      <w:r w:rsidR="0044542A">
        <w:rPr>
          <w:lang w:val="en-US"/>
        </w:rPr>
        <w:t xml:space="preserve">otion supported by </w:t>
      </w:r>
      <w:r w:rsidR="000B4D26">
        <w:rPr>
          <w:lang w:val="en-US"/>
        </w:rPr>
        <w:t>affidavit</w:t>
      </w:r>
      <w:r w:rsidR="0044542A">
        <w:rPr>
          <w:lang w:val="en-US"/>
        </w:rPr>
        <w:t xml:space="preserve">. The same procedure has </w:t>
      </w:r>
      <w:r>
        <w:rPr>
          <w:lang w:val="en-US"/>
        </w:rPr>
        <w:t xml:space="preserve">since </w:t>
      </w:r>
      <w:r w:rsidR="0044542A">
        <w:rPr>
          <w:lang w:val="en-US"/>
        </w:rPr>
        <w:t xml:space="preserve">been </w:t>
      </w:r>
      <w:r>
        <w:rPr>
          <w:lang w:val="en-US"/>
        </w:rPr>
        <w:t>followed(</w:t>
      </w:r>
      <w:proofErr w:type="spellStart"/>
      <w:r>
        <w:rPr>
          <w:lang w:val="en-US"/>
        </w:rPr>
        <w:t>see</w:t>
      </w:r>
      <w:r w:rsidR="0044542A" w:rsidRPr="004755B3">
        <w:rPr>
          <w:i/>
          <w:lang w:val="en-US"/>
        </w:rPr>
        <w:t>Otkritie</w:t>
      </w:r>
      <w:proofErr w:type="spellEnd"/>
      <w:r w:rsidR="0044542A" w:rsidRPr="004755B3">
        <w:rPr>
          <w:i/>
          <w:lang w:val="en-US"/>
        </w:rPr>
        <w:t xml:space="preserve"> Securities Ltd v Barclays Bank (Seychelles)Ltd</w:t>
      </w:r>
      <w:r w:rsidR="0044542A">
        <w:rPr>
          <w:lang w:val="en-US"/>
        </w:rPr>
        <w:t xml:space="preserve"> (2012) SLR 67</w:t>
      </w:r>
      <w:r>
        <w:rPr>
          <w:lang w:val="en-US"/>
        </w:rPr>
        <w:t xml:space="preserve">, </w:t>
      </w:r>
      <w:proofErr w:type="spellStart"/>
      <w:r w:rsidRPr="00F45307">
        <w:rPr>
          <w:i/>
          <w:lang w:val="en-US"/>
        </w:rPr>
        <w:t>Shchukin</w:t>
      </w:r>
      <w:proofErr w:type="spellEnd"/>
      <w:r w:rsidRPr="00F45307">
        <w:rPr>
          <w:i/>
          <w:lang w:val="en-US"/>
        </w:rPr>
        <w:t xml:space="preserve"> v Mayfair Trust Group Limited</w:t>
      </w:r>
      <w:r>
        <w:rPr>
          <w:lang w:val="en-US"/>
        </w:rPr>
        <w:t>,</w:t>
      </w:r>
      <w:r w:rsidR="00F45307">
        <w:rPr>
          <w:lang w:val="en-US"/>
        </w:rPr>
        <w:t xml:space="preserve"> 2015 SCSC ,</w:t>
      </w:r>
      <w:r w:rsidRPr="00F45307">
        <w:rPr>
          <w:i/>
          <w:lang w:val="en-US"/>
        </w:rPr>
        <w:t xml:space="preserve">Global  </w:t>
      </w:r>
      <w:r w:rsidR="00004FA7" w:rsidRPr="00F45307">
        <w:rPr>
          <w:i/>
          <w:lang w:val="en-US"/>
        </w:rPr>
        <w:t xml:space="preserve">Energy </w:t>
      </w:r>
      <w:proofErr w:type="spellStart"/>
      <w:r w:rsidR="00004FA7" w:rsidRPr="00F45307">
        <w:rPr>
          <w:i/>
          <w:lang w:val="en-US"/>
        </w:rPr>
        <w:t>Ho</w:t>
      </w:r>
      <w:r w:rsidR="00F45307" w:rsidRPr="00F45307">
        <w:rPr>
          <w:i/>
          <w:lang w:val="en-US"/>
        </w:rPr>
        <w:t>rizons</w:t>
      </w:r>
      <w:r w:rsidR="00F45307">
        <w:rPr>
          <w:i/>
          <w:lang w:val="en-US"/>
        </w:rPr>
        <w:t>C</w:t>
      </w:r>
      <w:r w:rsidR="00F45307" w:rsidRPr="00F45307">
        <w:rPr>
          <w:i/>
          <w:lang w:val="en-US"/>
        </w:rPr>
        <w:t>orporation</w:t>
      </w:r>
      <w:proofErr w:type="spellEnd"/>
      <w:r w:rsidR="00004FA7" w:rsidRPr="00F45307">
        <w:rPr>
          <w:i/>
          <w:lang w:val="en-US"/>
        </w:rPr>
        <w:t xml:space="preserve">  v </w:t>
      </w:r>
      <w:proofErr w:type="spellStart"/>
      <w:r w:rsidR="00F45307" w:rsidRPr="00F45307">
        <w:rPr>
          <w:i/>
          <w:lang w:val="en-US"/>
        </w:rPr>
        <w:t>Victoria</w:t>
      </w:r>
      <w:r w:rsidR="00F45307">
        <w:rPr>
          <w:i/>
          <w:lang w:val="en-US"/>
        </w:rPr>
        <w:t>C</w:t>
      </w:r>
      <w:r w:rsidR="00004FA7" w:rsidRPr="00F45307">
        <w:rPr>
          <w:i/>
          <w:lang w:val="en-US"/>
        </w:rPr>
        <w:t>orporate</w:t>
      </w:r>
      <w:proofErr w:type="spellEnd"/>
      <w:r w:rsidR="00004FA7" w:rsidRPr="00F45307">
        <w:rPr>
          <w:i/>
          <w:lang w:val="en-US"/>
        </w:rPr>
        <w:t xml:space="preserve"> (</w:t>
      </w:r>
      <w:r w:rsidR="00F45307" w:rsidRPr="00F45307">
        <w:rPr>
          <w:i/>
          <w:lang w:val="en-US"/>
        </w:rPr>
        <w:t>Proprietary</w:t>
      </w:r>
      <w:r w:rsidR="00004FA7" w:rsidRPr="00F45307">
        <w:rPr>
          <w:i/>
          <w:lang w:val="en-US"/>
        </w:rPr>
        <w:t>) Limited</w:t>
      </w:r>
      <w:r w:rsidR="00004FA7">
        <w:rPr>
          <w:lang w:val="en-US"/>
        </w:rPr>
        <w:t xml:space="preserve"> 2014S CSC 10)</w:t>
      </w:r>
      <w:r w:rsidR="00F45307">
        <w:rPr>
          <w:lang w:val="en-US"/>
        </w:rPr>
        <w:t>.</w:t>
      </w:r>
    </w:p>
    <w:p w:rsidR="00F45307" w:rsidRDefault="00F45307" w:rsidP="004755B3">
      <w:pPr>
        <w:pStyle w:val="JudgmentText"/>
        <w:rPr>
          <w:lang w:val="en-US"/>
        </w:rPr>
      </w:pPr>
      <w:r>
        <w:rPr>
          <w:lang w:val="en-US"/>
        </w:rPr>
        <w:t xml:space="preserve">I am </w:t>
      </w:r>
      <w:proofErr w:type="gramStart"/>
      <w:r>
        <w:rPr>
          <w:lang w:val="en-US"/>
        </w:rPr>
        <w:t>loathe</w:t>
      </w:r>
      <w:proofErr w:type="gramEnd"/>
      <w:r>
        <w:rPr>
          <w:lang w:val="en-US"/>
        </w:rPr>
        <w:t xml:space="preserve"> to allow a departure from procedure when this is clearly established by rules but there are some circumstances where procedures to be followed are not entirely clear. In such cases, as </w:t>
      </w:r>
      <w:proofErr w:type="spellStart"/>
      <w:r>
        <w:rPr>
          <w:lang w:val="en-US"/>
        </w:rPr>
        <w:t>Domah</w:t>
      </w:r>
      <w:proofErr w:type="spellEnd"/>
      <w:r>
        <w:rPr>
          <w:lang w:val="en-US"/>
        </w:rPr>
        <w:t xml:space="preserve"> J</w:t>
      </w:r>
      <w:r w:rsidR="00304256">
        <w:rPr>
          <w:lang w:val="en-US"/>
        </w:rPr>
        <w:t>A</w:t>
      </w:r>
      <w:r>
        <w:rPr>
          <w:lang w:val="en-US"/>
        </w:rPr>
        <w:t xml:space="preserve"> has pointed out in  </w:t>
      </w:r>
      <w:proofErr w:type="spellStart"/>
      <w:r w:rsidRPr="00F45307">
        <w:rPr>
          <w:i/>
          <w:lang w:val="en-US"/>
        </w:rPr>
        <w:t>Ablyazov</w:t>
      </w:r>
      <w:proofErr w:type="spellEnd"/>
      <w:r w:rsidRPr="00F45307">
        <w:rPr>
          <w:i/>
          <w:lang w:val="en-US"/>
        </w:rPr>
        <w:t xml:space="preserve"> v </w:t>
      </w:r>
      <w:proofErr w:type="spellStart"/>
      <w:r w:rsidRPr="00F45307">
        <w:rPr>
          <w:i/>
          <w:lang w:val="en-US"/>
        </w:rPr>
        <w:t>Outen</w:t>
      </w:r>
      <w:proofErr w:type="spellEnd"/>
      <w:r w:rsidRPr="00F45307">
        <w:rPr>
          <w:i/>
          <w:lang w:val="en-US"/>
        </w:rPr>
        <w:t xml:space="preserve"> &amp; Ors</w:t>
      </w:r>
      <w:r w:rsidRPr="00F45307">
        <w:rPr>
          <w:lang w:val="en-US"/>
        </w:rPr>
        <w:t xml:space="preserve"> [2015] SCCA 23</w:t>
      </w:r>
      <w:r>
        <w:rPr>
          <w:lang w:val="en-US"/>
        </w:rPr>
        <w:t xml:space="preserve">: </w:t>
      </w:r>
    </w:p>
    <w:p w:rsidR="00F45307" w:rsidRDefault="00F45307" w:rsidP="00F45307">
      <w:pPr>
        <w:pStyle w:val="JudgmentText"/>
        <w:numPr>
          <w:ilvl w:val="0"/>
          <w:numId w:val="0"/>
        </w:numPr>
        <w:ind w:left="1440"/>
        <w:rPr>
          <w:lang w:val="en-US"/>
        </w:rPr>
      </w:pPr>
      <w:r>
        <w:rPr>
          <w:lang w:val="en-US"/>
        </w:rPr>
        <w:lastRenderedPageBreak/>
        <w:t>“…</w:t>
      </w:r>
      <w:r w:rsidR="0044542A" w:rsidRPr="0044542A">
        <w:rPr>
          <w:lang w:val="en-US"/>
        </w:rPr>
        <w:t>procedure is the hand-maid of justice and should not be made to become the mistress even if many hand-maids would aspire to become mistresses</w:t>
      </w:r>
      <w:r>
        <w:rPr>
          <w:lang w:val="en-US"/>
        </w:rPr>
        <w:t>.”</w:t>
      </w:r>
    </w:p>
    <w:p w:rsidR="0044542A" w:rsidRDefault="00F45307" w:rsidP="00F45307">
      <w:pPr>
        <w:pStyle w:val="JudgmentText"/>
        <w:numPr>
          <w:ilvl w:val="0"/>
          <w:numId w:val="0"/>
        </w:numPr>
        <w:ind w:left="720"/>
        <w:rPr>
          <w:lang w:val="en-US"/>
        </w:rPr>
      </w:pPr>
      <w:r>
        <w:rPr>
          <w:lang w:val="en-US"/>
        </w:rPr>
        <w:t xml:space="preserve">(On this point see  </w:t>
      </w:r>
      <w:proofErr w:type="spellStart"/>
      <w:r>
        <w:rPr>
          <w:lang w:val="en-US"/>
        </w:rPr>
        <w:t>also</w:t>
      </w:r>
      <w:r w:rsidR="0044542A" w:rsidRPr="00F45307">
        <w:rPr>
          <w:i/>
          <w:lang w:val="en-US"/>
        </w:rPr>
        <w:t>Gill</w:t>
      </w:r>
      <w:proofErr w:type="spellEnd"/>
      <w:r w:rsidR="0044542A" w:rsidRPr="00F45307">
        <w:rPr>
          <w:i/>
          <w:lang w:val="en-US"/>
        </w:rPr>
        <w:t xml:space="preserve"> v Film </w:t>
      </w:r>
      <w:proofErr w:type="spellStart"/>
      <w:r w:rsidR="0044542A" w:rsidRPr="00F45307">
        <w:rPr>
          <w:i/>
          <w:lang w:val="en-US"/>
        </w:rPr>
        <w:t>Ansalt</w:t>
      </w:r>
      <w:proofErr w:type="spellEnd"/>
      <w:r w:rsidR="00304256">
        <w:rPr>
          <w:lang w:val="en-US"/>
        </w:rPr>
        <w:t xml:space="preserve">(2003) </w:t>
      </w:r>
      <w:r w:rsidR="0044542A" w:rsidRPr="0044542A">
        <w:rPr>
          <w:lang w:val="en-US"/>
        </w:rPr>
        <w:t xml:space="preserve">SLR 137; </w:t>
      </w:r>
      <w:r w:rsidR="0044542A" w:rsidRPr="00F45307">
        <w:rPr>
          <w:i/>
          <w:lang w:val="en-US"/>
        </w:rPr>
        <w:t xml:space="preserve">Mary </w:t>
      </w:r>
      <w:proofErr w:type="spellStart"/>
      <w:r w:rsidR="0044542A" w:rsidRPr="00F45307">
        <w:rPr>
          <w:i/>
          <w:lang w:val="en-US"/>
        </w:rPr>
        <w:t>Quilindo</w:t>
      </w:r>
      <w:proofErr w:type="spellEnd"/>
      <w:r w:rsidR="0044542A" w:rsidRPr="00F45307">
        <w:rPr>
          <w:i/>
          <w:lang w:val="en-US"/>
        </w:rPr>
        <w:t xml:space="preserve"> and Ors v Sandra </w:t>
      </w:r>
      <w:proofErr w:type="spellStart"/>
      <w:r w:rsidR="0044542A" w:rsidRPr="00F45307">
        <w:rPr>
          <w:i/>
          <w:lang w:val="en-US"/>
        </w:rPr>
        <w:t>Moncherry</w:t>
      </w:r>
      <w:proofErr w:type="spellEnd"/>
      <w:r w:rsidR="0044542A" w:rsidRPr="00F45307">
        <w:rPr>
          <w:i/>
          <w:lang w:val="en-US"/>
        </w:rPr>
        <w:t xml:space="preserve"> and </w:t>
      </w:r>
      <w:proofErr w:type="spellStart"/>
      <w:r w:rsidR="0044542A" w:rsidRPr="00F45307">
        <w:rPr>
          <w:i/>
          <w:lang w:val="en-US"/>
        </w:rPr>
        <w:t>Anor</w:t>
      </w:r>
      <w:proofErr w:type="spellEnd"/>
      <w:r w:rsidR="0044542A" w:rsidRPr="0044542A">
        <w:rPr>
          <w:lang w:val="en-US"/>
        </w:rPr>
        <w:t xml:space="preserve"> SCA 29 of 2009; </w:t>
      </w:r>
      <w:proofErr w:type="spellStart"/>
      <w:r w:rsidR="0044542A" w:rsidRPr="00F45307">
        <w:rPr>
          <w:i/>
          <w:lang w:val="en-US"/>
        </w:rPr>
        <w:t>Toomany</w:t>
      </w:r>
      <w:proofErr w:type="spellEnd"/>
      <w:r w:rsidR="0044542A" w:rsidRPr="00F45307">
        <w:rPr>
          <w:i/>
          <w:lang w:val="en-US"/>
        </w:rPr>
        <w:t xml:space="preserve"> and </w:t>
      </w:r>
      <w:proofErr w:type="spellStart"/>
      <w:r w:rsidR="0044542A" w:rsidRPr="00F45307">
        <w:rPr>
          <w:i/>
          <w:lang w:val="en-US"/>
        </w:rPr>
        <w:t>Anor</w:t>
      </w:r>
      <w:proofErr w:type="spellEnd"/>
      <w:r w:rsidR="0044542A" w:rsidRPr="00F45307">
        <w:rPr>
          <w:i/>
          <w:lang w:val="en-US"/>
        </w:rPr>
        <w:t xml:space="preserve"> v </w:t>
      </w:r>
      <w:proofErr w:type="spellStart"/>
      <w:r w:rsidR="0044542A" w:rsidRPr="00F45307">
        <w:rPr>
          <w:i/>
          <w:lang w:val="en-US"/>
        </w:rPr>
        <w:t>Veerasamy</w:t>
      </w:r>
      <w:proofErr w:type="spellEnd"/>
      <w:r w:rsidR="0044542A" w:rsidRPr="0044542A">
        <w:rPr>
          <w:lang w:val="en-US"/>
        </w:rPr>
        <w:t xml:space="preserve"> [2012 UKPC 13</w:t>
      </w:r>
      <w:r>
        <w:rPr>
          <w:lang w:val="en-US"/>
        </w:rPr>
        <w:t>)</w:t>
      </w:r>
      <w:r w:rsidR="0044542A" w:rsidRPr="0044542A">
        <w:rPr>
          <w:lang w:val="en-US"/>
        </w:rPr>
        <w:t>.</w:t>
      </w:r>
    </w:p>
    <w:p w:rsidR="00FF4A7D" w:rsidRDefault="00FF4A7D" w:rsidP="00FC63E2">
      <w:pPr>
        <w:pStyle w:val="JudgmentText"/>
        <w:rPr>
          <w:color w:val="333335"/>
          <w:lang w:val="en-US"/>
        </w:rPr>
      </w:pPr>
      <w:r w:rsidRPr="00FF4A7D">
        <w:rPr>
          <w:color w:val="333335"/>
          <w:lang w:val="en-US"/>
        </w:rPr>
        <w:t>Insofar therefore</w:t>
      </w:r>
      <w:r>
        <w:rPr>
          <w:color w:val="333335"/>
          <w:lang w:val="en-US"/>
        </w:rPr>
        <w:t>,</w:t>
      </w:r>
      <w:r w:rsidRPr="00FF4A7D">
        <w:rPr>
          <w:color w:val="333335"/>
          <w:lang w:val="en-US"/>
        </w:rPr>
        <w:t xml:space="preserve"> tha</w:t>
      </w:r>
      <w:r>
        <w:rPr>
          <w:color w:val="333335"/>
          <w:lang w:val="en-US"/>
        </w:rPr>
        <w:t>t</w:t>
      </w:r>
      <w:r w:rsidRPr="00FF4A7D">
        <w:rPr>
          <w:color w:val="333335"/>
          <w:lang w:val="en-US"/>
        </w:rPr>
        <w:t xml:space="preserve"> the </w:t>
      </w:r>
      <w:r w:rsidR="000B4D26">
        <w:rPr>
          <w:color w:val="333335"/>
          <w:lang w:val="en-US"/>
        </w:rPr>
        <w:t>respondent</w:t>
      </w:r>
      <w:r w:rsidRPr="00FF4A7D">
        <w:rPr>
          <w:color w:val="333335"/>
          <w:lang w:val="en-US"/>
        </w:rPr>
        <w:t xml:space="preserve"> o</w:t>
      </w:r>
      <w:r>
        <w:rPr>
          <w:color w:val="333335"/>
          <w:lang w:val="en-US"/>
        </w:rPr>
        <w:t>bjects</w:t>
      </w:r>
      <w:r w:rsidRPr="00FF4A7D">
        <w:rPr>
          <w:color w:val="333335"/>
          <w:lang w:val="en-US"/>
        </w:rPr>
        <w:t xml:space="preserve"> to the form </w:t>
      </w:r>
      <w:r>
        <w:rPr>
          <w:color w:val="333335"/>
          <w:lang w:val="en-US"/>
        </w:rPr>
        <w:t xml:space="preserve">by </w:t>
      </w:r>
      <w:r w:rsidRPr="00FF4A7D">
        <w:rPr>
          <w:color w:val="333335"/>
          <w:lang w:val="en-US"/>
        </w:rPr>
        <w:t xml:space="preserve">which these proceedings </w:t>
      </w:r>
      <w:proofErr w:type="spellStart"/>
      <w:r w:rsidR="00F45307">
        <w:rPr>
          <w:color w:val="333335"/>
          <w:lang w:val="en-US"/>
        </w:rPr>
        <w:t>are</w:t>
      </w:r>
      <w:r w:rsidR="00FD4D27">
        <w:rPr>
          <w:color w:val="333335"/>
          <w:lang w:val="en-US"/>
        </w:rPr>
        <w:t>brought</w:t>
      </w:r>
      <w:proofErr w:type="spellEnd"/>
      <w:r w:rsidRPr="00FF4A7D">
        <w:rPr>
          <w:color w:val="333335"/>
          <w:lang w:val="en-US"/>
        </w:rPr>
        <w:t xml:space="preserve"> I am of the view that these objections cannot be su</w:t>
      </w:r>
      <w:r>
        <w:rPr>
          <w:color w:val="333335"/>
          <w:lang w:val="en-US"/>
        </w:rPr>
        <w:t>s</w:t>
      </w:r>
      <w:r w:rsidRPr="00FF4A7D">
        <w:rPr>
          <w:color w:val="333335"/>
          <w:lang w:val="en-US"/>
        </w:rPr>
        <w:t xml:space="preserve">tained.  </w:t>
      </w:r>
    </w:p>
    <w:p w:rsidR="00FB5DA8" w:rsidRPr="00FB5DA8" w:rsidRDefault="00FB5DA8" w:rsidP="00FA604B">
      <w:pPr>
        <w:pStyle w:val="JudgmentText"/>
        <w:rPr>
          <w:color w:val="333335"/>
          <w:lang w:val="en-US"/>
        </w:rPr>
      </w:pPr>
      <w:r>
        <w:t>I now turn to the substantive issues raised by this application.</w:t>
      </w:r>
    </w:p>
    <w:p w:rsidR="00FA604B" w:rsidRPr="00FB5DA8" w:rsidRDefault="00FA604B" w:rsidP="00FA604B">
      <w:pPr>
        <w:pStyle w:val="JudgmentText"/>
        <w:rPr>
          <w:color w:val="333335"/>
          <w:lang w:val="en-US"/>
        </w:rPr>
      </w:pPr>
      <w:r>
        <w:t xml:space="preserve">Norwich </w:t>
      </w:r>
      <w:proofErr w:type="spellStart"/>
      <w:r>
        <w:t>Pharmacal</w:t>
      </w:r>
      <w:proofErr w:type="spellEnd"/>
      <w:r>
        <w:t xml:space="preserve"> Orders </w:t>
      </w:r>
      <w:r w:rsidR="00FB5DA8">
        <w:t xml:space="preserve">are </w:t>
      </w:r>
      <w:r>
        <w:t xml:space="preserve">grounded in equity </w:t>
      </w:r>
      <w:r w:rsidR="00FB5DA8">
        <w:t xml:space="preserve">and </w:t>
      </w:r>
      <w:r>
        <w:t xml:space="preserve">emanate from the case of </w:t>
      </w:r>
      <w:r w:rsidRPr="001E3E4F">
        <w:rPr>
          <w:i/>
        </w:rPr>
        <w:t xml:space="preserve">Norwich </w:t>
      </w:r>
      <w:proofErr w:type="spellStart"/>
      <w:r w:rsidRPr="001E3E4F">
        <w:rPr>
          <w:i/>
        </w:rPr>
        <w:t>Pharmacal</w:t>
      </w:r>
      <w:proofErr w:type="spellEnd"/>
      <w:r w:rsidRPr="001E3E4F">
        <w:rPr>
          <w:i/>
        </w:rPr>
        <w:t xml:space="preserve"> v Commissioners of Customs and Excise (1974) </w:t>
      </w:r>
      <w:r w:rsidRPr="001E3E4F">
        <w:t>AC 133</w:t>
      </w:r>
      <w:r>
        <w:t xml:space="preserve">. As is stated in </w:t>
      </w:r>
      <w:proofErr w:type="spellStart"/>
      <w:r w:rsidRPr="00FA604B">
        <w:rPr>
          <w:color w:val="333335"/>
        </w:rPr>
        <w:t>Halsbury's</w:t>
      </w:r>
      <w:proofErr w:type="spellEnd"/>
      <w:r w:rsidRPr="00FA604B">
        <w:rPr>
          <w:color w:val="333335"/>
        </w:rPr>
        <w:t xml:space="preserve"> Statutes </w:t>
      </w:r>
      <w:proofErr w:type="spellStart"/>
      <w:r w:rsidRPr="00FA604B">
        <w:rPr>
          <w:color w:val="333335"/>
        </w:rPr>
        <w:t>Vol</w:t>
      </w:r>
      <w:proofErr w:type="spellEnd"/>
      <w:r w:rsidRPr="00FA604B">
        <w:rPr>
          <w:color w:val="333335"/>
        </w:rPr>
        <w:t xml:space="preserve"> 11(3) (2013 reissue), </w:t>
      </w:r>
      <w:r>
        <w:rPr>
          <w:color w:val="333335"/>
        </w:rPr>
        <w:t>u</w:t>
      </w:r>
      <w:r w:rsidRPr="00FA604B">
        <w:t xml:space="preserve">nder the </w:t>
      </w:r>
      <w:r w:rsidRPr="00FA604B">
        <w:rPr>
          <w:i/>
        </w:rPr>
        <w:t xml:space="preserve">Norwich </w:t>
      </w:r>
      <w:proofErr w:type="spellStart"/>
      <w:r w:rsidRPr="00FA604B">
        <w:rPr>
          <w:i/>
        </w:rPr>
        <w:t>Pharmacal</w:t>
      </w:r>
      <w:proofErr w:type="spellEnd"/>
      <w:r w:rsidRPr="00FA604B">
        <w:t xml:space="preserve"> jurisdiction, where wrongdoing has, or is thought to have, occurred, upon an application by the claimant, a court may make an order compelling a third party who is involved in the wrongdoing, however innocently, to disclose any information that may be relevant to the case.</w:t>
      </w:r>
      <w:r>
        <w:t xml:space="preserve"> (</w:t>
      </w:r>
      <w:proofErr w:type="spellStart"/>
      <w:r w:rsidR="00477905">
        <w:t>See</w:t>
      </w:r>
      <w:r w:rsidRPr="00FA604B">
        <w:rPr>
          <w:color w:val="333335"/>
        </w:rPr>
        <w:t>title</w:t>
      </w:r>
      <w:proofErr w:type="spellEnd"/>
      <w:r w:rsidRPr="00FA604B">
        <w:rPr>
          <w:color w:val="333335"/>
        </w:rPr>
        <w:t xml:space="preserve"> Courts, Judgments and Legal </w:t>
      </w:r>
      <w:proofErr w:type="spellStart"/>
      <w:r w:rsidRPr="00FA604B">
        <w:rPr>
          <w:color w:val="333335"/>
        </w:rPr>
        <w:t>Services</w:t>
      </w:r>
      <w:r w:rsidR="00477905">
        <w:rPr>
          <w:color w:val="333335"/>
        </w:rPr>
        <w:t>and</w:t>
      </w:r>
      <w:proofErr w:type="spellEnd"/>
      <w:r w:rsidR="00477905">
        <w:rPr>
          <w:color w:val="333335"/>
        </w:rPr>
        <w:t xml:space="preserve"> s</w:t>
      </w:r>
      <w:r w:rsidRPr="00FA604B">
        <w:rPr>
          <w:color w:val="333335"/>
        </w:rPr>
        <w:t xml:space="preserve"> 20(1) and the note “Orders under this section”</w:t>
      </w:r>
      <w:r>
        <w:rPr>
          <w:color w:val="333335"/>
        </w:rPr>
        <w:t>).</w:t>
      </w:r>
    </w:p>
    <w:p w:rsidR="00FA604B" w:rsidRDefault="00FA604B" w:rsidP="00FA604B">
      <w:pPr>
        <w:pStyle w:val="JudgmentText"/>
      </w:pPr>
      <w:r>
        <w:t xml:space="preserve">The conditions which must be satisfied before a Norwich </w:t>
      </w:r>
      <w:proofErr w:type="spellStart"/>
      <w:r>
        <w:t>Pharmacal</w:t>
      </w:r>
      <w:proofErr w:type="spellEnd"/>
      <w:r>
        <w:t xml:space="preserve"> </w:t>
      </w:r>
      <w:r w:rsidR="00B5112F">
        <w:t>O</w:t>
      </w:r>
      <w:r>
        <w:t xml:space="preserve">rder may be granted were summarised by </w:t>
      </w:r>
      <w:proofErr w:type="spellStart"/>
      <w:r>
        <w:t>Lightman</w:t>
      </w:r>
      <w:proofErr w:type="spellEnd"/>
      <w:r>
        <w:t xml:space="preserve"> J in </w:t>
      </w:r>
      <w:r w:rsidRPr="00FA604B">
        <w:rPr>
          <w:i/>
        </w:rPr>
        <w:t xml:space="preserve">Mitsui &amp; Co Ltd v </w:t>
      </w:r>
      <w:proofErr w:type="spellStart"/>
      <w:r w:rsidRPr="00FA604B">
        <w:rPr>
          <w:i/>
        </w:rPr>
        <w:t>Nexen</w:t>
      </w:r>
      <w:proofErr w:type="spellEnd"/>
      <w:r w:rsidRPr="00FA604B">
        <w:rPr>
          <w:i/>
        </w:rPr>
        <w:t xml:space="preserve"> Petroleum UK Ltd</w:t>
      </w:r>
      <w:r w:rsidRPr="00212A3E">
        <w:t>[2005] EWHC 625 (Ch), [2005] 3 All ER 511 at 21</w:t>
      </w:r>
      <w:r>
        <w:t>, namely:</w:t>
      </w:r>
    </w:p>
    <w:p w:rsidR="00FA604B" w:rsidRDefault="00FA604B" w:rsidP="00FA604B">
      <w:pPr>
        <w:pStyle w:val="JudgmentText"/>
        <w:numPr>
          <w:ilvl w:val="0"/>
          <w:numId w:val="0"/>
        </w:numPr>
        <w:ind w:left="1440"/>
      </w:pPr>
      <w:r>
        <w:t>''(</w:t>
      </w:r>
      <w:proofErr w:type="spellStart"/>
      <w:r>
        <w:t>i</w:t>
      </w:r>
      <w:proofErr w:type="spellEnd"/>
      <w:r>
        <w:t>) a wrong must have been carried out, or arguably carried out, by an ultimate wrongdoer; (ii) there must be the need for an order to enable action to be brought against the ultimate wrongdoer; and (iii) the person against whom the order is sought must: (a) be mixed up in so as to have facilitated the wrongdoing; and (b) be able or likely to be able to provide the information necessary to enable the ultimate wrongdoer to be sued.''</w:t>
      </w:r>
    </w:p>
    <w:p w:rsidR="00FA604B" w:rsidRDefault="00FA604B" w:rsidP="00FA604B">
      <w:pPr>
        <w:pStyle w:val="JudgmentText"/>
      </w:pPr>
      <w:r w:rsidRPr="00FA604B">
        <w:t xml:space="preserve">Although </w:t>
      </w:r>
      <w:proofErr w:type="spellStart"/>
      <w:r w:rsidRPr="00FA604B">
        <w:t>Lightman</w:t>
      </w:r>
      <w:proofErr w:type="spellEnd"/>
      <w:r w:rsidRPr="00FA604B">
        <w:t xml:space="preserve"> J's formulation of the test refers to 'facilitation' of the wrongdoing, Mann J held in </w:t>
      </w:r>
      <w:r w:rsidRPr="003D6CD4">
        <w:rPr>
          <w:i/>
        </w:rPr>
        <w:t>Various Claimants v News Group Newspapers Ltd</w:t>
      </w:r>
      <w:r w:rsidRPr="00FA604B">
        <w:t xml:space="preserve"> [2014] 2 WLR 756., </w:t>
      </w:r>
      <w:r w:rsidRPr="00FA604B">
        <w:lastRenderedPageBreak/>
        <w:t>after a detailed review of the authorities, that the true principle is that the third party's engagement with the wrongdoing must have been such as to make him more than a mere witness, and that facilitation of the wrongdoing is just one way in which that test might be satisfied</w:t>
      </w:r>
      <w:r w:rsidR="003D6CD4">
        <w:t>.</w:t>
      </w:r>
    </w:p>
    <w:p w:rsidR="00366FF3" w:rsidRDefault="003D6CD4" w:rsidP="00FA604B">
      <w:pPr>
        <w:pStyle w:val="JudgmentText"/>
      </w:pPr>
      <w:r>
        <w:t xml:space="preserve">It is in the light of these propositions that I intend to examine the averments of the </w:t>
      </w:r>
      <w:r w:rsidR="000B4D26">
        <w:t>affidavit</w:t>
      </w:r>
      <w:r>
        <w:t xml:space="preserve">. </w:t>
      </w:r>
      <w:proofErr w:type="spellStart"/>
      <w:r w:rsidR="00366FF3">
        <w:t>Letm</w:t>
      </w:r>
      <w:r>
        <w:t>e</w:t>
      </w:r>
      <w:proofErr w:type="spellEnd"/>
      <w:r>
        <w:t xml:space="preserve"> s</w:t>
      </w:r>
      <w:r w:rsidR="00366FF3">
        <w:t>t</w:t>
      </w:r>
      <w:r>
        <w:t>ate categorically f</w:t>
      </w:r>
      <w:r w:rsidR="00366FF3">
        <w:t xml:space="preserve">rom the outset that the </w:t>
      </w:r>
      <w:r w:rsidR="00B5112F">
        <w:t>affidavit</w:t>
      </w:r>
      <w:r w:rsidR="00366FF3">
        <w:t xml:space="preserve"> supporting the appl</w:t>
      </w:r>
      <w:r w:rsidR="008C44C8">
        <w:t>i</w:t>
      </w:r>
      <w:r w:rsidR="00366FF3">
        <w:t>ca</w:t>
      </w:r>
      <w:r w:rsidR="008C44C8">
        <w:t>tion</w:t>
      </w:r>
      <w:r w:rsidR="00366FF3">
        <w:t xml:space="preserve"> is </w:t>
      </w:r>
      <w:r w:rsidR="008C44C8">
        <w:t>sadly</w:t>
      </w:r>
      <w:r w:rsidR="00366FF3">
        <w:t xml:space="preserve"> lacking </w:t>
      </w:r>
      <w:r w:rsidR="008C44C8">
        <w:t xml:space="preserve">in </w:t>
      </w:r>
      <w:r w:rsidR="00366FF3">
        <w:t xml:space="preserve">essential </w:t>
      </w:r>
      <w:r w:rsidR="008C44C8">
        <w:t>particulars</w:t>
      </w:r>
      <w:r w:rsidR="00366FF3">
        <w:t xml:space="preserve">. It is sketchy and </w:t>
      </w:r>
      <w:r w:rsidR="008C44C8">
        <w:t>does</w:t>
      </w:r>
      <w:r w:rsidR="00366FF3">
        <w:t xml:space="preserve"> not di</w:t>
      </w:r>
      <w:r w:rsidR="008C44C8">
        <w:t>s</w:t>
      </w:r>
      <w:r w:rsidR="00366FF3">
        <w:t>play ful</w:t>
      </w:r>
      <w:r w:rsidR="008C44C8">
        <w:t>l</w:t>
      </w:r>
      <w:r w:rsidR="00366FF3">
        <w:t xml:space="preserve"> and frank </w:t>
      </w:r>
      <w:proofErr w:type="spellStart"/>
      <w:r w:rsidR="008C44C8">
        <w:t>disclosure</w:t>
      </w:r>
      <w:r w:rsidR="00FD4D27">
        <w:t>by</w:t>
      </w:r>
      <w:proofErr w:type="spellEnd"/>
      <w:r w:rsidR="00FD4D27">
        <w:t xml:space="preserve"> the </w:t>
      </w:r>
      <w:proofErr w:type="spellStart"/>
      <w:r w:rsidR="00B5112F">
        <w:t>applicant</w:t>
      </w:r>
      <w:r w:rsidR="00366FF3">
        <w:t>which</w:t>
      </w:r>
      <w:proofErr w:type="spellEnd"/>
      <w:r w:rsidR="00366FF3">
        <w:t xml:space="preserve"> is re</w:t>
      </w:r>
      <w:r w:rsidR="008C44C8">
        <w:t>q</w:t>
      </w:r>
      <w:r w:rsidR="00366FF3">
        <w:t>uired for Ord</w:t>
      </w:r>
      <w:r w:rsidR="008C44C8">
        <w:t>e</w:t>
      </w:r>
      <w:r w:rsidR="00366FF3">
        <w:t>rs of this kind.</w:t>
      </w:r>
    </w:p>
    <w:p w:rsidR="00366FF3" w:rsidRDefault="00366FF3" w:rsidP="00FA604B">
      <w:pPr>
        <w:pStyle w:val="JudgmentText"/>
      </w:pPr>
      <w:r>
        <w:t>The following are the only essential averments sworn</w:t>
      </w:r>
      <w:r w:rsidR="00C169D2">
        <w:t xml:space="preserve"> by the </w:t>
      </w:r>
      <w:r w:rsidR="00B5112F">
        <w:t>applicant</w:t>
      </w:r>
      <w:r w:rsidR="00C169D2">
        <w:t>.</w:t>
      </w:r>
    </w:p>
    <w:p w:rsidR="00366FF3" w:rsidRDefault="00366FF3" w:rsidP="00366FF3">
      <w:pPr>
        <w:pStyle w:val="JudgmentText"/>
        <w:numPr>
          <w:ilvl w:val="1"/>
          <w:numId w:val="6"/>
        </w:numPr>
      </w:pPr>
      <w:r>
        <w:t xml:space="preserve">That based on information made available to the </w:t>
      </w:r>
      <w:r w:rsidR="00B5112F">
        <w:t>applicant</w:t>
      </w:r>
      <w:r>
        <w:t xml:space="preserve"> and from his own observation, extraordinary payments were made by the </w:t>
      </w:r>
      <w:r w:rsidR="00B5112F">
        <w:t>respondent</w:t>
      </w:r>
      <w:r>
        <w:t xml:space="preserve"> in the lead up to the December 2015 elections.</w:t>
      </w:r>
    </w:p>
    <w:p w:rsidR="003D6CD4" w:rsidRDefault="00366FF3" w:rsidP="00366FF3">
      <w:pPr>
        <w:pStyle w:val="JudgmentText"/>
        <w:numPr>
          <w:ilvl w:val="1"/>
          <w:numId w:val="6"/>
        </w:numPr>
      </w:pPr>
      <w:r>
        <w:t>That a letter dated 28</w:t>
      </w:r>
      <w:r w:rsidRPr="00366FF3">
        <w:rPr>
          <w:vertAlign w:val="superscript"/>
        </w:rPr>
        <w:t>th</w:t>
      </w:r>
      <w:r>
        <w:t xml:space="preserve"> December 2015 was sent to the </w:t>
      </w:r>
      <w:r w:rsidR="00B5112F">
        <w:t>respondent</w:t>
      </w:r>
      <w:r>
        <w:t xml:space="preserve"> requesting the information in respect of the payments.</w:t>
      </w:r>
    </w:p>
    <w:p w:rsidR="00366FF3" w:rsidRDefault="00366FF3" w:rsidP="00366FF3">
      <w:pPr>
        <w:pStyle w:val="JudgmentText"/>
        <w:numPr>
          <w:ilvl w:val="1"/>
          <w:numId w:val="6"/>
        </w:numPr>
      </w:pPr>
      <w:r>
        <w:t xml:space="preserve">That </w:t>
      </w:r>
      <w:r w:rsidR="008C44C8">
        <w:t>a response</w:t>
      </w:r>
      <w:r>
        <w:t xml:space="preserve"> to the le</w:t>
      </w:r>
      <w:r w:rsidR="008C44C8">
        <w:t>t</w:t>
      </w:r>
      <w:r>
        <w:t>ter was received.</w:t>
      </w:r>
    </w:p>
    <w:p w:rsidR="00366FF3" w:rsidRDefault="00366FF3" w:rsidP="00366FF3">
      <w:pPr>
        <w:pStyle w:val="JudgmentText"/>
        <w:numPr>
          <w:ilvl w:val="1"/>
          <w:numId w:val="6"/>
        </w:numPr>
      </w:pPr>
      <w:r>
        <w:t>That the information sought is relevant to prove the allegation made.</w:t>
      </w:r>
    </w:p>
    <w:p w:rsidR="00366FF3" w:rsidRPr="00FA604B" w:rsidRDefault="00366FF3" w:rsidP="00366FF3">
      <w:pPr>
        <w:pStyle w:val="JudgmentText"/>
        <w:numPr>
          <w:ilvl w:val="1"/>
          <w:numId w:val="6"/>
        </w:numPr>
      </w:pPr>
      <w:r>
        <w:t xml:space="preserve">That the </w:t>
      </w:r>
      <w:r w:rsidR="00B5112F">
        <w:t>respondent</w:t>
      </w:r>
      <w:r>
        <w:t xml:space="preserve"> may well be an innocent party to these payments</w:t>
      </w:r>
      <w:r w:rsidR="00F56F62">
        <w:t>.</w:t>
      </w:r>
    </w:p>
    <w:p w:rsidR="00CC0E07" w:rsidRPr="00CC0E07" w:rsidRDefault="00CC0E07" w:rsidP="00CC0E07">
      <w:pPr>
        <w:pStyle w:val="JudgmentText"/>
      </w:pPr>
      <w:r w:rsidRPr="00CC0E07">
        <w:t xml:space="preserve">One of basic tenets of a Norwich </w:t>
      </w:r>
      <w:proofErr w:type="spellStart"/>
      <w:r w:rsidRPr="00CC0E07">
        <w:t>Pharmacal</w:t>
      </w:r>
      <w:proofErr w:type="spellEnd"/>
      <w:r w:rsidRPr="00CC0E07">
        <w:t xml:space="preserve"> Order is that full and frank disclosure of all facts pertaining to the applicant’s case must be made. This is one of the traditional safe guards the courts have put in place for the protection of respondents. The applicant also has to show an extremely strong case given the draconian nature of the remedy. </w:t>
      </w:r>
    </w:p>
    <w:p w:rsidR="00FD4D27" w:rsidRDefault="00F56F62" w:rsidP="00212A3E">
      <w:pPr>
        <w:pStyle w:val="JudgmentText"/>
      </w:pPr>
      <w:r>
        <w:t xml:space="preserve">In respect of the </w:t>
      </w:r>
      <w:r w:rsidR="00FD4D27">
        <w:t xml:space="preserve">first averment as set out above, it is not stated what </w:t>
      </w:r>
      <w:proofErr w:type="spellStart"/>
      <w:r w:rsidR="00FD4D27">
        <w:t>informationwas</w:t>
      </w:r>
      <w:proofErr w:type="spellEnd"/>
      <w:r w:rsidR="00FD4D27">
        <w:t xml:space="preserve"> received by the </w:t>
      </w:r>
      <w:r w:rsidR="00B5112F">
        <w:t>applicant</w:t>
      </w:r>
      <w:r w:rsidR="00FD4D27">
        <w:t xml:space="preserve"> and what he observed and what payments were made or suspected to be made. </w:t>
      </w:r>
      <w:r w:rsidR="00C169D2">
        <w:t>This averment lacks detail</w:t>
      </w:r>
      <w:r w:rsidR="00AF31A1">
        <w:t>.</w:t>
      </w:r>
    </w:p>
    <w:p w:rsidR="00FA604B" w:rsidRDefault="00FD4D27" w:rsidP="00212A3E">
      <w:pPr>
        <w:pStyle w:val="JudgmentText"/>
      </w:pPr>
      <w:r>
        <w:lastRenderedPageBreak/>
        <w:t xml:space="preserve">In respect of the second and third averments </w:t>
      </w:r>
      <w:r w:rsidR="00C169D2">
        <w:t xml:space="preserve">the attachments show that </w:t>
      </w:r>
      <w:r>
        <w:t>the letter of 28</w:t>
      </w:r>
      <w:r w:rsidRPr="00FD4D27">
        <w:rPr>
          <w:vertAlign w:val="superscript"/>
        </w:rPr>
        <w:t>th</w:t>
      </w:r>
      <w:r>
        <w:t xml:space="preserve"> December was not sent to the </w:t>
      </w:r>
      <w:r w:rsidR="00B5112F">
        <w:t>respondent</w:t>
      </w:r>
      <w:r>
        <w:t xml:space="preserve"> but to a third party. </w:t>
      </w:r>
      <w:proofErr w:type="gramStart"/>
      <w:r>
        <w:t>Th</w:t>
      </w:r>
      <w:r w:rsidR="00C169D2">
        <w:t>ese</w:t>
      </w:r>
      <w:proofErr w:type="gramEnd"/>
      <w:r>
        <w:t xml:space="preserve"> </w:t>
      </w:r>
      <w:proofErr w:type="spellStart"/>
      <w:r>
        <w:t>averment</w:t>
      </w:r>
      <w:r w:rsidR="00C169D2">
        <w:t>s</w:t>
      </w:r>
      <w:r w:rsidR="00CC0E07">
        <w:t>lack</w:t>
      </w:r>
      <w:proofErr w:type="spellEnd"/>
      <w:r w:rsidR="00CC0E07">
        <w:t xml:space="preserve"> accuracy.</w:t>
      </w:r>
    </w:p>
    <w:p w:rsidR="005A0B73" w:rsidRDefault="00FD4D27" w:rsidP="00212A3E">
      <w:pPr>
        <w:pStyle w:val="JudgmentText"/>
      </w:pPr>
      <w:r>
        <w:t>In respect of the fourth averment</w:t>
      </w:r>
      <w:r w:rsidR="005A0B73">
        <w:t xml:space="preserve"> it is not explained how the information sought will prove the allegation that extraordinary payments were made.</w:t>
      </w:r>
      <w:r w:rsidR="00C169D2">
        <w:t xml:space="preserve"> This averment lacks detail.</w:t>
      </w:r>
    </w:p>
    <w:p w:rsidR="005A0B73" w:rsidRDefault="005A0B73" w:rsidP="00BC773E">
      <w:pPr>
        <w:pStyle w:val="JudgmentText"/>
      </w:pPr>
      <w:r>
        <w:t xml:space="preserve">In respect of the fifth averment an equivocal statement is made. </w:t>
      </w:r>
      <w:r w:rsidR="00C169D2">
        <w:t>This averment lacks accuracy.</w:t>
      </w:r>
    </w:p>
    <w:p w:rsidR="002E2115" w:rsidRDefault="002E2115" w:rsidP="002E2115">
      <w:pPr>
        <w:pStyle w:val="JudgmentText"/>
      </w:pPr>
      <w:r>
        <w:t xml:space="preserve">The learned Attorney-General has submitted that the information sought in this application case is linked to the election petition filed by the </w:t>
      </w:r>
      <w:r w:rsidR="000B4D26">
        <w:t>respondent</w:t>
      </w:r>
      <w:r>
        <w:t xml:space="preserve"> in CS1/2016 and relates to its paragraph 25 where it seeks to establish illegal practices by one of the </w:t>
      </w:r>
      <w:r w:rsidR="000B4D26">
        <w:t>respondent</w:t>
      </w:r>
      <w:r>
        <w:t xml:space="preserve">s in the election petition. </w:t>
      </w:r>
    </w:p>
    <w:p w:rsidR="002E2115" w:rsidRDefault="002E2115" w:rsidP="002E2115">
      <w:pPr>
        <w:pStyle w:val="JudgmentText"/>
      </w:pPr>
      <w:r>
        <w:t xml:space="preserve">The </w:t>
      </w:r>
      <w:r w:rsidR="00B5112F">
        <w:t>applicant</w:t>
      </w:r>
      <w:r>
        <w:t xml:space="preserve"> for this order has averred that the </w:t>
      </w:r>
      <w:r w:rsidR="000B4D26">
        <w:t>respondent</w:t>
      </w:r>
      <w:r>
        <w:t>, that is the Agency for Social Protection</w:t>
      </w:r>
      <w:r w:rsidR="00B5112F">
        <w:t>,</w:t>
      </w:r>
      <w:r>
        <w:t xml:space="preserve"> may well be an innocent party in this case. The inverse is also true, that is, that the </w:t>
      </w:r>
      <w:r w:rsidR="000B4D26">
        <w:t>respondent</w:t>
      </w:r>
      <w:r>
        <w:t xml:space="preserve"> and/or its employees may also be wrongdoers. In this respect, the learned Attorney General has submitted that Norwich </w:t>
      </w:r>
      <w:proofErr w:type="spellStart"/>
      <w:r>
        <w:t>Pharmacal</w:t>
      </w:r>
      <w:proofErr w:type="spellEnd"/>
      <w:r>
        <w:t xml:space="preserve"> orders are made against third parties who are mere witnesses not wrongdoers themselves.</w:t>
      </w:r>
    </w:p>
    <w:p w:rsidR="002E2115" w:rsidRDefault="002E2115" w:rsidP="00200A08">
      <w:pPr>
        <w:pStyle w:val="JudgmentText"/>
      </w:pPr>
      <w:r>
        <w:t xml:space="preserve">That may well have been the </w:t>
      </w:r>
      <w:r w:rsidR="00200A08">
        <w:t>position</w:t>
      </w:r>
      <w:r>
        <w:t xml:space="preserve"> when Lord Re</w:t>
      </w:r>
      <w:r w:rsidR="00200A08">
        <w:t>id</w:t>
      </w:r>
      <w:r>
        <w:t xml:space="preserve"> w</w:t>
      </w:r>
      <w:r w:rsidR="00200A08">
        <w:t>a</w:t>
      </w:r>
      <w:r>
        <w:t xml:space="preserve">s considering the </w:t>
      </w:r>
      <w:r w:rsidRPr="00200A08">
        <w:rPr>
          <w:i/>
        </w:rPr>
        <w:t xml:space="preserve">Norwich </w:t>
      </w:r>
      <w:proofErr w:type="spellStart"/>
      <w:r w:rsidRPr="00200A08">
        <w:rPr>
          <w:i/>
        </w:rPr>
        <w:t>Pharmac</w:t>
      </w:r>
      <w:r w:rsidR="00200A08">
        <w:rPr>
          <w:i/>
        </w:rPr>
        <w:t>a</w:t>
      </w:r>
      <w:r w:rsidRPr="00200A08">
        <w:rPr>
          <w:i/>
        </w:rPr>
        <w:t>l</w:t>
      </w:r>
      <w:proofErr w:type="spellEnd"/>
      <w:r w:rsidRPr="00200A08">
        <w:rPr>
          <w:i/>
        </w:rPr>
        <w:t xml:space="preserve"> </w:t>
      </w:r>
      <w:r>
        <w:t>case (supra</w:t>
      </w:r>
      <w:r w:rsidR="00200A08">
        <w:t>)</w:t>
      </w:r>
      <w:r>
        <w:t xml:space="preserve"> itself. The courts ha</w:t>
      </w:r>
      <w:r w:rsidR="00200A08">
        <w:t>v</w:t>
      </w:r>
      <w:r>
        <w:t xml:space="preserve">e </w:t>
      </w:r>
      <w:r w:rsidR="00B5112F">
        <w:t xml:space="preserve">however </w:t>
      </w:r>
      <w:r w:rsidR="00200A08">
        <w:t>been</w:t>
      </w:r>
      <w:r>
        <w:t xml:space="preserve"> very flexible in granting such ord</w:t>
      </w:r>
      <w:r w:rsidR="00200A08">
        <w:t>e</w:t>
      </w:r>
      <w:r>
        <w:t xml:space="preserve">rs and </w:t>
      </w:r>
      <w:proofErr w:type="spellStart"/>
      <w:r>
        <w:t>ca</w:t>
      </w:r>
      <w:r w:rsidR="00200A08">
        <w:t>sedevelopment</w:t>
      </w:r>
      <w:proofErr w:type="spellEnd"/>
      <w:r>
        <w:t xml:space="preserve"> has resulted in the approach now being </w:t>
      </w:r>
      <w:r w:rsidR="00200A08">
        <w:t>that the</w:t>
      </w:r>
      <w:r w:rsidRPr="002E2115">
        <w:t xml:space="preserve"> third party from whom information sought not</w:t>
      </w:r>
      <w:r w:rsidR="00B5112F">
        <w:t xml:space="preserve"> necessarily being</w:t>
      </w:r>
      <w:r w:rsidRPr="002E2115">
        <w:t xml:space="preserve"> an innocent third party: he may be a wrongdoer himself</w:t>
      </w:r>
      <w:r w:rsidR="00200A08">
        <w:t xml:space="preserve"> (</w:t>
      </w:r>
      <w:r w:rsidRPr="002E2115">
        <w:t xml:space="preserve">see </w:t>
      </w:r>
      <w:r w:rsidRPr="002E2115">
        <w:rPr>
          <w:i/>
        </w:rPr>
        <w:t>CHC Software Care v. Hopkins and Wood</w:t>
      </w:r>
      <w:r w:rsidRPr="002E2115">
        <w:t xml:space="preserve"> [1993] FSR 241</w:t>
      </w:r>
      <w:proofErr w:type="gramStart"/>
      <w:r w:rsidR="00200A08">
        <w:t>,</w:t>
      </w:r>
      <w:r w:rsidR="00200A08" w:rsidRPr="00200A08">
        <w:rPr>
          <w:i/>
        </w:rPr>
        <w:t>Arsenal</w:t>
      </w:r>
      <w:proofErr w:type="gramEnd"/>
      <w:r w:rsidR="00200A08" w:rsidRPr="00200A08">
        <w:rPr>
          <w:i/>
        </w:rPr>
        <w:t xml:space="preserve"> Football Club PLC v Elite Sports</w:t>
      </w:r>
      <w:r w:rsidR="00200A08" w:rsidRPr="00200A08">
        <w:t xml:space="preserve"> [2003] FSR 26</w:t>
      </w:r>
      <w:r w:rsidR="00200A08">
        <w:t>)</w:t>
      </w:r>
      <w:r w:rsidR="00200A08" w:rsidRPr="00200A08">
        <w:t>.</w:t>
      </w:r>
    </w:p>
    <w:p w:rsidR="00153F58" w:rsidRDefault="00200A08" w:rsidP="00212A3E">
      <w:pPr>
        <w:pStyle w:val="JudgmentText"/>
      </w:pPr>
      <w:r>
        <w:t xml:space="preserve">However, two matters weigh against the granting of the Order. </w:t>
      </w:r>
    </w:p>
    <w:p w:rsidR="00F71527" w:rsidRDefault="00007EA8" w:rsidP="00F71527">
      <w:pPr>
        <w:pStyle w:val="JudgmentText"/>
      </w:pPr>
      <w:r>
        <w:t>Firstly, i</w:t>
      </w:r>
      <w:r w:rsidR="00F71527">
        <w:t>n  dismissing the application for a disclos</w:t>
      </w:r>
      <w:r>
        <w:t>ure</w:t>
      </w:r>
      <w:r w:rsidR="00F71527">
        <w:t xml:space="preserve"> order in </w:t>
      </w:r>
      <w:r w:rsidR="00F71527" w:rsidRPr="00F71527">
        <w:rPr>
          <w:i/>
        </w:rPr>
        <w:t>Mitsui &amp; Co Ltd</w:t>
      </w:r>
      <w:r w:rsidR="00F71527">
        <w:t xml:space="preserve"> (supra) </w:t>
      </w:r>
      <w:proofErr w:type="spellStart"/>
      <w:r w:rsidR="00F71527">
        <w:t>Lightman</w:t>
      </w:r>
      <w:proofErr w:type="spellEnd"/>
      <w:r w:rsidR="00F71527">
        <w:t xml:space="preserve"> J stated that since the Norwich </w:t>
      </w:r>
      <w:proofErr w:type="spellStart"/>
      <w:r w:rsidR="00F71527">
        <w:t>Pharmacal</w:t>
      </w:r>
      <w:proofErr w:type="spellEnd"/>
      <w:r w:rsidR="00F71527">
        <w:t xml:space="preserve"> Order is a remedy of last resort there must be a necessity to grant the order, in that :</w:t>
      </w:r>
    </w:p>
    <w:p w:rsidR="00F71527" w:rsidRDefault="00F71527" w:rsidP="00F71527">
      <w:pPr>
        <w:pStyle w:val="JudgmentText"/>
        <w:numPr>
          <w:ilvl w:val="0"/>
          <w:numId w:val="0"/>
        </w:numPr>
        <w:ind w:left="1440"/>
      </w:pPr>
      <w:r>
        <w:lastRenderedPageBreak/>
        <w:t>“[t]</w:t>
      </w:r>
      <w:r w:rsidRPr="00F71527">
        <w:t>he necessity required to justify exercise of this intrusive jurisdiction is a necessity arising from the absence of any other practicable means of obtaining the essential information.</w:t>
      </w:r>
      <w:r>
        <w:t>”</w:t>
      </w:r>
    </w:p>
    <w:p w:rsidR="00F71527" w:rsidRDefault="00F71527" w:rsidP="00F71527">
      <w:pPr>
        <w:pStyle w:val="JudgmentText"/>
      </w:pPr>
      <w:r>
        <w:t xml:space="preserve">Learned counsel for the </w:t>
      </w:r>
      <w:r w:rsidR="00B5112F">
        <w:t>applicant</w:t>
      </w:r>
      <w:r>
        <w:t>, Mr. Georges has himself admitted that he can think of two ways of obtaining the information</w:t>
      </w:r>
      <w:r w:rsidR="00AE557A">
        <w:t xml:space="preserve"> he needs</w:t>
      </w:r>
      <w:r>
        <w:t xml:space="preserve">. </w:t>
      </w:r>
      <w:r w:rsidR="00007EA8">
        <w:t xml:space="preserve">I dare say that the </w:t>
      </w:r>
      <w:r w:rsidR="0069176C">
        <w:t>most obvious</w:t>
      </w:r>
      <w:r w:rsidR="00007EA8">
        <w:t xml:space="preserve"> way of obtaining </w:t>
      </w:r>
      <w:r w:rsidR="0069176C">
        <w:t>the information</w:t>
      </w:r>
      <w:r>
        <w:t xml:space="preserve"> sought </w:t>
      </w:r>
      <w:r w:rsidR="00007EA8">
        <w:t>is</w:t>
      </w:r>
      <w:r>
        <w:t xml:space="preserve"> by writing to the </w:t>
      </w:r>
      <w:r w:rsidR="000B4D26">
        <w:t>respondent</w:t>
      </w:r>
      <w:r>
        <w:t xml:space="preserve">. This has not been done. </w:t>
      </w:r>
      <w:r w:rsidR="0069176C">
        <w:t xml:space="preserve">Another way is by summoning the party to give evidence. Given these alternatives and others, </w:t>
      </w:r>
      <w:r>
        <w:t xml:space="preserve">the application for a Norwich </w:t>
      </w:r>
      <w:proofErr w:type="spellStart"/>
      <w:r>
        <w:t>Pharmacal</w:t>
      </w:r>
      <w:proofErr w:type="spellEnd"/>
      <w:r>
        <w:t xml:space="preserve"> Order </w:t>
      </w:r>
      <w:r w:rsidR="00AE557A">
        <w:t xml:space="preserve">in this case </w:t>
      </w:r>
      <w:r>
        <w:t xml:space="preserve">may be akin to using a sledgehammer to crack a </w:t>
      </w:r>
      <w:proofErr w:type="gramStart"/>
      <w:r>
        <w:t>nut,</w:t>
      </w:r>
      <w:proofErr w:type="gramEnd"/>
      <w:r>
        <w:t xml:space="preserve"> a precedent which if set will result in the court being flooded with such applications where parties simply absolve themselves of the need for pre-litigation work.</w:t>
      </w:r>
    </w:p>
    <w:p w:rsidR="000A60B5" w:rsidRDefault="00200A08" w:rsidP="000A60B5">
      <w:pPr>
        <w:pStyle w:val="JudgmentText"/>
      </w:pPr>
      <w:r>
        <w:t>Secondly, as has been submitted by the learned Attorney General</w:t>
      </w:r>
      <w:r w:rsidR="0069176C">
        <w:t>,</w:t>
      </w:r>
      <w:r>
        <w:t xml:space="preserve"> given the sketchy </w:t>
      </w:r>
      <w:r w:rsidR="000B4D26">
        <w:t>affidavit</w:t>
      </w:r>
      <w:r>
        <w:t xml:space="preserve"> and the lack of cogent inf</w:t>
      </w:r>
      <w:bookmarkStart w:id="13" w:name="_GoBack"/>
      <w:r>
        <w:t>ormation and full and frank disclosure it may well be that th</w:t>
      </w:r>
      <w:r w:rsidR="00007EA8">
        <w:t>is</w:t>
      </w:r>
      <w:r>
        <w:t xml:space="preserve"> application </w:t>
      </w:r>
      <w:r w:rsidR="00304256">
        <w:t>is</w:t>
      </w:r>
      <w:r>
        <w:t xml:space="preserve"> a fishing expedition</w:t>
      </w:r>
      <w:bookmarkEnd w:id="13"/>
      <w:r w:rsidR="000A60B5">
        <w:t xml:space="preserve">, an enterprise not permitted </w:t>
      </w:r>
      <w:r w:rsidR="000B4D26">
        <w:t>for orders</w:t>
      </w:r>
      <w:r w:rsidR="000A60B5">
        <w:t xml:space="preserve"> of this nature (see </w:t>
      </w:r>
      <w:proofErr w:type="spellStart"/>
      <w:r w:rsidR="000B4D26" w:rsidRPr="00254A1C">
        <w:rPr>
          <w:i/>
        </w:rPr>
        <w:t>Axa</w:t>
      </w:r>
      <w:proofErr w:type="spellEnd"/>
      <w:r w:rsidR="000B4D26" w:rsidRPr="00254A1C">
        <w:rPr>
          <w:i/>
        </w:rPr>
        <w:t xml:space="preserve"> Equity and Law Life Assurance Society </w:t>
      </w:r>
      <w:r w:rsidR="00304256">
        <w:rPr>
          <w:i/>
        </w:rPr>
        <w:t>P</w:t>
      </w:r>
      <w:r w:rsidR="000B4D26" w:rsidRPr="00254A1C">
        <w:rPr>
          <w:i/>
        </w:rPr>
        <w:t xml:space="preserve">lc and others v National Westminster Bank </w:t>
      </w:r>
      <w:r w:rsidR="000B4D26">
        <w:rPr>
          <w:i/>
        </w:rPr>
        <w:t>(PLC</w:t>
      </w:r>
      <w:proofErr w:type="gramStart"/>
      <w:r w:rsidR="000B4D26" w:rsidRPr="000A60B5">
        <w:t>)[</w:t>
      </w:r>
      <w:proofErr w:type="gramEnd"/>
      <w:r w:rsidR="000B4D26" w:rsidRPr="000A60B5">
        <w:t>1998] CLC 1177</w:t>
      </w:r>
      <w:r w:rsidR="000B4D26">
        <w:t xml:space="preserve">, </w:t>
      </w:r>
      <w:r w:rsidR="000A60B5" w:rsidRPr="000B4D26">
        <w:rPr>
          <w:i/>
        </w:rPr>
        <w:t xml:space="preserve">Arab Satellite Communications Organisation v Al </w:t>
      </w:r>
      <w:proofErr w:type="spellStart"/>
      <w:r w:rsidR="000A60B5" w:rsidRPr="000B4D26">
        <w:rPr>
          <w:i/>
        </w:rPr>
        <w:t>Faqih</w:t>
      </w:r>
      <w:proofErr w:type="spellEnd"/>
      <w:r w:rsidR="000A60B5" w:rsidRPr="000B4D26">
        <w:rPr>
          <w:i/>
        </w:rPr>
        <w:t xml:space="preserve"> &amp; </w:t>
      </w:r>
      <w:proofErr w:type="spellStart"/>
      <w:r w:rsidR="000A60B5" w:rsidRPr="000B4D26">
        <w:rPr>
          <w:i/>
        </w:rPr>
        <w:t>Anor</w:t>
      </w:r>
      <w:proofErr w:type="spellEnd"/>
      <w:r w:rsidR="000A60B5" w:rsidRPr="000A60B5">
        <w:t xml:space="preserve"> [2008] EWHC 2568</w:t>
      </w:r>
      <w:r w:rsidR="000A60B5">
        <w:t>,</w:t>
      </w:r>
      <w:r w:rsidR="000A60B5" w:rsidRPr="000A60B5">
        <w:t xml:space="preserve"> QB</w:t>
      </w:r>
      <w:r w:rsidR="000B4D26">
        <w:t>).</w:t>
      </w:r>
    </w:p>
    <w:p w:rsidR="00007EA8" w:rsidRDefault="0069176C" w:rsidP="000A60B5">
      <w:pPr>
        <w:pStyle w:val="JudgmentText"/>
      </w:pPr>
      <w:r>
        <w:t>The application in this case</w:t>
      </w:r>
      <w:r w:rsidR="00007EA8">
        <w:t xml:space="preserve"> is far from what was conceived in the original </w:t>
      </w:r>
      <w:r w:rsidR="00007EA8" w:rsidRPr="00007EA8">
        <w:t xml:space="preserve">Norwich </w:t>
      </w:r>
      <w:proofErr w:type="spellStart"/>
      <w:r w:rsidR="00007EA8" w:rsidRPr="00007EA8">
        <w:t>Pharmacal</w:t>
      </w:r>
      <w:proofErr w:type="spellEnd"/>
      <w:r w:rsidR="00007EA8" w:rsidRPr="00007EA8">
        <w:t xml:space="preserve"> Order</w:t>
      </w:r>
      <w:r w:rsidR="00007EA8">
        <w:t xml:space="preserve">. </w:t>
      </w:r>
      <w:r w:rsidR="000B4D26">
        <w:t>I</w:t>
      </w:r>
      <w:r w:rsidR="00007EA8" w:rsidRPr="00007EA8">
        <w:t xml:space="preserve">n that case the </w:t>
      </w:r>
      <w:r w:rsidR="00B5112F">
        <w:t>applicant</w:t>
      </w:r>
      <w:r>
        <w:t xml:space="preserve">s </w:t>
      </w:r>
      <w:r w:rsidR="00007EA8" w:rsidRPr="00007EA8">
        <w:t xml:space="preserve">could not sue the infringers because they did not know who they were, and all they wanted was names and addresses. Here the </w:t>
      </w:r>
      <w:r w:rsidR="00B5112F">
        <w:t>applicant</w:t>
      </w:r>
      <w:r w:rsidR="00007EA8">
        <w:t>s</w:t>
      </w:r>
      <w:r w:rsidR="00007EA8" w:rsidRPr="00007EA8">
        <w:t xml:space="preserve"> know the alleged </w:t>
      </w:r>
      <w:proofErr w:type="spellStart"/>
      <w:r w:rsidR="00007EA8" w:rsidRPr="00007EA8">
        <w:t>tortfeasors</w:t>
      </w:r>
      <w:proofErr w:type="spellEnd"/>
      <w:r w:rsidR="00007EA8">
        <w:t xml:space="preserve">. They want to assess if the information is enough to sustain a case being made out against a </w:t>
      </w:r>
      <w:r w:rsidR="000B4D26">
        <w:t>respondent</w:t>
      </w:r>
      <w:r w:rsidR="00007EA8">
        <w:t xml:space="preserve"> in an </w:t>
      </w:r>
      <w:proofErr w:type="spellStart"/>
      <w:r>
        <w:t>e</w:t>
      </w:r>
      <w:r w:rsidR="00007EA8">
        <w:t>lecti</w:t>
      </w:r>
      <w:r>
        <w:t>o</w:t>
      </w:r>
      <w:r w:rsidR="00007EA8">
        <w:t>npet</w:t>
      </w:r>
      <w:r>
        <w:t>ition</w:t>
      </w:r>
      <w:proofErr w:type="spellEnd"/>
      <w:r>
        <w:t>.</w:t>
      </w:r>
      <w:r w:rsidR="000B4D26">
        <w:t xml:space="preserve"> It is clearly a fishing expedition.</w:t>
      </w:r>
    </w:p>
    <w:p w:rsidR="000B4D26" w:rsidRDefault="000B4D26" w:rsidP="000A60B5">
      <w:pPr>
        <w:pStyle w:val="JudgmentText"/>
      </w:pPr>
      <w:r>
        <w:t>For these reasons, the application is refused with costs.</w:t>
      </w:r>
    </w:p>
    <w:p w:rsidR="00E6492F" w:rsidRPr="001E3E4F" w:rsidRDefault="00D069EE" w:rsidP="00212A3E">
      <w:pPr>
        <w:pStyle w:val="JudgmentText"/>
        <w:numPr>
          <w:ilvl w:val="0"/>
          <w:numId w:val="0"/>
        </w:numPr>
        <w:ind w:left="720" w:hanging="720"/>
      </w:pPr>
      <w:r w:rsidRPr="001E3E4F">
        <w:rPr>
          <w:highlight w:val="lightGray"/>
        </w:rPr>
        <w:fldChar w:fldCharType="begin"/>
      </w:r>
      <w:r w:rsidRPr="001E3E4F">
        <w:rPr>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952BFE" w:rsidRDefault="00952BFE" w:rsidP="001E4ED8">
      <w:pPr>
        <w:pStyle w:val="ListParagraph"/>
        <w:widowControl/>
        <w:autoSpaceDE/>
        <w:autoSpaceDN/>
        <w:adjustRightInd/>
        <w:spacing w:after="240" w:line="360" w:lineRule="auto"/>
        <w:ind w:left="0"/>
        <w:contextualSpacing w:val="0"/>
        <w:jc w:val="both"/>
        <w:rPr>
          <w:sz w:val="24"/>
          <w:szCs w:val="24"/>
        </w:rPr>
      </w:pPr>
    </w:p>
    <w:p w:rsidR="00952BFE" w:rsidRDefault="00952BFE" w:rsidP="001E4ED8">
      <w:pPr>
        <w:pStyle w:val="ListParagraph"/>
        <w:widowControl/>
        <w:autoSpaceDE/>
        <w:autoSpaceDN/>
        <w:adjustRightInd/>
        <w:spacing w:after="240" w:line="360" w:lineRule="auto"/>
        <w:ind w:left="0"/>
        <w:contextualSpacing w:val="0"/>
        <w:jc w:val="both"/>
        <w:rPr>
          <w:sz w:val="24"/>
          <w:szCs w:val="24"/>
        </w:rPr>
        <w:sectPr w:rsidR="00952BFE"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0B4D26">
        <w:rPr>
          <w:sz w:val="24"/>
          <w:szCs w:val="24"/>
        </w:rPr>
        <w:t>15</w:t>
      </w:r>
      <w:r w:rsidR="000B4D26" w:rsidRPr="000B4D26">
        <w:rPr>
          <w:sz w:val="24"/>
          <w:szCs w:val="24"/>
          <w:vertAlign w:val="superscript"/>
        </w:rPr>
        <w:t>th</w:t>
      </w:r>
      <w:r w:rsidR="000B4D26">
        <w:rPr>
          <w:sz w:val="24"/>
          <w:szCs w:val="24"/>
        </w:rPr>
        <w:t xml:space="preserve"> February 2016.</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7C0AD9" w:rsidRDefault="007C0AD9" w:rsidP="0006489F">
      <w:pPr>
        <w:pStyle w:val="ListParagraph"/>
        <w:widowControl/>
        <w:autoSpaceDE/>
        <w:autoSpaceDN/>
        <w:adjustRightInd/>
        <w:ind w:left="0"/>
        <w:contextualSpacing w:val="0"/>
        <w:jc w:val="both"/>
        <w:rPr>
          <w:b/>
          <w:sz w:val="24"/>
          <w:szCs w:val="24"/>
        </w:rPr>
      </w:pPr>
      <w:r>
        <w:rPr>
          <w:b/>
          <w:sz w:val="24"/>
          <w:szCs w:val="24"/>
        </w:rPr>
        <w:t>M. TWOMEY</w:t>
      </w:r>
    </w:p>
    <w:bookmarkStart w:id="14" w:name="Dropdown7"/>
    <w:p w:rsidR="009E05E5" w:rsidRPr="00E33F35" w:rsidRDefault="00D069EE"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4"/>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539" w:rsidRDefault="00F50539" w:rsidP="00DB6D34">
      <w:r>
        <w:separator/>
      </w:r>
    </w:p>
  </w:endnote>
  <w:endnote w:type="continuationSeparator" w:id="1">
    <w:p w:rsidR="00F50539" w:rsidRDefault="00F5053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069EE">
    <w:pPr>
      <w:pStyle w:val="Footer"/>
      <w:jc w:val="center"/>
    </w:pPr>
    <w:r>
      <w:fldChar w:fldCharType="begin"/>
    </w:r>
    <w:r w:rsidR="00BC46D7">
      <w:instrText xml:space="preserve"> PAGE   \* MERGEFORMAT </w:instrText>
    </w:r>
    <w:r>
      <w:fldChar w:fldCharType="separate"/>
    </w:r>
    <w:r w:rsidR="00BE341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539" w:rsidRDefault="00F50539" w:rsidP="00DB6D34">
      <w:r>
        <w:separator/>
      </w:r>
    </w:p>
  </w:footnote>
  <w:footnote w:type="continuationSeparator" w:id="1">
    <w:p w:rsidR="00F50539" w:rsidRDefault="00F5053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3F482E1A"/>
    <w:lvl w:ilvl="0">
      <w:start w:val="1"/>
      <w:numFmt w:val="decimal"/>
      <w:pStyle w:val="JudgmentText"/>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7C0AD9"/>
    <w:rsid w:val="00004FA7"/>
    <w:rsid w:val="00005BEF"/>
    <w:rsid w:val="00007EA8"/>
    <w:rsid w:val="000105E5"/>
    <w:rsid w:val="0002497E"/>
    <w:rsid w:val="00030BA1"/>
    <w:rsid w:val="00030C81"/>
    <w:rsid w:val="0006489F"/>
    <w:rsid w:val="00075573"/>
    <w:rsid w:val="00091036"/>
    <w:rsid w:val="00097B63"/>
    <w:rsid w:val="000A02CF"/>
    <w:rsid w:val="000A10B8"/>
    <w:rsid w:val="000A3753"/>
    <w:rsid w:val="000A60B5"/>
    <w:rsid w:val="000B4D26"/>
    <w:rsid w:val="000D1DD3"/>
    <w:rsid w:val="000E39A5"/>
    <w:rsid w:val="000E7400"/>
    <w:rsid w:val="001008BC"/>
    <w:rsid w:val="00101D12"/>
    <w:rsid w:val="00117CBF"/>
    <w:rsid w:val="00126A10"/>
    <w:rsid w:val="001376AB"/>
    <w:rsid w:val="00144612"/>
    <w:rsid w:val="00153F58"/>
    <w:rsid w:val="0016510C"/>
    <w:rsid w:val="00170D0E"/>
    <w:rsid w:val="00171F06"/>
    <w:rsid w:val="00180158"/>
    <w:rsid w:val="00185139"/>
    <w:rsid w:val="00186F92"/>
    <w:rsid w:val="001E3539"/>
    <w:rsid w:val="001E3E4F"/>
    <w:rsid w:val="001E4ED8"/>
    <w:rsid w:val="001E576A"/>
    <w:rsid w:val="001F332C"/>
    <w:rsid w:val="00200A08"/>
    <w:rsid w:val="0020244B"/>
    <w:rsid w:val="00212A3E"/>
    <w:rsid w:val="00231C17"/>
    <w:rsid w:val="00236AAC"/>
    <w:rsid w:val="0024353F"/>
    <w:rsid w:val="00254A1C"/>
    <w:rsid w:val="00270E65"/>
    <w:rsid w:val="00290E14"/>
    <w:rsid w:val="002A7376"/>
    <w:rsid w:val="002A7C2F"/>
    <w:rsid w:val="002B2255"/>
    <w:rsid w:val="002C7560"/>
    <w:rsid w:val="002D06AA"/>
    <w:rsid w:val="002D67FC"/>
    <w:rsid w:val="002E2115"/>
    <w:rsid w:val="002E6963"/>
    <w:rsid w:val="002F40A1"/>
    <w:rsid w:val="00301D88"/>
    <w:rsid w:val="00304256"/>
    <w:rsid w:val="00304E76"/>
    <w:rsid w:val="00333723"/>
    <w:rsid w:val="00356EBD"/>
    <w:rsid w:val="003647E7"/>
    <w:rsid w:val="00365043"/>
    <w:rsid w:val="00366FF3"/>
    <w:rsid w:val="0037270D"/>
    <w:rsid w:val="00377341"/>
    <w:rsid w:val="003838CC"/>
    <w:rsid w:val="003862CB"/>
    <w:rsid w:val="0038700C"/>
    <w:rsid w:val="003B461C"/>
    <w:rsid w:val="003B4C19"/>
    <w:rsid w:val="003D58AA"/>
    <w:rsid w:val="003D6CD4"/>
    <w:rsid w:val="003D7B97"/>
    <w:rsid w:val="003E2ABC"/>
    <w:rsid w:val="003F0F8D"/>
    <w:rsid w:val="004156B9"/>
    <w:rsid w:val="004325F2"/>
    <w:rsid w:val="00435EA0"/>
    <w:rsid w:val="0044542A"/>
    <w:rsid w:val="00445BFA"/>
    <w:rsid w:val="00452BB6"/>
    <w:rsid w:val="0046133B"/>
    <w:rsid w:val="004706DB"/>
    <w:rsid w:val="004755B3"/>
    <w:rsid w:val="00477905"/>
    <w:rsid w:val="004873AB"/>
    <w:rsid w:val="004B4DD4"/>
    <w:rsid w:val="004C3D80"/>
    <w:rsid w:val="004F2189"/>
    <w:rsid w:val="004F3823"/>
    <w:rsid w:val="005207C8"/>
    <w:rsid w:val="00530663"/>
    <w:rsid w:val="005460DE"/>
    <w:rsid w:val="0055036F"/>
    <w:rsid w:val="005514D6"/>
    <w:rsid w:val="00552704"/>
    <w:rsid w:val="00572AB3"/>
    <w:rsid w:val="005836AC"/>
    <w:rsid w:val="00584583"/>
    <w:rsid w:val="00594FAC"/>
    <w:rsid w:val="005A0B73"/>
    <w:rsid w:val="005D7F11"/>
    <w:rsid w:val="005F5FB0"/>
    <w:rsid w:val="005F6046"/>
    <w:rsid w:val="00606587"/>
    <w:rsid w:val="00606EEA"/>
    <w:rsid w:val="006174DB"/>
    <w:rsid w:val="00621984"/>
    <w:rsid w:val="0064023C"/>
    <w:rsid w:val="006578C2"/>
    <w:rsid w:val="00666D33"/>
    <w:rsid w:val="0069176C"/>
    <w:rsid w:val="006A2C88"/>
    <w:rsid w:val="006A58E4"/>
    <w:rsid w:val="006D36C9"/>
    <w:rsid w:val="006F1B70"/>
    <w:rsid w:val="007069D9"/>
    <w:rsid w:val="007175A6"/>
    <w:rsid w:val="007260C6"/>
    <w:rsid w:val="00744508"/>
    <w:rsid w:val="007820CB"/>
    <w:rsid w:val="00792B9E"/>
    <w:rsid w:val="007A47DC"/>
    <w:rsid w:val="007B6178"/>
    <w:rsid w:val="007C0AD9"/>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C44C8"/>
    <w:rsid w:val="008C7319"/>
    <w:rsid w:val="008E1DB1"/>
    <w:rsid w:val="008E512C"/>
    <w:rsid w:val="008E7749"/>
    <w:rsid w:val="008E7F92"/>
    <w:rsid w:val="008F0C10"/>
    <w:rsid w:val="008F311B"/>
    <w:rsid w:val="008F38F7"/>
    <w:rsid w:val="00900EA5"/>
    <w:rsid w:val="00902D3C"/>
    <w:rsid w:val="009162CE"/>
    <w:rsid w:val="00922CDD"/>
    <w:rsid w:val="00926D09"/>
    <w:rsid w:val="009336BA"/>
    <w:rsid w:val="00937FB4"/>
    <w:rsid w:val="0094087C"/>
    <w:rsid w:val="00951EC0"/>
    <w:rsid w:val="00952BFE"/>
    <w:rsid w:val="0096041D"/>
    <w:rsid w:val="00981287"/>
    <w:rsid w:val="00983045"/>
    <w:rsid w:val="0099672E"/>
    <w:rsid w:val="009D15F5"/>
    <w:rsid w:val="009E05E5"/>
    <w:rsid w:val="009E7A41"/>
    <w:rsid w:val="009F1B68"/>
    <w:rsid w:val="009F4DC4"/>
    <w:rsid w:val="00A11166"/>
    <w:rsid w:val="00A14038"/>
    <w:rsid w:val="00A3626F"/>
    <w:rsid w:val="00A40333"/>
    <w:rsid w:val="00A42850"/>
    <w:rsid w:val="00A53837"/>
    <w:rsid w:val="00A80E4E"/>
    <w:rsid w:val="00AB1DE9"/>
    <w:rsid w:val="00AC3885"/>
    <w:rsid w:val="00AD75CD"/>
    <w:rsid w:val="00AE3237"/>
    <w:rsid w:val="00AE557A"/>
    <w:rsid w:val="00AF31A1"/>
    <w:rsid w:val="00B0414B"/>
    <w:rsid w:val="00B05D6E"/>
    <w:rsid w:val="00B119B1"/>
    <w:rsid w:val="00B14612"/>
    <w:rsid w:val="00B23E73"/>
    <w:rsid w:val="00B270CA"/>
    <w:rsid w:val="00B347D4"/>
    <w:rsid w:val="00B40898"/>
    <w:rsid w:val="00B4124C"/>
    <w:rsid w:val="00B444D1"/>
    <w:rsid w:val="00B4625E"/>
    <w:rsid w:val="00B5112F"/>
    <w:rsid w:val="00B605B4"/>
    <w:rsid w:val="00B75AE2"/>
    <w:rsid w:val="00B85D66"/>
    <w:rsid w:val="00B9148E"/>
    <w:rsid w:val="00B94805"/>
    <w:rsid w:val="00BA6027"/>
    <w:rsid w:val="00BC1D95"/>
    <w:rsid w:val="00BC46D7"/>
    <w:rsid w:val="00BD0BE9"/>
    <w:rsid w:val="00BD4287"/>
    <w:rsid w:val="00BD60D5"/>
    <w:rsid w:val="00BE1D00"/>
    <w:rsid w:val="00BE3413"/>
    <w:rsid w:val="00BE3628"/>
    <w:rsid w:val="00BE424C"/>
    <w:rsid w:val="00BF5CC9"/>
    <w:rsid w:val="00C036A5"/>
    <w:rsid w:val="00C03B0E"/>
    <w:rsid w:val="00C063B0"/>
    <w:rsid w:val="00C065A3"/>
    <w:rsid w:val="00C14327"/>
    <w:rsid w:val="00C169D2"/>
    <w:rsid w:val="00C22967"/>
    <w:rsid w:val="00C35333"/>
    <w:rsid w:val="00C55FDF"/>
    <w:rsid w:val="00C5739F"/>
    <w:rsid w:val="00C87FCA"/>
    <w:rsid w:val="00CA1B0C"/>
    <w:rsid w:val="00CA7795"/>
    <w:rsid w:val="00CA7F40"/>
    <w:rsid w:val="00CB3C7E"/>
    <w:rsid w:val="00CC0E07"/>
    <w:rsid w:val="00CC5397"/>
    <w:rsid w:val="00CF77E2"/>
    <w:rsid w:val="00D03314"/>
    <w:rsid w:val="00D069EE"/>
    <w:rsid w:val="00D06A0F"/>
    <w:rsid w:val="00D24623"/>
    <w:rsid w:val="00D50E69"/>
    <w:rsid w:val="00D82047"/>
    <w:rsid w:val="00DA292E"/>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70069"/>
    <w:rsid w:val="00E83FED"/>
    <w:rsid w:val="00E91FA1"/>
    <w:rsid w:val="00E944E2"/>
    <w:rsid w:val="00E94E48"/>
    <w:rsid w:val="00E96615"/>
    <w:rsid w:val="00EA6F17"/>
    <w:rsid w:val="00EC12D0"/>
    <w:rsid w:val="00EC2355"/>
    <w:rsid w:val="00EC4C4B"/>
    <w:rsid w:val="00EC6290"/>
    <w:rsid w:val="00EF2051"/>
    <w:rsid w:val="00EF3834"/>
    <w:rsid w:val="00F00A19"/>
    <w:rsid w:val="00F338B0"/>
    <w:rsid w:val="00F3686A"/>
    <w:rsid w:val="00F45307"/>
    <w:rsid w:val="00F50539"/>
    <w:rsid w:val="00F540D9"/>
    <w:rsid w:val="00F56F62"/>
    <w:rsid w:val="00F7059D"/>
    <w:rsid w:val="00F71527"/>
    <w:rsid w:val="00F74500"/>
    <w:rsid w:val="00F804CC"/>
    <w:rsid w:val="00F82A83"/>
    <w:rsid w:val="00F83B3D"/>
    <w:rsid w:val="00FA604B"/>
    <w:rsid w:val="00FB0AFB"/>
    <w:rsid w:val="00FB2453"/>
    <w:rsid w:val="00FB39BA"/>
    <w:rsid w:val="00FB5DA8"/>
    <w:rsid w:val="00FC61E3"/>
    <w:rsid w:val="00FC63E2"/>
    <w:rsid w:val="00FD4D27"/>
    <w:rsid w:val="00FF4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2">
    <w:name w:val="heading 2"/>
    <w:basedOn w:val="Normal"/>
    <w:next w:val="Normal"/>
    <w:link w:val="Heading2Char"/>
    <w:uiPriority w:val="9"/>
    <w:semiHidden/>
    <w:qFormat/>
    <w:rsid w:val="00FA60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2Char">
    <w:name w:val="Heading 2 Char"/>
    <w:basedOn w:val="DefaultParagraphFont"/>
    <w:link w:val="Heading2"/>
    <w:uiPriority w:val="9"/>
    <w:semiHidden/>
    <w:rsid w:val="00FA604B"/>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semiHidden/>
    <w:unhideWhenUsed/>
    <w:rsid w:val="00FA604B"/>
    <w:pPr>
      <w:widowControl/>
      <w:autoSpaceDE/>
      <w:autoSpaceDN/>
      <w:adjustRightInd/>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FA604B"/>
    <w:rPr>
      <w:b/>
      <w:bC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2002846618">
      <w:bodyDiv w:val="1"/>
      <w:marLeft w:val="0"/>
      <w:marRight w:val="0"/>
      <w:marTop w:val="0"/>
      <w:marBottom w:val="0"/>
      <w:divBdr>
        <w:top w:val="none" w:sz="0" w:space="0" w:color="auto"/>
        <w:left w:val="none" w:sz="0" w:space="0" w:color="auto"/>
        <w:bottom w:val="none" w:sz="0" w:space="0" w:color="auto"/>
        <w:right w:val="none" w:sz="0" w:space="0" w:color="auto"/>
      </w:divBdr>
      <w:divsChild>
        <w:div w:id="475339554">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3326-3867-4427-AECF-7CD38941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r.barbe</dc:creator>
  <cp:keywords/>
  <dc:description/>
  <cp:lastModifiedBy>s.labrosse</cp:lastModifiedBy>
  <cp:revision>6</cp:revision>
  <cp:lastPrinted>2016-02-15T06:49:00Z</cp:lastPrinted>
  <dcterms:created xsi:type="dcterms:W3CDTF">2016-02-15T10:49:00Z</dcterms:created>
  <dcterms:modified xsi:type="dcterms:W3CDTF">2016-02-17T05:07:00Z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