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7445BE" w:rsidRDefault="007445BE" w:rsidP="007445BE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445BE" w:rsidRPr="00B938BB" w:rsidRDefault="007445BE" w:rsidP="007445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7445BE" w:rsidRDefault="007445BE" w:rsidP="007445BE">
      <w:pPr>
        <w:jc w:val="center"/>
        <w:rPr>
          <w:b/>
          <w:sz w:val="28"/>
          <w:szCs w:val="28"/>
        </w:rPr>
      </w:pPr>
    </w:p>
    <w:p w:rsidR="007445BE" w:rsidRPr="00606EEA" w:rsidRDefault="007445BE" w:rsidP="007445BE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7445BE" w:rsidRDefault="007445BE" w:rsidP="007445BE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 xml:space="preserve"> Side: </w:t>
      </w:r>
      <w:r>
        <w:rPr>
          <w:b/>
          <w:sz w:val="28"/>
          <w:szCs w:val="28"/>
        </w:rPr>
        <w:t xml:space="preserve">CN </w:t>
      </w:r>
      <w:r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/20</w:t>
      </w:r>
      <w:r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B75AE2">
        <w:rPr>
          <w:b/>
          <w:sz w:val="28"/>
          <w:szCs w:val="28"/>
        </w:rPr>
        <w:instrText xml:space="preserve"> FORMTEXT </w:instrText>
      </w:r>
      <w:r w:rsidRPr="00B75AE2">
        <w:rPr>
          <w:b/>
          <w:sz w:val="28"/>
          <w:szCs w:val="28"/>
        </w:rPr>
      </w:r>
      <w:r w:rsidRPr="00B75AE2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15</w:t>
      </w:r>
      <w:r w:rsidRPr="00B75AE2">
        <w:rPr>
          <w:b/>
          <w:sz w:val="28"/>
          <w:szCs w:val="28"/>
        </w:rPr>
        <w:fldChar w:fldCharType="end"/>
      </w:r>
      <w:bookmarkEnd w:id="3"/>
    </w:p>
    <w:p w:rsidR="007445BE" w:rsidRPr="0096251D" w:rsidRDefault="007445BE" w:rsidP="007445BE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27</w:t>
      </w:r>
      <w:r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13</w:t>
      </w:r>
      <w:r w:rsidRPr="0096251D">
        <w:rPr>
          <w:b/>
          <w:sz w:val="24"/>
          <w:szCs w:val="24"/>
        </w:rPr>
        <w:fldChar w:fldCharType="end"/>
      </w:r>
      <w:bookmarkEnd w:id="5"/>
    </w:p>
    <w:p w:rsidR="007445BE" w:rsidRPr="00606EEA" w:rsidRDefault="007445BE" w:rsidP="007445BE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7445BE" w:rsidRPr="00606EEA" w:rsidRDefault="007445BE" w:rsidP="007445B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</w:p>
    <w:p w:rsidR="007445BE" w:rsidRPr="00606EEA" w:rsidRDefault="007445BE" w:rsidP="007445BE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7445BE" w:rsidRDefault="007445BE" w:rsidP="007445BE">
      <w:pPr>
        <w:rPr>
          <w:sz w:val="24"/>
          <w:szCs w:val="24"/>
        </w:rPr>
      </w:pPr>
    </w:p>
    <w:bookmarkStart w:id="8" w:name="Text40"/>
    <w:p w:rsidR="007445BE" w:rsidRDefault="007445BE" w:rsidP="00744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LYDIA HOAREAU</w:t>
      </w:r>
      <w:r>
        <w:rPr>
          <w:b/>
          <w:sz w:val="24"/>
          <w:szCs w:val="24"/>
        </w:rPr>
        <w:fldChar w:fldCharType="end"/>
      </w:r>
      <w:bookmarkEnd w:id="8"/>
    </w:p>
    <w:p w:rsidR="00AA4981" w:rsidRPr="00B119B1" w:rsidRDefault="00AA4981" w:rsidP="00744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Appellant</w:t>
      </w:r>
    </w:p>
    <w:p w:rsidR="007445BE" w:rsidRDefault="007445BE" w:rsidP="007445BE">
      <w:pPr>
        <w:spacing w:after="240"/>
        <w:jc w:val="center"/>
        <w:rPr>
          <w:sz w:val="24"/>
          <w:szCs w:val="24"/>
        </w:rPr>
      </w:pPr>
    </w:p>
    <w:p w:rsidR="00AA4981" w:rsidRDefault="00AA4981" w:rsidP="00AA4981">
      <w:pPr>
        <w:spacing w:after="240"/>
        <w:rPr>
          <w:sz w:val="24"/>
          <w:szCs w:val="24"/>
        </w:rPr>
        <w:sectPr w:rsidR="00AA4981" w:rsidSect="007445BE">
          <w:footerReference w:type="default" r:id="rId8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445BE" w:rsidRPr="00AA4981" w:rsidRDefault="00AA4981" w:rsidP="00AA4981">
      <w:pPr>
        <w:ind w:left="3600" w:firstLine="720"/>
        <w:rPr>
          <w:b/>
          <w:sz w:val="24"/>
          <w:szCs w:val="24"/>
        </w:rPr>
        <w:sectPr w:rsidR="007445BE" w:rsidRPr="00AA498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proofErr w:type="gramStart"/>
      <w:r>
        <w:rPr>
          <w:b/>
          <w:sz w:val="24"/>
          <w:szCs w:val="24"/>
        </w:rPr>
        <w:lastRenderedPageBreak/>
        <w:t>versus</w:t>
      </w:r>
      <w:proofErr w:type="gramEnd"/>
    </w:p>
    <w:p w:rsidR="007445BE" w:rsidRDefault="007445BE" w:rsidP="00AA4981">
      <w:pPr>
        <w:spacing w:before="120"/>
        <w:rPr>
          <w:sz w:val="24"/>
          <w:szCs w:val="24"/>
        </w:rPr>
      </w:pPr>
    </w:p>
    <w:p w:rsidR="007445BE" w:rsidRDefault="007445BE" w:rsidP="007445BE">
      <w:pPr>
        <w:jc w:val="center"/>
        <w:rPr>
          <w:sz w:val="24"/>
          <w:szCs w:val="24"/>
        </w:rPr>
      </w:pPr>
    </w:p>
    <w:p w:rsidR="007445BE" w:rsidRDefault="007445BE" w:rsidP="007445BE">
      <w:pPr>
        <w:jc w:val="center"/>
        <w:rPr>
          <w:b/>
          <w:sz w:val="24"/>
          <w:szCs w:val="24"/>
        </w:rPr>
      </w:pPr>
      <w:bookmarkStart w:id="9" w:name="Text22"/>
      <w:r w:rsidRPr="0096251D">
        <w:rPr>
          <w:b/>
          <w:sz w:val="24"/>
          <w:szCs w:val="24"/>
        </w:rPr>
        <w:t>THE REPUBLIC</w:t>
      </w:r>
      <w:bookmarkEnd w:id="9"/>
    </w:p>
    <w:p w:rsidR="00AA4981" w:rsidRDefault="00AA4981" w:rsidP="007445BE">
      <w:pPr>
        <w:jc w:val="center"/>
        <w:rPr>
          <w:sz w:val="24"/>
          <w:szCs w:val="24"/>
        </w:rPr>
        <w:sectPr w:rsidR="00AA498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b/>
          <w:sz w:val="24"/>
          <w:szCs w:val="24"/>
        </w:rPr>
        <w:t>Respondent</w:t>
      </w:r>
    </w:p>
    <w:p w:rsidR="007445BE" w:rsidRPr="0096251D" w:rsidRDefault="007445BE" w:rsidP="007445BE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7445BE" w:rsidRPr="00E0467F" w:rsidRDefault="007445BE" w:rsidP="007445BE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28</w:t>
      </w:r>
      <w:r w:rsidRPr="00B670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2015 and </w:t>
      </w:r>
      <w:r>
        <w:rPr>
          <w:noProof/>
          <w:sz w:val="24"/>
          <w:szCs w:val="24"/>
        </w:rPr>
        <w:t>9</w:t>
      </w:r>
      <w:r w:rsidRPr="00B6706A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December 2015 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7445BE" w:rsidRDefault="007445BE" w:rsidP="007445BE">
      <w:pPr>
        <w:rPr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Nichol Gabriel Attorney at Law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Appellant</w:t>
      </w:r>
    </w:p>
    <w:p w:rsidR="007445BE" w:rsidRDefault="007445BE" w:rsidP="007445BE">
      <w:pPr>
        <w:rPr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7445BE" w:rsidRDefault="007445BE" w:rsidP="007445BE">
      <w:pPr>
        <w:rPr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Ms. Michelle St. Ange</w:t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, </w:t>
      </w:r>
      <w:bookmarkStart w:id="14" w:name="Dropdown14"/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4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B4676E">
        <w:rPr>
          <w:sz w:val="24"/>
          <w:szCs w:val="24"/>
        </w:rPr>
      </w:r>
      <w:r w:rsidR="00B4676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</w:t>
      </w:r>
      <w:bookmarkStart w:id="15" w:name="Dropdown12"/>
      <w:r>
        <w:rPr>
          <w:sz w:val="24"/>
          <w:szCs w:val="24"/>
        </w:rPr>
        <w:t>the Republic</w:t>
      </w:r>
      <w:bookmarkEnd w:id="15"/>
    </w:p>
    <w:p w:rsidR="007445BE" w:rsidRPr="00E6492F" w:rsidRDefault="007445BE" w:rsidP="007445BE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A80">
        <w:rPr>
          <w:sz w:val="24"/>
          <w:szCs w:val="24"/>
        </w:rPr>
        <w:t>19</w:t>
      </w:r>
      <w:r w:rsidR="003B7A80" w:rsidRPr="003B7A80">
        <w:rPr>
          <w:sz w:val="24"/>
          <w:szCs w:val="24"/>
          <w:vertAlign w:val="superscript"/>
        </w:rPr>
        <w:t>th</w:t>
      </w:r>
      <w:r w:rsidR="003B7A80">
        <w:rPr>
          <w:sz w:val="24"/>
          <w:szCs w:val="24"/>
        </w:rPr>
        <w:t xml:space="preserve"> February 2016</w:t>
      </w:r>
    </w:p>
    <w:p w:rsidR="007445BE" w:rsidRPr="00C87FCA" w:rsidRDefault="007445BE" w:rsidP="007445BE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7445BE" w:rsidRDefault="007445BE" w:rsidP="007445BE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 w:rsidR="00B4676E">
        <w:rPr>
          <w:b/>
          <w:sz w:val="24"/>
          <w:szCs w:val="24"/>
        </w:rPr>
      </w:r>
      <w:r w:rsidR="00B4676E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7"/>
    </w:p>
    <w:p w:rsidR="007445BE" w:rsidRDefault="007445BE" w:rsidP="007445BE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7445BE" w:rsidRPr="001008BC" w:rsidRDefault="007445BE" w:rsidP="007445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7445BE" w:rsidRDefault="007445BE" w:rsidP="007445BE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8" w:name="Dropdown9"/>
      <w:r>
        <w:rPr>
          <w:b/>
          <w:sz w:val="24"/>
          <w:szCs w:val="24"/>
        </w:rPr>
        <w:instrText xml:space="preserve"> FORMDROPDOWN </w:instrText>
      </w:r>
      <w:r w:rsidR="00B4676E">
        <w:rPr>
          <w:b/>
          <w:sz w:val="24"/>
          <w:szCs w:val="24"/>
        </w:rPr>
      </w:r>
      <w:r w:rsidR="00B4676E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7445BE" w:rsidRDefault="007445BE" w:rsidP="007445BE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5BE" w:rsidRDefault="007445BE" w:rsidP="007445BE">
      <w:pPr>
        <w:pStyle w:val="JudgmentText"/>
      </w:pPr>
      <w:r>
        <w:lastRenderedPageBreak/>
        <w:t>This is an appeal against conviction</w:t>
      </w:r>
      <w:r w:rsidR="003B7A80">
        <w:t xml:space="preserve"> and sentence</w:t>
      </w:r>
      <w:r>
        <w:t>.</w:t>
      </w:r>
    </w:p>
    <w:p w:rsidR="007445BE" w:rsidRDefault="007445BE" w:rsidP="007445BE">
      <w:pPr>
        <w:pStyle w:val="JudgmentText"/>
      </w:pPr>
      <w:r>
        <w:t>The Appellant was charged in the Magistrates’ Court as follows:-</w:t>
      </w:r>
    </w:p>
    <w:p w:rsidR="00AA4981" w:rsidRDefault="00AA4981" w:rsidP="007445BE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AA4981" w:rsidRDefault="00AA4981" w:rsidP="007445BE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7445BE" w:rsidRDefault="007445BE" w:rsidP="007445BE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lastRenderedPageBreak/>
        <w:t>Count 1</w:t>
      </w:r>
    </w:p>
    <w:p w:rsidR="007445BE" w:rsidRPr="002F0CDC" w:rsidRDefault="007445BE" w:rsidP="007445BE">
      <w:pPr>
        <w:pStyle w:val="JudgmentText"/>
        <w:numPr>
          <w:ilvl w:val="0"/>
          <w:numId w:val="0"/>
        </w:numPr>
        <w:ind w:left="720"/>
        <w:rPr>
          <w:i/>
        </w:rPr>
      </w:pPr>
      <w:r w:rsidRPr="002F0CDC">
        <w:rPr>
          <w:i/>
        </w:rPr>
        <w:t>Negligent Driving Contrary to Section</w:t>
      </w:r>
      <w:r w:rsidR="003B7A80">
        <w:rPr>
          <w:i/>
        </w:rPr>
        <w:t xml:space="preserve"> </w:t>
      </w:r>
      <w:r w:rsidRPr="002F0CDC">
        <w:rPr>
          <w:i/>
        </w:rPr>
        <w:t>24 (1) (b) and (2) of the Road Transport Act Cap 206.</w:t>
      </w:r>
    </w:p>
    <w:p w:rsidR="007445BE" w:rsidRDefault="007445BE" w:rsidP="007445BE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The particulars of the offence are that Lydia </w:t>
      </w:r>
      <w:proofErr w:type="spellStart"/>
      <w:r>
        <w:rPr>
          <w:i/>
        </w:rPr>
        <w:t>Hoareau</w:t>
      </w:r>
      <w:proofErr w:type="spellEnd"/>
      <w:r>
        <w:rPr>
          <w:i/>
        </w:rPr>
        <w:t xml:space="preserve">, residing at Pascal Village, </w:t>
      </w:r>
      <w:proofErr w:type="spellStart"/>
      <w:r>
        <w:rPr>
          <w:i/>
        </w:rPr>
        <w:t>Mahe</w:t>
      </w:r>
      <w:proofErr w:type="spellEnd"/>
      <w:r>
        <w:rPr>
          <w:i/>
        </w:rPr>
        <w:t>, on the 28</w:t>
      </w:r>
      <w:r w:rsidRPr="00FC740D">
        <w:rPr>
          <w:i/>
          <w:vertAlign w:val="superscript"/>
        </w:rPr>
        <w:t>th</w:t>
      </w:r>
      <w:r>
        <w:rPr>
          <w:i/>
        </w:rPr>
        <w:t xml:space="preserve"> day of February 2012, at Pascal Village, </w:t>
      </w:r>
      <w:proofErr w:type="spellStart"/>
      <w:r>
        <w:rPr>
          <w:i/>
        </w:rPr>
        <w:t>Mahe</w:t>
      </w:r>
      <w:proofErr w:type="spellEnd"/>
      <w:r>
        <w:rPr>
          <w:i/>
        </w:rPr>
        <w:t>, having regards to all the circumstances of the case drove motor vehicle namely car registration No.S3174 on the public road negligently.</w:t>
      </w:r>
    </w:p>
    <w:p w:rsidR="00785ABD" w:rsidRPr="00AD4A41" w:rsidRDefault="00283CA2" w:rsidP="00785ABD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learned </w:t>
      </w:r>
      <w:r w:rsidR="00785ABD" w:rsidRPr="00AD4A41">
        <w:rPr>
          <w:rFonts w:eastAsia="Times New Roman"/>
          <w:sz w:val="24"/>
          <w:szCs w:val="24"/>
        </w:rPr>
        <w:t>Magistrate</w:t>
      </w:r>
      <w:r w:rsidR="00785A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by judgment dated 14</w:t>
      </w:r>
      <w:r w:rsidRPr="00283CA2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November 2014</w:t>
      </w:r>
      <w:r w:rsidR="00AA4981">
        <w:rPr>
          <w:rFonts w:eastAsia="Times New Roman"/>
          <w:sz w:val="24"/>
          <w:szCs w:val="24"/>
        </w:rPr>
        <w:t>,</w:t>
      </w:r>
      <w:r w:rsidR="00785ABD">
        <w:rPr>
          <w:rFonts w:eastAsia="Times New Roman"/>
          <w:sz w:val="24"/>
          <w:szCs w:val="24"/>
        </w:rPr>
        <w:t xml:space="preserve"> </w:t>
      </w:r>
      <w:r w:rsidR="00785ABD" w:rsidRPr="00AD4A41">
        <w:rPr>
          <w:rFonts w:eastAsia="Times New Roman"/>
          <w:sz w:val="24"/>
          <w:szCs w:val="24"/>
        </w:rPr>
        <w:t>found</w:t>
      </w:r>
      <w:r w:rsidR="00785ABD">
        <w:rPr>
          <w:rFonts w:eastAsia="Times New Roman"/>
          <w:sz w:val="24"/>
          <w:szCs w:val="24"/>
        </w:rPr>
        <w:t xml:space="preserve"> the Appellant guilty of the said offence</w:t>
      </w:r>
      <w:r w:rsidR="00785ABD" w:rsidRPr="00AD4A41">
        <w:rPr>
          <w:rFonts w:eastAsia="Times New Roman"/>
          <w:sz w:val="24"/>
          <w:szCs w:val="24"/>
        </w:rPr>
        <w:t xml:space="preserve"> and proceeded to</w:t>
      </w:r>
      <w:r w:rsidR="00785ABD">
        <w:rPr>
          <w:rFonts w:eastAsia="Times New Roman"/>
          <w:sz w:val="24"/>
          <w:szCs w:val="24"/>
        </w:rPr>
        <w:t xml:space="preserve"> convict and</w:t>
      </w:r>
      <w:r w:rsidR="00785ABD" w:rsidRPr="00AD4A41">
        <w:rPr>
          <w:rFonts w:eastAsia="Times New Roman"/>
          <w:sz w:val="24"/>
          <w:szCs w:val="24"/>
        </w:rPr>
        <w:t xml:space="preserve"> senten</w:t>
      </w:r>
      <w:r>
        <w:rPr>
          <w:rFonts w:eastAsia="Times New Roman"/>
          <w:sz w:val="24"/>
          <w:szCs w:val="24"/>
        </w:rPr>
        <w:t>ce the Appe</w:t>
      </w:r>
      <w:r w:rsidR="007F147E">
        <w:rPr>
          <w:rFonts w:eastAsia="Times New Roman"/>
          <w:sz w:val="24"/>
          <w:szCs w:val="24"/>
        </w:rPr>
        <w:t>llant to a fine of Seychelles SR</w:t>
      </w:r>
      <w:r>
        <w:rPr>
          <w:rFonts w:eastAsia="Times New Roman"/>
          <w:sz w:val="24"/>
          <w:szCs w:val="24"/>
        </w:rPr>
        <w:t>. 4500/-</w:t>
      </w:r>
      <w:r w:rsidR="002F0CDC">
        <w:rPr>
          <w:rFonts w:eastAsia="Times New Roman"/>
          <w:sz w:val="24"/>
          <w:szCs w:val="24"/>
        </w:rPr>
        <w:t xml:space="preserve"> and</w:t>
      </w:r>
      <w:r>
        <w:rPr>
          <w:rFonts w:eastAsia="Times New Roman"/>
          <w:sz w:val="24"/>
          <w:szCs w:val="24"/>
        </w:rPr>
        <w:t xml:space="preserve"> in addition </w:t>
      </w:r>
      <w:r w:rsidR="002F0CDC">
        <w:rPr>
          <w:rFonts w:eastAsia="Times New Roman"/>
          <w:sz w:val="24"/>
          <w:szCs w:val="24"/>
        </w:rPr>
        <w:t>imposed a term of 5 months imprisonment for default in payment of fine</w:t>
      </w:r>
      <w:r w:rsidR="00785ABD" w:rsidRPr="00AD4A41">
        <w:rPr>
          <w:rFonts w:eastAsia="Times New Roman"/>
          <w:sz w:val="24"/>
          <w:szCs w:val="24"/>
        </w:rPr>
        <w:t>.</w:t>
      </w:r>
    </w:p>
    <w:p w:rsidR="00785ABD" w:rsidRDefault="00785ABD" w:rsidP="00785ABD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 w:rsidRPr="00AD4A41">
        <w:rPr>
          <w:rFonts w:eastAsia="Times New Roman"/>
          <w:sz w:val="24"/>
          <w:szCs w:val="24"/>
        </w:rPr>
        <w:t>Learned counsel for the Appellant has appealed from the said conviction and sentence on the following grounds-</w:t>
      </w:r>
    </w:p>
    <w:p w:rsidR="00283CA2" w:rsidRDefault="00AA4981" w:rsidP="008C2BE7">
      <w:pPr>
        <w:pStyle w:val="JudgmentText"/>
        <w:numPr>
          <w:ilvl w:val="0"/>
          <w:numId w:val="0"/>
        </w:numPr>
        <w:ind w:left="1440" w:hanging="720"/>
        <w:rPr>
          <w:i/>
        </w:rPr>
      </w:pPr>
      <w:r>
        <w:rPr>
          <w:i/>
        </w:rPr>
        <w:t>“</w:t>
      </w:r>
      <w:r w:rsidR="00785ABD" w:rsidRPr="006F5805">
        <w:rPr>
          <w:i/>
        </w:rPr>
        <w:t>1.</w:t>
      </w:r>
      <w:r w:rsidR="00785ABD" w:rsidRPr="006F5805">
        <w:rPr>
          <w:i/>
        </w:rPr>
        <w:tab/>
      </w:r>
      <w:r w:rsidR="00283CA2">
        <w:rPr>
          <w:i/>
        </w:rPr>
        <w:t>The learned Senior Magistrate erred in law and in fact by failing to give any weight to the evidence of the Appellant.</w:t>
      </w:r>
    </w:p>
    <w:p w:rsidR="00283CA2" w:rsidRDefault="00785ABD" w:rsidP="008C2BE7">
      <w:pPr>
        <w:pStyle w:val="JudgmentText"/>
        <w:numPr>
          <w:ilvl w:val="0"/>
          <w:numId w:val="0"/>
        </w:numPr>
        <w:ind w:left="1440" w:hanging="720"/>
        <w:rPr>
          <w:i/>
        </w:rPr>
      </w:pPr>
      <w:r w:rsidRPr="006F5805">
        <w:rPr>
          <w:i/>
        </w:rPr>
        <w:t>2.</w:t>
      </w:r>
      <w:r w:rsidRPr="006F5805">
        <w:rPr>
          <w:i/>
        </w:rPr>
        <w:tab/>
      </w:r>
      <w:r w:rsidR="002F0CDC">
        <w:rPr>
          <w:i/>
        </w:rPr>
        <w:t>The learned Senior M</w:t>
      </w:r>
      <w:r w:rsidR="00283CA2">
        <w:rPr>
          <w:i/>
        </w:rPr>
        <w:t xml:space="preserve">agistrate erred in law </w:t>
      </w:r>
      <w:r w:rsidR="0088728F">
        <w:rPr>
          <w:i/>
        </w:rPr>
        <w:t>and in fact by convicting the Appellant on insufficient and uncorroborated evidence.</w:t>
      </w:r>
    </w:p>
    <w:p w:rsidR="0088728F" w:rsidRDefault="00785ABD" w:rsidP="0088728F">
      <w:pPr>
        <w:pStyle w:val="JudgmentText"/>
        <w:numPr>
          <w:ilvl w:val="0"/>
          <w:numId w:val="0"/>
        </w:numPr>
        <w:ind w:left="720"/>
        <w:rPr>
          <w:i/>
        </w:rPr>
      </w:pPr>
      <w:r w:rsidRPr="006F5805">
        <w:rPr>
          <w:i/>
        </w:rPr>
        <w:t>3.</w:t>
      </w:r>
      <w:r w:rsidRPr="006F5805">
        <w:rPr>
          <w:i/>
        </w:rPr>
        <w:tab/>
      </w:r>
      <w:r w:rsidR="0088728F">
        <w:rPr>
          <w:i/>
        </w:rPr>
        <w:t xml:space="preserve">The learned Senior Magistrate erred in law and in fact by failing to consider the </w:t>
      </w:r>
      <w:r w:rsidR="0088728F">
        <w:rPr>
          <w:i/>
        </w:rPr>
        <w:tab/>
        <w:t>inconsistencies in the evidence of the Respondent and his main witness</w:t>
      </w:r>
      <w:r w:rsidR="00AA4981">
        <w:rPr>
          <w:i/>
        </w:rPr>
        <w:t>”</w:t>
      </w:r>
      <w:r w:rsidR="0088728F">
        <w:rPr>
          <w:i/>
        </w:rPr>
        <w:t>.</w:t>
      </w:r>
    </w:p>
    <w:p w:rsidR="00785ABD" w:rsidRPr="0088728F" w:rsidRDefault="00785ABD" w:rsidP="0088728F">
      <w:pPr>
        <w:pStyle w:val="JudgmentText"/>
        <w:numPr>
          <w:ilvl w:val="0"/>
          <w:numId w:val="0"/>
        </w:numPr>
        <w:rPr>
          <w:i/>
        </w:rPr>
      </w:pPr>
    </w:p>
    <w:p w:rsidR="00AA4981" w:rsidRDefault="00CC7CB7" w:rsidP="00AA4981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background facts of the case</w:t>
      </w:r>
      <w:r w:rsidR="0088728F">
        <w:rPr>
          <w:rFonts w:eastAsia="Times New Roman"/>
          <w:sz w:val="24"/>
          <w:szCs w:val="24"/>
        </w:rPr>
        <w:t xml:space="preserve"> as borne out by the evidence of the main prosecution witness Jude Bijoux</w:t>
      </w:r>
      <w:r w:rsidR="00785ABD">
        <w:rPr>
          <w:rFonts w:eastAsia="Times New Roman"/>
          <w:sz w:val="24"/>
          <w:szCs w:val="24"/>
        </w:rPr>
        <w:t xml:space="preserve"> </w:t>
      </w:r>
      <w:r w:rsidR="0088728F">
        <w:rPr>
          <w:rFonts w:eastAsia="Times New Roman"/>
          <w:sz w:val="24"/>
          <w:szCs w:val="24"/>
        </w:rPr>
        <w:t>is that on the 28</w:t>
      </w:r>
      <w:r w:rsidR="0088728F" w:rsidRPr="0088728F">
        <w:rPr>
          <w:rFonts w:eastAsia="Times New Roman"/>
          <w:sz w:val="24"/>
          <w:szCs w:val="24"/>
          <w:vertAlign w:val="superscript"/>
        </w:rPr>
        <w:t>th</w:t>
      </w:r>
      <w:r w:rsidR="0088728F">
        <w:rPr>
          <w:rFonts w:eastAsia="Times New Roman"/>
          <w:sz w:val="24"/>
          <w:szCs w:val="24"/>
        </w:rPr>
        <w:t xml:space="preserve"> of February </w:t>
      </w:r>
      <w:r w:rsidR="00563C99">
        <w:rPr>
          <w:rFonts w:eastAsia="Times New Roman"/>
          <w:sz w:val="24"/>
          <w:szCs w:val="24"/>
        </w:rPr>
        <w:t>2012</w:t>
      </w:r>
      <w:r w:rsidR="0088728F">
        <w:rPr>
          <w:rFonts w:eastAsia="Times New Roman"/>
          <w:sz w:val="24"/>
          <w:szCs w:val="24"/>
        </w:rPr>
        <w:t xml:space="preserve"> </w:t>
      </w:r>
      <w:r w:rsidR="00563C99">
        <w:rPr>
          <w:rFonts w:eastAsia="Times New Roman"/>
          <w:sz w:val="24"/>
          <w:szCs w:val="24"/>
        </w:rPr>
        <w:t xml:space="preserve">around 8.30 </w:t>
      </w:r>
      <w:proofErr w:type="spellStart"/>
      <w:r w:rsidR="00563C99">
        <w:rPr>
          <w:rFonts w:eastAsia="Times New Roman"/>
          <w:sz w:val="24"/>
          <w:szCs w:val="24"/>
        </w:rPr>
        <w:t>a.m</w:t>
      </w:r>
      <w:proofErr w:type="spellEnd"/>
      <w:r w:rsidR="003B7A8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while</w:t>
      </w:r>
      <w:r w:rsidR="00563C99">
        <w:rPr>
          <w:rFonts w:eastAsia="Times New Roman"/>
          <w:sz w:val="24"/>
          <w:szCs w:val="24"/>
        </w:rPr>
        <w:t xml:space="preserve"> </w:t>
      </w:r>
      <w:r w:rsidR="0088728F">
        <w:rPr>
          <w:rFonts w:eastAsia="Times New Roman"/>
          <w:sz w:val="24"/>
          <w:szCs w:val="24"/>
        </w:rPr>
        <w:t>he was driving his vehicle a Hyundai I 20 bearing registration number S 10350 along a secondary road on his way to Pascal Village</w:t>
      </w:r>
      <w:r>
        <w:rPr>
          <w:rFonts w:eastAsia="Times New Roman"/>
          <w:sz w:val="24"/>
          <w:szCs w:val="24"/>
        </w:rPr>
        <w:t>, a collision occurred</w:t>
      </w:r>
      <w:r w:rsidR="007F147E">
        <w:rPr>
          <w:rFonts w:eastAsia="Times New Roman"/>
          <w:sz w:val="24"/>
          <w:szCs w:val="24"/>
        </w:rPr>
        <w:t xml:space="preserve"> between the</w:t>
      </w:r>
      <w:r w:rsidR="003B7A80">
        <w:rPr>
          <w:rFonts w:eastAsia="Times New Roman"/>
          <w:sz w:val="24"/>
          <w:szCs w:val="24"/>
        </w:rPr>
        <w:t xml:space="preserve"> vehicle </w:t>
      </w:r>
      <w:r w:rsidR="007F147E">
        <w:rPr>
          <w:rFonts w:eastAsia="Times New Roman"/>
          <w:sz w:val="24"/>
          <w:szCs w:val="24"/>
        </w:rPr>
        <w:t>driven by him and</w:t>
      </w:r>
      <w:r w:rsidR="00AA4981">
        <w:rPr>
          <w:rFonts w:eastAsia="Times New Roman"/>
          <w:sz w:val="24"/>
          <w:szCs w:val="24"/>
        </w:rPr>
        <w:t xml:space="preserve"> t</w:t>
      </w:r>
      <w:r w:rsidR="008C2BE7" w:rsidRPr="00AA4981">
        <w:rPr>
          <w:rFonts w:eastAsia="Times New Roman"/>
          <w:sz w:val="24"/>
          <w:szCs w:val="24"/>
        </w:rPr>
        <w:t>hat</w:t>
      </w:r>
      <w:r w:rsidRPr="00AA4981">
        <w:rPr>
          <w:rFonts w:eastAsia="Times New Roman"/>
          <w:sz w:val="24"/>
          <w:szCs w:val="24"/>
        </w:rPr>
        <w:t xml:space="preserve"> driven by the Appellant.</w:t>
      </w:r>
      <w:r w:rsidR="00080A06" w:rsidRPr="00AA4981">
        <w:rPr>
          <w:rFonts w:eastAsia="Times New Roman"/>
          <w:sz w:val="24"/>
          <w:szCs w:val="24"/>
        </w:rPr>
        <w:t xml:space="preserve"> At the time of the collision</w:t>
      </w:r>
      <w:r w:rsidR="003B7A80" w:rsidRPr="00AA4981">
        <w:rPr>
          <w:rFonts w:eastAsia="Times New Roman"/>
          <w:sz w:val="24"/>
          <w:szCs w:val="24"/>
        </w:rPr>
        <w:t>,</w:t>
      </w:r>
      <w:r w:rsidR="00080A06" w:rsidRPr="00AA4981">
        <w:rPr>
          <w:rFonts w:eastAsia="Times New Roman"/>
          <w:sz w:val="24"/>
          <w:szCs w:val="24"/>
        </w:rPr>
        <w:t xml:space="preserve"> there was a lady </w:t>
      </w:r>
      <w:r w:rsidR="00563C99" w:rsidRPr="00AA4981">
        <w:rPr>
          <w:rFonts w:eastAsia="Times New Roman"/>
          <w:sz w:val="24"/>
          <w:szCs w:val="24"/>
        </w:rPr>
        <w:t xml:space="preserve">by the name of Marianne </w:t>
      </w:r>
      <w:r w:rsidR="00080A06" w:rsidRPr="00AA4981">
        <w:rPr>
          <w:rFonts w:eastAsia="Times New Roman"/>
          <w:sz w:val="24"/>
          <w:szCs w:val="24"/>
        </w:rPr>
        <w:t xml:space="preserve">in the front seat </w:t>
      </w:r>
      <w:r w:rsidR="00563C99" w:rsidRPr="00AA4981">
        <w:rPr>
          <w:rFonts w:eastAsia="Times New Roman"/>
          <w:sz w:val="24"/>
          <w:szCs w:val="24"/>
        </w:rPr>
        <w:t>who he st</w:t>
      </w:r>
      <w:r w:rsidR="00080A06" w:rsidRPr="00AA4981">
        <w:rPr>
          <w:rFonts w:eastAsia="Times New Roman"/>
          <w:sz w:val="24"/>
          <w:szCs w:val="24"/>
        </w:rPr>
        <w:t xml:space="preserve">ates since then had left the </w:t>
      </w:r>
      <w:r w:rsidR="00080A06" w:rsidRPr="00AA4981">
        <w:rPr>
          <w:rFonts w:eastAsia="Times New Roman"/>
          <w:sz w:val="24"/>
          <w:szCs w:val="24"/>
        </w:rPr>
        <w:lastRenderedPageBreak/>
        <w:t>country while</w:t>
      </w:r>
      <w:r w:rsidR="00563C99" w:rsidRPr="00AA4981">
        <w:rPr>
          <w:rFonts w:eastAsia="Times New Roman"/>
          <w:sz w:val="24"/>
          <w:szCs w:val="24"/>
        </w:rPr>
        <w:t xml:space="preserve"> his 2 month year old baby daughter </w:t>
      </w:r>
      <w:r w:rsidR="00080A06" w:rsidRPr="00AA4981">
        <w:rPr>
          <w:rFonts w:eastAsia="Times New Roman"/>
          <w:sz w:val="24"/>
          <w:szCs w:val="24"/>
        </w:rPr>
        <w:t xml:space="preserve">was </w:t>
      </w:r>
      <w:r w:rsidR="00563C99" w:rsidRPr="00AA4981">
        <w:rPr>
          <w:rFonts w:eastAsia="Times New Roman"/>
          <w:sz w:val="24"/>
          <w:szCs w:val="24"/>
        </w:rPr>
        <w:t>in the rea</w:t>
      </w:r>
      <w:r w:rsidR="00080A06" w:rsidRPr="00AA4981">
        <w:rPr>
          <w:rFonts w:eastAsia="Times New Roman"/>
          <w:sz w:val="24"/>
          <w:szCs w:val="24"/>
        </w:rPr>
        <w:t xml:space="preserve">r seat.  </w:t>
      </w:r>
    </w:p>
    <w:p w:rsidR="0088728F" w:rsidRPr="00AA4981" w:rsidRDefault="00080A06" w:rsidP="00AA4981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 w:rsidRPr="00AA4981">
        <w:rPr>
          <w:rFonts w:eastAsia="Times New Roman"/>
          <w:sz w:val="24"/>
          <w:szCs w:val="24"/>
        </w:rPr>
        <w:t>According to the prosecution version as witness was</w:t>
      </w:r>
      <w:r w:rsidR="00563C99" w:rsidRPr="00AA4981">
        <w:rPr>
          <w:rFonts w:eastAsia="Times New Roman"/>
          <w:sz w:val="24"/>
          <w:szCs w:val="24"/>
        </w:rPr>
        <w:t xml:space="preserve"> passing the residence of Mrs </w:t>
      </w:r>
      <w:proofErr w:type="spellStart"/>
      <w:r w:rsidR="00563C99" w:rsidRPr="00AA4981">
        <w:rPr>
          <w:rFonts w:eastAsia="Times New Roman"/>
          <w:sz w:val="24"/>
          <w:szCs w:val="24"/>
        </w:rPr>
        <w:t>Hoareau</w:t>
      </w:r>
      <w:proofErr w:type="spellEnd"/>
      <w:r w:rsidRPr="00AA4981">
        <w:rPr>
          <w:rFonts w:eastAsia="Times New Roman"/>
          <w:sz w:val="24"/>
          <w:szCs w:val="24"/>
        </w:rPr>
        <w:t xml:space="preserve"> the Appellant,</w:t>
      </w:r>
      <w:r w:rsidR="00563C99" w:rsidRPr="00AA4981">
        <w:rPr>
          <w:rFonts w:eastAsia="Times New Roman"/>
          <w:sz w:val="24"/>
          <w:szCs w:val="24"/>
        </w:rPr>
        <w:t xml:space="preserve"> he had heard hooting and though he ha</w:t>
      </w:r>
      <w:r w:rsidR="00446663" w:rsidRPr="00AA4981">
        <w:rPr>
          <w:rFonts w:eastAsia="Times New Roman"/>
          <w:sz w:val="24"/>
          <w:szCs w:val="24"/>
        </w:rPr>
        <w:t>d checked both the fro</w:t>
      </w:r>
      <w:r w:rsidR="00563C99" w:rsidRPr="00AA4981">
        <w:rPr>
          <w:rFonts w:eastAsia="Times New Roman"/>
          <w:sz w:val="24"/>
          <w:szCs w:val="24"/>
        </w:rPr>
        <w:t>nt and the rear</w:t>
      </w:r>
      <w:r w:rsidRPr="00AA4981">
        <w:rPr>
          <w:rFonts w:eastAsia="Times New Roman"/>
          <w:sz w:val="24"/>
          <w:szCs w:val="24"/>
        </w:rPr>
        <w:t xml:space="preserve"> he had not seen any vehicle. As witness had passed the house of the Appellant, </w:t>
      </w:r>
      <w:r w:rsidR="00563C99" w:rsidRPr="00AA4981">
        <w:rPr>
          <w:rFonts w:eastAsia="Times New Roman"/>
          <w:sz w:val="24"/>
          <w:szCs w:val="24"/>
        </w:rPr>
        <w:t>he had seen a pick up come</w:t>
      </w:r>
      <w:r w:rsidRPr="00AA4981">
        <w:rPr>
          <w:rFonts w:eastAsia="Times New Roman"/>
          <w:sz w:val="24"/>
          <w:szCs w:val="24"/>
        </w:rPr>
        <w:t xml:space="preserve"> out of the driveway</w:t>
      </w:r>
      <w:r w:rsidR="00563C99" w:rsidRPr="00AA4981">
        <w:rPr>
          <w:rFonts w:eastAsia="Times New Roman"/>
          <w:sz w:val="24"/>
          <w:szCs w:val="24"/>
        </w:rPr>
        <w:t xml:space="preserve"> </w:t>
      </w:r>
      <w:r w:rsidRPr="00AA4981">
        <w:rPr>
          <w:rFonts w:eastAsia="Times New Roman"/>
          <w:sz w:val="24"/>
          <w:szCs w:val="24"/>
        </w:rPr>
        <w:t xml:space="preserve">of her house </w:t>
      </w:r>
      <w:r w:rsidR="00563C99" w:rsidRPr="00AA4981">
        <w:rPr>
          <w:rFonts w:eastAsia="Times New Roman"/>
          <w:sz w:val="24"/>
          <w:szCs w:val="24"/>
        </w:rPr>
        <w:t xml:space="preserve">at </w:t>
      </w:r>
      <w:r w:rsidRPr="00AA4981">
        <w:rPr>
          <w:rFonts w:eastAsia="Times New Roman"/>
          <w:sz w:val="24"/>
          <w:szCs w:val="24"/>
        </w:rPr>
        <w:t>a speed</w:t>
      </w:r>
      <w:r w:rsidR="00563C99" w:rsidRPr="00AA4981">
        <w:rPr>
          <w:rFonts w:eastAsia="Times New Roman"/>
          <w:sz w:val="24"/>
          <w:szCs w:val="24"/>
        </w:rPr>
        <w:t xml:space="preserve"> and his car had hit into it. Her vehicle and gone back a bit and after parking on the side</w:t>
      </w:r>
      <w:r w:rsidRPr="00AA4981">
        <w:rPr>
          <w:rFonts w:eastAsia="Times New Roman"/>
          <w:sz w:val="24"/>
          <w:szCs w:val="24"/>
        </w:rPr>
        <w:t>,</w:t>
      </w:r>
      <w:r w:rsidR="00563C99" w:rsidRPr="00AA4981">
        <w:rPr>
          <w:rFonts w:eastAsia="Times New Roman"/>
          <w:sz w:val="24"/>
          <w:szCs w:val="24"/>
        </w:rPr>
        <w:t xml:space="preserve"> he had got down and checked the baby.</w:t>
      </w:r>
      <w:r w:rsidR="0088728F" w:rsidRPr="00AA4981">
        <w:rPr>
          <w:rFonts w:eastAsia="Times New Roman"/>
          <w:sz w:val="24"/>
          <w:szCs w:val="24"/>
        </w:rPr>
        <w:t xml:space="preserve"> </w:t>
      </w:r>
    </w:p>
    <w:p w:rsidR="00563C99" w:rsidRDefault="00080A06" w:rsidP="00785ABD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Appellant</w:t>
      </w:r>
      <w:r w:rsidR="00563C99">
        <w:rPr>
          <w:rFonts w:eastAsia="Times New Roman"/>
          <w:sz w:val="24"/>
          <w:szCs w:val="24"/>
        </w:rPr>
        <w:t xml:space="preserve"> had admitted it was her fault and he could claim insurance. Witness </w:t>
      </w:r>
      <w:r w:rsidR="00446663">
        <w:rPr>
          <w:rFonts w:eastAsia="Times New Roman"/>
          <w:sz w:val="24"/>
          <w:szCs w:val="24"/>
        </w:rPr>
        <w:t>stated that due to this</w:t>
      </w:r>
      <w:r>
        <w:rPr>
          <w:rFonts w:eastAsia="Times New Roman"/>
          <w:sz w:val="24"/>
          <w:szCs w:val="24"/>
        </w:rPr>
        <w:t xml:space="preserve"> admission on her part,</w:t>
      </w:r>
      <w:r w:rsidR="00446663">
        <w:rPr>
          <w:rFonts w:eastAsia="Times New Roman"/>
          <w:sz w:val="24"/>
          <w:szCs w:val="24"/>
        </w:rPr>
        <w:t xml:space="preserve"> </w:t>
      </w:r>
      <w:r w:rsidR="00563C99">
        <w:rPr>
          <w:rFonts w:eastAsia="Times New Roman"/>
          <w:sz w:val="24"/>
          <w:szCs w:val="24"/>
        </w:rPr>
        <w:t>he had not gone to the police station</w:t>
      </w:r>
      <w:r w:rsidR="003B7A80">
        <w:rPr>
          <w:rFonts w:eastAsia="Times New Roman"/>
          <w:sz w:val="24"/>
          <w:szCs w:val="24"/>
        </w:rPr>
        <w:t xml:space="preserve"> but had gone to the insurance c</w:t>
      </w:r>
      <w:r w:rsidR="00446663">
        <w:rPr>
          <w:rFonts w:eastAsia="Times New Roman"/>
          <w:sz w:val="24"/>
          <w:szCs w:val="24"/>
        </w:rPr>
        <w:t xml:space="preserve">ompany H </w:t>
      </w:r>
      <w:proofErr w:type="spellStart"/>
      <w:r w:rsidR="00446663">
        <w:rPr>
          <w:rFonts w:eastAsia="Times New Roman"/>
          <w:sz w:val="24"/>
          <w:szCs w:val="24"/>
        </w:rPr>
        <w:t>Savy</w:t>
      </w:r>
      <w:proofErr w:type="spellEnd"/>
      <w:r w:rsidR="00446663">
        <w:rPr>
          <w:rFonts w:eastAsia="Times New Roman"/>
          <w:sz w:val="24"/>
          <w:szCs w:val="24"/>
        </w:rPr>
        <w:t xml:space="preserve"> and Company and informed them formally. Witness further stated his car was damaged as a resu</w:t>
      </w:r>
      <w:r>
        <w:rPr>
          <w:rFonts w:eastAsia="Times New Roman"/>
          <w:sz w:val="24"/>
          <w:szCs w:val="24"/>
        </w:rPr>
        <w:t>lt of the accident and descri</w:t>
      </w:r>
      <w:r w:rsidR="007B3EC4">
        <w:rPr>
          <w:rFonts w:eastAsia="Times New Roman"/>
          <w:sz w:val="24"/>
          <w:szCs w:val="24"/>
        </w:rPr>
        <w:t>bed the damage to court.</w:t>
      </w:r>
    </w:p>
    <w:p w:rsidR="00446663" w:rsidRDefault="00080A06" w:rsidP="00785ABD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However when</w:t>
      </w:r>
      <w:r w:rsidR="007B3EC4">
        <w:rPr>
          <w:rFonts w:eastAsia="Times New Roman"/>
          <w:sz w:val="24"/>
          <w:szCs w:val="24"/>
        </w:rPr>
        <w:t xml:space="preserve"> witness h</w:t>
      </w:r>
      <w:r w:rsidR="00446663">
        <w:rPr>
          <w:rFonts w:eastAsia="Times New Roman"/>
          <w:sz w:val="24"/>
          <w:szCs w:val="24"/>
        </w:rPr>
        <w:t>ad got a quotation for the repair and gone to the police</w:t>
      </w:r>
      <w:r>
        <w:rPr>
          <w:rFonts w:eastAsia="Times New Roman"/>
          <w:sz w:val="24"/>
          <w:szCs w:val="24"/>
        </w:rPr>
        <w:t>,</w:t>
      </w:r>
      <w:r w:rsidR="00446663">
        <w:rPr>
          <w:rFonts w:eastAsia="Times New Roman"/>
          <w:sz w:val="24"/>
          <w:szCs w:val="24"/>
        </w:rPr>
        <w:t xml:space="preserve"> his insurer had informed him that the accused was not acc</w:t>
      </w:r>
      <w:r w:rsidR="007B3EC4">
        <w:rPr>
          <w:rFonts w:eastAsia="Times New Roman"/>
          <w:sz w:val="24"/>
          <w:szCs w:val="24"/>
        </w:rPr>
        <w:t>epting fault. According to</w:t>
      </w:r>
      <w:r w:rsidR="003B7A80">
        <w:rPr>
          <w:rFonts w:eastAsia="Times New Roman"/>
          <w:sz w:val="24"/>
          <w:szCs w:val="24"/>
        </w:rPr>
        <w:t xml:space="preserve"> the evidence of witness</w:t>
      </w:r>
      <w:r w:rsidR="007B3EC4">
        <w:rPr>
          <w:rFonts w:eastAsia="Times New Roman"/>
          <w:sz w:val="24"/>
          <w:szCs w:val="24"/>
        </w:rPr>
        <w:t xml:space="preserve"> </w:t>
      </w:r>
      <w:r w:rsidR="003B7A80">
        <w:rPr>
          <w:rFonts w:eastAsia="Times New Roman"/>
          <w:sz w:val="24"/>
          <w:szCs w:val="24"/>
        </w:rPr>
        <w:t xml:space="preserve">Mr. Bijoux, </w:t>
      </w:r>
      <w:r w:rsidR="00446663">
        <w:rPr>
          <w:rFonts w:eastAsia="Times New Roman"/>
          <w:sz w:val="24"/>
          <w:szCs w:val="24"/>
        </w:rPr>
        <w:t>the honking was</w:t>
      </w:r>
      <w:r w:rsidR="007B3EC4">
        <w:rPr>
          <w:rFonts w:eastAsia="Times New Roman"/>
          <w:sz w:val="24"/>
          <w:szCs w:val="24"/>
        </w:rPr>
        <w:t xml:space="preserve"> for a period of about 2 seconds</w:t>
      </w:r>
      <w:r w:rsidR="00446663">
        <w:rPr>
          <w:rFonts w:eastAsia="Times New Roman"/>
          <w:sz w:val="24"/>
          <w:szCs w:val="24"/>
        </w:rPr>
        <w:t xml:space="preserve"> and then stopped, the visibility was good and the weather was </w:t>
      </w:r>
      <w:r w:rsidR="00995ABF">
        <w:rPr>
          <w:rFonts w:eastAsia="Times New Roman"/>
          <w:sz w:val="24"/>
          <w:szCs w:val="24"/>
        </w:rPr>
        <w:t xml:space="preserve">good that day. He </w:t>
      </w:r>
      <w:r w:rsidR="007B3EC4">
        <w:rPr>
          <w:rFonts w:eastAsia="Times New Roman"/>
          <w:sz w:val="24"/>
          <w:szCs w:val="24"/>
        </w:rPr>
        <w:t>further stated</w:t>
      </w:r>
      <w:r w:rsidR="003B7A80">
        <w:rPr>
          <w:rFonts w:eastAsia="Times New Roman"/>
          <w:sz w:val="24"/>
          <w:szCs w:val="24"/>
        </w:rPr>
        <w:t>,</w:t>
      </w:r>
      <w:r w:rsidR="007B3EC4">
        <w:rPr>
          <w:rFonts w:eastAsia="Times New Roman"/>
          <w:sz w:val="24"/>
          <w:szCs w:val="24"/>
        </w:rPr>
        <w:t xml:space="preserve"> the place </w:t>
      </w:r>
      <w:r w:rsidR="00446663">
        <w:rPr>
          <w:rFonts w:eastAsia="Times New Roman"/>
          <w:sz w:val="24"/>
          <w:szCs w:val="24"/>
        </w:rPr>
        <w:t>where the accident occurred was a bit steep and at the time of the accident there was a hedge which had now been cut</w:t>
      </w:r>
      <w:r w:rsidR="007B3EC4">
        <w:rPr>
          <w:rFonts w:eastAsia="Times New Roman"/>
          <w:sz w:val="24"/>
          <w:szCs w:val="24"/>
        </w:rPr>
        <w:t>,</w:t>
      </w:r>
      <w:r w:rsidR="00446663">
        <w:rPr>
          <w:rFonts w:eastAsia="Times New Roman"/>
          <w:sz w:val="24"/>
          <w:szCs w:val="24"/>
        </w:rPr>
        <w:t xml:space="preserve"> which obstructed the view of the road from the driveway of the house of the accused.</w:t>
      </w:r>
      <w:r w:rsidR="00995ABF">
        <w:rPr>
          <w:rFonts w:eastAsia="Times New Roman"/>
          <w:sz w:val="24"/>
          <w:szCs w:val="24"/>
        </w:rPr>
        <w:t xml:space="preserve"> His </w:t>
      </w:r>
      <w:r w:rsidR="003B7A80">
        <w:rPr>
          <w:rFonts w:eastAsia="Times New Roman"/>
          <w:sz w:val="24"/>
          <w:szCs w:val="24"/>
        </w:rPr>
        <w:t xml:space="preserve">mother in law Maize </w:t>
      </w:r>
      <w:proofErr w:type="spellStart"/>
      <w:r w:rsidR="003B7A80">
        <w:rPr>
          <w:rFonts w:eastAsia="Times New Roman"/>
          <w:sz w:val="24"/>
          <w:szCs w:val="24"/>
        </w:rPr>
        <w:t>Cedras</w:t>
      </w:r>
      <w:proofErr w:type="spellEnd"/>
      <w:r w:rsidR="003B7A80">
        <w:rPr>
          <w:rFonts w:eastAsia="Times New Roman"/>
          <w:sz w:val="24"/>
          <w:szCs w:val="24"/>
        </w:rPr>
        <w:t xml:space="preserve"> </w:t>
      </w:r>
      <w:r w:rsidR="00995ABF">
        <w:rPr>
          <w:rFonts w:eastAsia="Times New Roman"/>
          <w:sz w:val="24"/>
          <w:szCs w:val="24"/>
        </w:rPr>
        <w:t>stated that she had gone to the scene soon after the</w:t>
      </w:r>
      <w:r w:rsidR="00AA4981">
        <w:rPr>
          <w:rFonts w:eastAsia="Times New Roman"/>
          <w:sz w:val="24"/>
          <w:szCs w:val="24"/>
        </w:rPr>
        <w:t xml:space="preserve"> accident had occurred to take</w:t>
      </w:r>
      <w:r w:rsidR="00995ABF">
        <w:rPr>
          <w:rFonts w:eastAsia="Times New Roman"/>
          <w:sz w:val="24"/>
          <w:szCs w:val="24"/>
        </w:rPr>
        <w:t xml:space="preserve"> over the </w:t>
      </w:r>
      <w:r w:rsidR="007B3EC4">
        <w:rPr>
          <w:rFonts w:eastAsia="Times New Roman"/>
          <w:sz w:val="24"/>
          <w:szCs w:val="24"/>
        </w:rPr>
        <w:t xml:space="preserve">child and </w:t>
      </w:r>
      <w:r w:rsidR="003B7A80">
        <w:rPr>
          <w:rFonts w:eastAsia="Times New Roman"/>
          <w:sz w:val="24"/>
          <w:szCs w:val="24"/>
        </w:rPr>
        <w:t xml:space="preserve">she too </w:t>
      </w:r>
      <w:r w:rsidR="007B3EC4">
        <w:rPr>
          <w:rFonts w:eastAsia="Times New Roman"/>
          <w:sz w:val="24"/>
          <w:szCs w:val="24"/>
        </w:rPr>
        <w:t>had heard the Appellant</w:t>
      </w:r>
      <w:r w:rsidR="003B7A80">
        <w:rPr>
          <w:rFonts w:eastAsia="Times New Roman"/>
          <w:sz w:val="24"/>
          <w:szCs w:val="24"/>
        </w:rPr>
        <w:t>,</w:t>
      </w:r>
      <w:r w:rsidR="007B3EC4">
        <w:rPr>
          <w:rFonts w:eastAsia="Times New Roman"/>
          <w:sz w:val="24"/>
          <w:szCs w:val="24"/>
        </w:rPr>
        <w:t xml:space="preserve"> </w:t>
      </w:r>
      <w:r w:rsidR="00AA4981">
        <w:rPr>
          <w:rFonts w:eastAsia="Times New Roman"/>
          <w:sz w:val="24"/>
          <w:szCs w:val="24"/>
        </w:rPr>
        <w:t>admitting it was her fault</w:t>
      </w:r>
      <w:r w:rsidR="00995ABF">
        <w:rPr>
          <w:rFonts w:eastAsia="Times New Roman"/>
          <w:sz w:val="24"/>
          <w:szCs w:val="24"/>
        </w:rPr>
        <w:t>.</w:t>
      </w:r>
    </w:p>
    <w:p w:rsidR="001F3311" w:rsidRDefault="007B3EC4" w:rsidP="00785ABD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Appellant </w:t>
      </w:r>
      <w:r w:rsidR="001F3311">
        <w:rPr>
          <w:rFonts w:eastAsia="Times New Roman"/>
          <w:sz w:val="24"/>
          <w:szCs w:val="24"/>
        </w:rPr>
        <w:t>in defence made an unsworn statement from the dock and admitted that she was driving the vehicle on the said date and that her vehicle collided with vehicle bearing registration number S 10350. She further stated she had checked both sides and thereafter the crash had occurred.</w:t>
      </w:r>
    </w:p>
    <w:p w:rsidR="00AA4981" w:rsidRPr="00AA4981" w:rsidRDefault="007B3EC4" w:rsidP="008C4935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5632A9">
        <w:rPr>
          <w:rFonts w:eastAsia="Times New Roman"/>
          <w:sz w:val="24"/>
          <w:szCs w:val="24"/>
        </w:rPr>
        <w:t>he evi</w:t>
      </w:r>
      <w:r>
        <w:rPr>
          <w:rFonts w:eastAsia="Times New Roman"/>
          <w:sz w:val="24"/>
          <w:szCs w:val="24"/>
        </w:rPr>
        <w:t xml:space="preserve">dence of Mr. Jude Bijoux indicates that </w:t>
      </w:r>
      <w:r w:rsidR="005632A9">
        <w:rPr>
          <w:rFonts w:eastAsia="Times New Roman"/>
          <w:sz w:val="24"/>
          <w:szCs w:val="24"/>
        </w:rPr>
        <w:t xml:space="preserve">he was driving on the </w:t>
      </w:r>
      <w:r w:rsidR="00B4676E">
        <w:rPr>
          <w:rFonts w:eastAsia="Times New Roman"/>
          <w:sz w:val="24"/>
          <w:szCs w:val="24"/>
        </w:rPr>
        <w:t>secondary road when the Appellant</w:t>
      </w:r>
      <w:bookmarkStart w:id="19" w:name="_GoBack"/>
      <w:bookmarkEnd w:id="19"/>
      <w:r w:rsidR="005632A9">
        <w:rPr>
          <w:rFonts w:eastAsia="Times New Roman"/>
          <w:sz w:val="24"/>
          <w:szCs w:val="24"/>
        </w:rPr>
        <w:t xml:space="preserve"> had just hooted </w:t>
      </w:r>
      <w:r>
        <w:rPr>
          <w:rFonts w:eastAsia="Times New Roman"/>
          <w:sz w:val="24"/>
          <w:szCs w:val="24"/>
        </w:rPr>
        <w:t xml:space="preserve">twice and come at a speed </w:t>
      </w:r>
      <w:r w:rsidR="005632A9">
        <w:rPr>
          <w:rFonts w:eastAsia="Times New Roman"/>
          <w:sz w:val="24"/>
          <w:szCs w:val="24"/>
        </w:rPr>
        <w:t xml:space="preserve">onto the said road from her driveway. It is apparent from his evidence that the Appellant had not taken the precaution </w:t>
      </w:r>
      <w:r w:rsidR="005632A9">
        <w:rPr>
          <w:rFonts w:eastAsia="Times New Roman"/>
          <w:sz w:val="24"/>
          <w:szCs w:val="24"/>
        </w:rPr>
        <w:lastRenderedPageBreak/>
        <w:t>of stopping at the entrance of her driveway and observing the passing vehicles which was her duty to do so as she was entering a secondary roadway</w:t>
      </w:r>
      <w:r>
        <w:rPr>
          <w:rFonts w:eastAsia="Times New Roman"/>
          <w:sz w:val="24"/>
          <w:szCs w:val="24"/>
        </w:rPr>
        <w:t xml:space="preserve"> used by other vehicles</w:t>
      </w:r>
      <w:r w:rsidR="005632A9">
        <w:rPr>
          <w:rFonts w:eastAsia="Times New Roman"/>
          <w:sz w:val="24"/>
          <w:szCs w:val="24"/>
        </w:rPr>
        <w:t>. As she had suddenly driven onto the roadway</w:t>
      </w:r>
      <w:r w:rsidR="003B7A80">
        <w:rPr>
          <w:rFonts w:eastAsia="Times New Roman"/>
          <w:sz w:val="24"/>
          <w:szCs w:val="24"/>
        </w:rPr>
        <w:t>,</w:t>
      </w:r>
      <w:r w:rsidR="005632A9">
        <w:rPr>
          <w:rFonts w:eastAsia="Times New Roman"/>
          <w:sz w:val="24"/>
          <w:szCs w:val="24"/>
        </w:rPr>
        <w:t xml:space="preserve"> his vehicle had coll</w:t>
      </w:r>
      <w:r w:rsidR="003B7A80">
        <w:rPr>
          <w:rFonts w:eastAsia="Times New Roman"/>
          <w:sz w:val="24"/>
          <w:szCs w:val="24"/>
        </w:rPr>
        <w:t>ided with that of the Appellant</w:t>
      </w:r>
      <w:r w:rsidR="005632A9">
        <w:rPr>
          <w:rFonts w:eastAsia="Times New Roman"/>
          <w:sz w:val="24"/>
          <w:szCs w:val="24"/>
        </w:rPr>
        <w:t>.</w:t>
      </w:r>
      <w:r w:rsidR="00222152">
        <w:rPr>
          <w:rFonts w:eastAsia="Times New Roman"/>
          <w:sz w:val="24"/>
          <w:szCs w:val="24"/>
        </w:rPr>
        <w:t xml:space="preserve"> It is </w:t>
      </w:r>
      <w:r w:rsidR="005632A9">
        <w:rPr>
          <w:rFonts w:eastAsia="Times New Roman"/>
          <w:sz w:val="24"/>
          <w:szCs w:val="24"/>
        </w:rPr>
        <w:t xml:space="preserve">further in evidence that a hedge obstructed the view of the Appellant </w:t>
      </w:r>
      <w:r w:rsidR="00222152">
        <w:rPr>
          <w:rFonts w:eastAsia="Times New Roman"/>
          <w:sz w:val="24"/>
          <w:szCs w:val="24"/>
        </w:rPr>
        <w:t xml:space="preserve">and she had come at a speed onto the roadway which was at a higher incline than her drive way. </w:t>
      </w:r>
    </w:p>
    <w:p w:rsidR="005632A9" w:rsidRPr="008C4935" w:rsidRDefault="00222152" w:rsidP="008C4935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The evidence of this witness was under oath and though subject to the rigours of cross examination</w:t>
      </w:r>
      <w:r w:rsidR="003B7A8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no material contradictions were forthcoming. As opposed to this evidence, the unsworn evidence of the Appellant from the dock by the Appellant which was subject to the infirm</w:t>
      </w:r>
      <w:r w:rsidR="003B7A80">
        <w:rPr>
          <w:rFonts w:eastAsia="Times New Roman"/>
          <w:sz w:val="24"/>
          <w:szCs w:val="24"/>
        </w:rPr>
        <w:t>ities of not being under oath and</w:t>
      </w:r>
      <w:r>
        <w:rPr>
          <w:rFonts w:eastAsia="Times New Roman"/>
          <w:sz w:val="24"/>
          <w:szCs w:val="24"/>
        </w:rPr>
        <w:t xml:space="preserve"> not tested by cross examination merely stating that she checked both sides and then the accident happened</w:t>
      </w:r>
      <w:r w:rsidR="007B3EC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holds much less </w:t>
      </w:r>
      <w:proofErr w:type="gramStart"/>
      <w:r w:rsidR="002245BA">
        <w:rPr>
          <w:rFonts w:eastAsia="Times New Roman"/>
          <w:sz w:val="24"/>
          <w:szCs w:val="24"/>
        </w:rPr>
        <w:t>weight</w:t>
      </w:r>
      <w:proofErr w:type="gramEnd"/>
      <w:r w:rsidR="002245BA"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sz w:val="24"/>
          <w:szCs w:val="24"/>
        </w:rPr>
        <w:t>value than t</w:t>
      </w:r>
      <w:r w:rsidR="00B4676E">
        <w:rPr>
          <w:rFonts w:eastAsia="Times New Roman"/>
          <w:sz w:val="24"/>
          <w:szCs w:val="24"/>
        </w:rPr>
        <w:t xml:space="preserve">he testimony of </w:t>
      </w:r>
      <w:r>
        <w:rPr>
          <w:rFonts w:eastAsia="Times New Roman"/>
          <w:sz w:val="24"/>
          <w:szCs w:val="24"/>
        </w:rPr>
        <w:t>Mr. Jude Bijoux which had no such infir</w:t>
      </w:r>
      <w:r w:rsidR="002245BA">
        <w:rPr>
          <w:rFonts w:eastAsia="Times New Roman"/>
          <w:sz w:val="24"/>
          <w:szCs w:val="24"/>
        </w:rPr>
        <w:t>mities and had no material inconsiste</w:t>
      </w:r>
      <w:r w:rsidR="00A5196E">
        <w:rPr>
          <w:rFonts w:eastAsia="Times New Roman"/>
          <w:sz w:val="24"/>
          <w:szCs w:val="24"/>
        </w:rPr>
        <w:t xml:space="preserve">ncies or contradictions </w:t>
      </w:r>
      <w:r w:rsidR="00A5196E" w:rsidRPr="00A5196E">
        <w:rPr>
          <w:rFonts w:eastAsia="Times New Roman"/>
          <w:b/>
          <w:i/>
          <w:sz w:val="24"/>
          <w:szCs w:val="24"/>
        </w:rPr>
        <w:t>R v Campbell 69 Cr. App. R. 221</w:t>
      </w:r>
      <w:r w:rsidR="00A5196E">
        <w:rPr>
          <w:rFonts w:eastAsia="Times New Roman"/>
          <w:b/>
          <w:i/>
          <w:sz w:val="24"/>
          <w:szCs w:val="24"/>
        </w:rPr>
        <w:t>.</w:t>
      </w:r>
      <w:r w:rsidR="00170602">
        <w:rPr>
          <w:rFonts w:eastAsia="Times New Roman"/>
          <w:sz w:val="24"/>
          <w:szCs w:val="24"/>
        </w:rPr>
        <w:t xml:space="preserve"> The</w:t>
      </w:r>
      <w:r w:rsidR="008320FA">
        <w:rPr>
          <w:rFonts w:eastAsia="Times New Roman"/>
          <w:sz w:val="24"/>
          <w:szCs w:val="24"/>
        </w:rPr>
        <w:t>refore</w:t>
      </w:r>
      <w:r w:rsidR="00170602">
        <w:rPr>
          <w:rFonts w:eastAsia="Times New Roman"/>
          <w:sz w:val="24"/>
          <w:szCs w:val="24"/>
        </w:rPr>
        <w:t xml:space="preserve"> lear</w:t>
      </w:r>
      <w:r w:rsidR="008320FA">
        <w:rPr>
          <w:rFonts w:eastAsia="Times New Roman"/>
          <w:sz w:val="24"/>
          <w:szCs w:val="24"/>
        </w:rPr>
        <w:t xml:space="preserve">ned Senior Magistrate </w:t>
      </w:r>
      <w:r w:rsidR="00170602">
        <w:rPr>
          <w:rFonts w:eastAsia="Times New Roman"/>
          <w:sz w:val="24"/>
          <w:szCs w:val="24"/>
        </w:rPr>
        <w:t>cannot be faulted for giving more value to the weight of the prosecution evidence</w:t>
      </w:r>
      <w:r w:rsidR="00AA4981">
        <w:rPr>
          <w:rFonts w:eastAsia="Times New Roman"/>
          <w:sz w:val="24"/>
          <w:szCs w:val="24"/>
        </w:rPr>
        <w:t xml:space="preserve"> and for proceeding to accept</w:t>
      </w:r>
      <w:r w:rsidR="002245BA" w:rsidRPr="008C4935">
        <w:rPr>
          <w:rFonts w:eastAsia="Times New Roman"/>
          <w:sz w:val="24"/>
          <w:szCs w:val="24"/>
        </w:rPr>
        <w:t xml:space="preserve"> the evidence of the prosecution in this case.</w:t>
      </w:r>
      <w:r w:rsidRPr="008C4935">
        <w:rPr>
          <w:rFonts w:eastAsia="Times New Roman"/>
          <w:sz w:val="24"/>
          <w:szCs w:val="24"/>
        </w:rPr>
        <w:t xml:space="preserve"> </w:t>
      </w:r>
    </w:p>
    <w:p w:rsidR="008C4935" w:rsidRPr="003B7A80" w:rsidRDefault="00A5196E" w:rsidP="008C4935">
      <w:pPr>
        <w:pStyle w:val="JudgmentText"/>
        <w:numPr>
          <w:ilvl w:val="0"/>
          <w:numId w:val="3"/>
        </w:numPr>
        <w:tabs>
          <w:tab w:val="left" w:pos="720"/>
        </w:tabs>
      </w:pPr>
      <w:r w:rsidRPr="00A5196E">
        <w:t xml:space="preserve">It would be pertinent at this stage to refer to the case of </w:t>
      </w:r>
      <w:r w:rsidR="008C4935">
        <w:rPr>
          <w:b/>
          <w:i/>
        </w:rPr>
        <w:t xml:space="preserve">R v Hansen </w:t>
      </w:r>
      <w:proofErr w:type="spellStart"/>
      <w:r w:rsidRPr="00A5196E">
        <w:rPr>
          <w:b/>
          <w:i/>
        </w:rPr>
        <w:t>Perherlmer</w:t>
      </w:r>
      <w:proofErr w:type="spellEnd"/>
      <w:r w:rsidRPr="00A5196E">
        <w:rPr>
          <w:b/>
          <w:i/>
        </w:rPr>
        <w:t xml:space="preserve"> </w:t>
      </w:r>
      <w:r w:rsidR="00AA4981">
        <w:rPr>
          <w:b/>
          <w:i/>
        </w:rPr>
        <w:t xml:space="preserve">SC. </w:t>
      </w:r>
      <w:r w:rsidR="008320FA">
        <w:rPr>
          <w:b/>
          <w:i/>
        </w:rPr>
        <w:t>Criminal Side</w:t>
      </w:r>
      <w:r w:rsidRPr="00A5196E">
        <w:rPr>
          <w:b/>
          <w:i/>
        </w:rPr>
        <w:t xml:space="preserve"> 48 of 2010 </w:t>
      </w:r>
      <w:r w:rsidR="00AA4981">
        <w:t xml:space="preserve">in the Seychelles </w:t>
      </w:r>
      <w:r w:rsidRPr="00A5196E">
        <w:t xml:space="preserve">which made reference to the test </w:t>
      </w:r>
      <w:r w:rsidR="003B7A80">
        <w:t xml:space="preserve">to be applied when determining </w:t>
      </w:r>
      <w:r w:rsidRPr="00A5196E">
        <w:t>whether a person acted ne</w:t>
      </w:r>
      <w:r w:rsidR="003B7A80">
        <w:t>gligently. The test as</w:t>
      </w:r>
      <w:r w:rsidRPr="00A5196E">
        <w:t xml:space="preserve"> set down in the case of </w:t>
      </w:r>
      <w:r w:rsidRPr="00A5196E">
        <w:rPr>
          <w:b/>
          <w:i/>
        </w:rPr>
        <w:t xml:space="preserve">Simpson v Peat (1952) 2 QB </w:t>
      </w:r>
      <w:r w:rsidRPr="003B7A80">
        <w:t>24</w:t>
      </w:r>
      <w:r w:rsidR="003B7A80">
        <w:t xml:space="preserve"> reads as</w:t>
      </w:r>
      <w:r w:rsidRPr="003B7A80">
        <w:t xml:space="preserve"> follows</w:t>
      </w:r>
      <w:r w:rsidR="003B7A80">
        <w:t>:</w:t>
      </w:r>
    </w:p>
    <w:p w:rsidR="008C4935" w:rsidRDefault="00A5196E" w:rsidP="008C4935">
      <w:pPr>
        <w:pStyle w:val="JudgmentText"/>
        <w:numPr>
          <w:ilvl w:val="0"/>
          <w:numId w:val="0"/>
        </w:numPr>
        <w:tabs>
          <w:tab w:val="left" w:pos="720"/>
        </w:tabs>
        <w:ind w:left="720"/>
        <w:rPr>
          <w:b/>
          <w:i/>
        </w:rPr>
      </w:pPr>
      <w:r w:rsidRPr="008C4935">
        <w:rPr>
          <w:i/>
        </w:rPr>
        <w:t>“The test which is an objective test, may be stated as follows; Was the accused exercising that degree of care that a reasonable and prudent driver would exercise in the circumstances….</w:t>
      </w:r>
      <w:proofErr w:type="gramStart"/>
      <w:r w:rsidRPr="008C4935">
        <w:rPr>
          <w:i/>
        </w:rPr>
        <w:t>”</w:t>
      </w:r>
      <w:r w:rsidR="008C4935">
        <w:rPr>
          <w:i/>
        </w:rPr>
        <w:t>.</w:t>
      </w:r>
      <w:proofErr w:type="gramEnd"/>
      <w:r w:rsidRPr="008C4935">
        <w:rPr>
          <w:i/>
        </w:rPr>
        <w:t xml:space="preserve">  </w:t>
      </w:r>
    </w:p>
    <w:p w:rsidR="00E11C3E" w:rsidRPr="008C4935" w:rsidRDefault="00082053" w:rsidP="008C4935">
      <w:pPr>
        <w:pStyle w:val="JudgmentText"/>
        <w:numPr>
          <w:ilvl w:val="0"/>
          <w:numId w:val="3"/>
        </w:numPr>
        <w:tabs>
          <w:tab w:val="left" w:pos="720"/>
        </w:tabs>
        <w:rPr>
          <w:b/>
          <w:i/>
        </w:rPr>
      </w:pPr>
      <w:r>
        <w:t xml:space="preserve">Having </w:t>
      </w:r>
      <w:r w:rsidR="003B7A80">
        <w:t xml:space="preserve">thus </w:t>
      </w:r>
      <w:r>
        <w:t>accepted the evidence of the prosecution</w:t>
      </w:r>
      <w:r w:rsidR="00E11C3E">
        <w:t>,</w:t>
      </w:r>
      <w:r>
        <w:t xml:space="preserve">  the act of the Appellant in tooting her horn  and driving from her driveway </w:t>
      </w:r>
      <w:r w:rsidR="00E11C3E">
        <w:t xml:space="preserve">onto the secondary road without stopping and checking the passing by vehicles, clearly indicates that the Appellant was not </w:t>
      </w:r>
      <w:r w:rsidR="00E11C3E" w:rsidRPr="00E11C3E">
        <w:t xml:space="preserve"> exercising th</w:t>
      </w:r>
      <w:r w:rsidR="00E11C3E">
        <w:t>e</w:t>
      </w:r>
      <w:r w:rsidR="00E11C3E" w:rsidRPr="00E11C3E">
        <w:t xml:space="preserve"> degree of care that a reasonable and prudent driver wou</w:t>
      </w:r>
      <w:r w:rsidR="00E11C3E">
        <w:t>ld exercise in the circumstances.</w:t>
      </w:r>
      <w:r w:rsidR="00E11C3E" w:rsidRPr="00E11C3E">
        <w:t xml:space="preserve"> </w:t>
      </w:r>
      <w:r w:rsidR="00170602">
        <w:t xml:space="preserve">The fact that she had to increase speed as she was coming uphill and her </w:t>
      </w:r>
      <w:r w:rsidR="00170602">
        <w:lastRenderedPageBreak/>
        <w:t>view was obstructed by a hedge further aggravates the negligence on her part. It cannot be said therefore that the learned Magistrate convicted on</w:t>
      </w:r>
      <w:r w:rsidR="00F22758" w:rsidRPr="008C4935">
        <w:rPr>
          <w:i/>
        </w:rPr>
        <w:t xml:space="preserve"> </w:t>
      </w:r>
      <w:r w:rsidR="00F22758" w:rsidRPr="00F22758">
        <w:t>insufficie</w:t>
      </w:r>
      <w:r w:rsidR="00F22758">
        <w:t>nt</w:t>
      </w:r>
      <w:r w:rsidR="008C4935">
        <w:t xml:space="preserve"> evidence.</w:t>
      </w:r>
    </w:p>
    <w:p w:rsidR="00A5196E" w:rsidRDefault="00170602" w:rsidP="00785ABD">
      <w:pPr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is also apparent that she had admitted her fault in the</w:t>
      </w:r>
      <w:r w:rsidR="00E033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presence of several eye</w:t>
      </w:r>
      <w:r w:rsidR="003B7A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witnesse</w:t>
      </w:r>
      <w:r w:rsidR="00F22758">
        <w:rPr>
          <w:rFonts w:eastAsia="Times New Roman"/>
          <w:sz w:val="24"/>
          <w:szCs w:val="24"/>
        </w:rPr>
        <w:t xml:space="preserve">s and the corroborated evidence </w:t>
      </w:r>
      <w:r>
        <w:rPr>
          <w:rFonts w:eastAsia="Times New Roman"/>
          <w:sz w:val="24"/>
          <w:szCs w:val="24"/>
        </w:rPr>
        <w:t>of these witnesses h</w:t>
      </w:r>
      <w:r w:rsidR="00F22758">
        <w:rPr>
          <w:rFonts w:eastAsia="Times New Roman"/>
          <w:sz w:val="24"/>
          <w:szCs w:val="24"/>
        </w:rPr>
        <w:t>ad not even been denied by the A</w:t>
      </w:r>
      <w:r>
        <w:rPr>
          <w:rFonts w:eastAsia="Times New Roman"/>
          <w:sz w:val="24"/>
          <w:szCs w:val="24"/>
        </w:rPr>
        <w:t>ppellant in her unsworn statement.</w:t>
      </w:r>
    </w:p>
    <w:p w:rsidR="00785ABD" w:rsidRDefault="00785ABD" w:rsidP="00785ABD">
      <w:pPr>
        <w:pStyle w:val="JudgmentText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813B2C">
        <w:t>For the aforementioned reasons</w:t>
      </w:r>
      <w:r>
        <w:t>, t</w:t>
      </w:r>
      <w:r w:rsidRPr="00813B2C">
        <w:t>he grounds of appeal mentioned by learned counsel</w:t>
      </w:r>
      <w:r w:rsidR="008C4935">
        <w:t xml:space="preserve"> </w:t>
      </w:r>
      <w:r w:rsidRPr="00813B2C">
        <w:t>for the Appellant</w:t>
      </w:r>
      <w:r w:rsidR="008C4935">
        <w:t xml:space="preserve"> bear no merit</w:t>
      </w:r>
      <w:r w:rsidRPr="00813B2C">
        <w:t>. I hold the conviction of the</w:t>
      </w:r>
      <w:r>
        <w:t xml:space="preserve"> Appellant of</w:t>
      </w:r>
      <w:r w:rsidRPr="00813B2C">
        <w:t xml:space="preserve"> the </w:t>
      </w:r>
      <w:r>
        <w:t>offence charged</w:t>
      </w:r>
      <w:r w:rsidRPr="00813B2C">
        <w:t xml:space="preserve"> </w:t>
      </w:r>
      <w:r w:rsidR="008C4935">
        <w:t>is well founded and</w:t>
      </w:r>
      <w:r w:rsidRPr="00813B2C">
        <w:t xml:space="preserve"> I see no reason to disturb th</w:t>
      </w:r>
      <w:r w:rsidR="007F147E">
        <w:t>e findings of the learned</w:t>
      </w:r>
      <w:r w:rsidRPr="00813B2C">
        <w:t xml:space="preserve"> Magistrate</w:t>
      </w:r>
      <w:r>
        <w:t xml:space="preserve"> in regard to conviction</w:t>
      </w:r>
      <w:r w:rsidR="008C4935">
        <w:t xml:space="preserve"> and proce</w:t>
      </w:r>
      <w:r w:rsidR="00AD19C4">
        <w:t>ed to uphold</w:t>
      </w:r>
      <w:r w:rsidR="007F147E">
        <w:t xml:space="preserve"> the</w:t>
      </w:r>
      <w:r w:rsidR="008C4935">
        <w:t xml:space="preserve"> conviction. </w:t>
      </w:r>
    </w:p>
    <w:p w:rsidR="00785ABD" w:rsidRDefault="00F22758" w:rsidP="00E033B3">
      <w:pPr>
        <w:pStyle w:val="JudgmentText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In regard to sentence</w:t>
      </w:r>
      <w:r w:rsidR="007F147E">
        <w:t>, the learned</w:t>
      </w:r>
      <w:r w:rsidR="00E033B3">
        <w:t xml:space="preserve"> Magistrate has imposed a fine of SR 4500/=. According to t</w:t>
      </w:r>
      <w:r w:rsidR="008C4935">
        <w:t>h</w:t>
      </w:r>
      <w:r w:rsidR="00E033B3">
        <w:t>e prevailing law</w:t>
      </w:r>
      <w:r w:rsidR="008C4935">
        <w:t>,</w:t>
      </w:r>
      <w:r w:rsidR="00E033B3">
        <w:t xml:space="preserve"> the lear</w:t>
      </w:r>
      <w:r w:rsidR="007F147E">
        <w:t>ned Magistrate is</w:t>
      </w:r>
      <w:r w:rsidR="008C4935">
        <w:t xml:space="preserve"> empowered to impose</w:t>
      </w:r>
      <w:r w:rsidR="00E033B3">
        <w:t xml:space="preserve"> a fine of SR 10.000 and a term of imprisonment of up to 2 years. Therefore it cannot be said that the noncustodial sentence of a fine</w:t>
      </w:r>
      <w:r w:rsidR="007F147E">
        <w:t xml:space="preserve"> of</w:t>
      </w:r>
      <w:r w:rsidR="00E033B3">
        <w:t xml:space="preserve"> SR 4500</w:t>
      </w:r>
      <w:r w:rsidR="007F147E">
        <w:t>/=</w:t>
      </w:r>
      <w:r w:rsidR="00E033B3">
        <w:t xml:space="preserve"> is harsh and excessive. </w:t>
      </w:r>
      <w:r w:rsidR="007F147E">
        <w:t>The sentence is affirmed.</w:t>
      </w:r>
    </w:p>
    <w:p w:rsidR="00785ABD" w:rsidRPr="006F5805" w:rsidRDefault="00785ABD" w:rsidP="00785ABD">
      <w:pPr>
        <w:pStyle w:val="JudgmentText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The appeal against conviction and sentence stand dismissed.</w:t>
      </w:r>
    </w:p>
    <w:p w:rsidR="007445BE" w:rsidRPr="007F147E" w:rsidRDefault="00785ABD" w:rsidP="007F147E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785ABD">
        <w:rPr>
          <w:sz w:val="24"/>
          <w:szCs w:val="24"/>
          <w:highlight w:val="lightGray"/>
        </w:rPr>
        <w:fldChar w:fldCharType="begin"/>
      </w:r>
      <w:r w:rsidRPr="00785ABD">
        <w:rPr>
          <w:sz w:val="24"/>
          <w:szCs w:val="24"/>
          <w:highlight w:val="lightGray"/>
        </w:rPr>
        <w:instrText xml:space="preserve">  </w:instrText>
      </w:r>
      <w:r w:rsidRPr="00785ABD">
        <w:rPr>
          <w:sz w:val="24"/>
          <w:szCs w:val="24"/>
          <w:highlight w:val="lightGray"/>
        </w:rPr>
        <w:fldChar w:fldCharType="end"/>
      </w:r>
    </w:p>
    <w:p w:rsidR="007445BE" w:rsidRDefault="007445BE" w:rsidP="007445BE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7445BE" w:rsidRDefault="007445BE" w:rsidP="007445BE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dated </w:t>
      </w:r>
      <w:r w:rsidR="007F147E">
        <w:rPr>
          <w:sz w:val="24"/>
          <w:szCs w:val="24"/>
        </w:rPr>
        <w:t>and delivered at Ile du Port on 19 February 2016.</w:t>
      </w:r>
    </w:p>
    <w:p w:rsidR="007445BE" w:rsidRDefault="007445BE" w:rsidP="007445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5BE" w:rsidRDefault="007445BE" w:rsidP="007445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7445BE" w:rsidRDefault="007445BE" w:rsidP="007445BE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7445B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7445BE" w:rsidRDefault="007445BE" w:rsidP="007445BE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445BE" w:rsidRPr="002A7376" w:rsidRDefault="007445BE" w:rsidP="007445BE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Govinden J"/>
            </w:ddList>
          </w:ffData>
        </w:fldChar>
      </w:r>
      <w:bookmarkStart w:id="20" w:name="Dropdown6"/>
      <w:r>
        <w:rPr>
          <w:sz w:val="24"/>
          <w:szCs w:val="24"/>
        </w:rPr>
        <w:instrText xml:space="preserve"> FORMDROPDOWN </w:instrText>
      </w:r>
      <w:r w:rsidR="00B4676E">
        <w:rPr>
          <w:sz w:val="24"/>
          <w:szCs w:val="24"/>
        </w:rPr>
      </w:r>
      <w:r w:rsidR="00B4676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</w:p>
    <w:p w:rsidR="007445BE" w:rsidRPr="00E33F35" w:rsidRDefault="007445BE" w:rsidP="007445BE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p w:rsidR="00F228AE" w:rsidRDefault="00F228AE"/>
    <w:sectPr w:rsidR="00F228AE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16" w:rsidRDefault="00785ABD">
      <w:r>
        <w:separator/>
      </w:r>
    </w:p>
  </w:endnote>
  <w:endnote w:type="continuationSeparator" w:id="0">
    <w:p w:rsidR="00174316" w:rsidRDefault="0078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FD57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76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16" w:rsidRDefault="00785ABD">
      <w:r>
        <w:separator/>
      </w:r>
    </w:p>
  </w:footnote>
  <w:footnote w:type="continuationSeparator" w:id="0">
    <w:p w:rsidR="00174316" w:rsidRDefault="0078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BE"/>
    <w:rsid w:val="000057AA"/>
    <w:rsid w:val="00012D84"/>
    <w:rsid w:val="000162FA"/>
    <w:rsid w:val="00065AA2"/>
    <w:rsid w:val="00066074"/>
    <w:rsid w:val="00080A06"/>
    <w:rsid w:val="00082053"/>
    <w:rsid w:val="000927CF"/>
    <w:rsid w:val="000C0D62"/>
    <w:rsid w:val="00113674"/>
    <w:rsid w:val="00114392"/>
    <w:rsid w:val="001243A0"/>
    <w:rsid w:val="001301A7"/>
    <w:rsid w:val="00170602"/>
    <w:rsid w:val="00174316"/>
    <w:rsid w:val="00174C6D"/>
    <w:rsid w:val="001B5138"/>
    <w:rsid w:val="001F3311"/>
    <w:rsid w:val="00222152"/>
    <w:rsid w:val="00223E19"/>
    <w:rsid w:val="002245BA"/>
    <w:rsid w:val="00244D41"/>
    <w:rsid w:val="00261B5F"/>
    <w:rsid w:val="002733E1"/>
    <w:rsid w:val="00283CA2"/>
    <w:rsid w:val="00284486"/>
    <w:rsid w:val="002E5929"/>
    <w:rsid w:val="002F0CDC"/>
    <w:rsid w:val="00316CE2"/>
    <w:rsid w:val="00317C6A"/>
    <w:rsid w:val="003B7A80"/>
    <w:rsid w:val="0040653A"/>
    <w:rsid w:val="00446663"/>
    <w:rsid w:val="004A1916"/>
    <w:rsid w:val="004E28C7"/>
    <w:rsid w:val="005632A9"/>
    <w:rsid w:val="00563C99"/>
    <w:rsid w:val="00580BA6"/>
    <w:rsid w:val="00593579"/>
    <w:rsid w:val="005D65E1"/>
    <w:rsid w:val="00684259"/>
    <w:rsid w:val="006B3702"/>
    <w:rsid w:val="006E7324"/>
    <w:rsid w:val="007445BE"/>
    <w:rsid w:val="00785ABD"/>
    <w:rsid w:val="007B3EC4"/>
    <w:rsid w:val="007B52B3"/>
    <w:rsid w:val="007B7FF8"/>
    <w:rsid w:val="007F147E"/>
    <w:rsid w:val="00810256"/>
    <w:rsid w:val="00830642"/>
    <w:rsid w:val="008320FA"/>
    <w:rsid w:val="00843ACE"/>
    <w:rsid w:val="00845DFA"/>
    <w:rsid w:val="008468AB"/>
    <w:rsid w:val="008710A9"/>
    <w:rsid w:val="0088728F"/>
    <w:rsid w:val="008C009D"/>
    <w:rsid w:val="008C2BE7"/>
    <w:rsid w:val="008C4935"/>
    <w:rsid w:val="00913990"/>
    <w:rsid w:val="009217E2"/>
    <w:rsid w:val="00933539"/>
    <w:rsid w:val="00936524"/>
    <w:rsid w:val="0095192C"/>
    <w:rsid w:val="00995ABF"/>
    <w:rsid w:val="00A054EB"/>
    <w:rsid w:val="00A5196E"/>
    <w:rsid w:val="00A97871"/>
    <w:rsid w:val="00AA4981"/>
    <w:rsid w:val="00AA51F8"/>
    <w:rsid w:val="00AB4050"/>
    <w:rsid w:val="00AB515D"/>
    <w:rsid w:val="00AD19C4"/>
    <w:rsid w:val="00B0601F"/>
    <w:rsid w:val="00B127C9"/>
    <w:rsid w:val="00B16E6E"/>
    <w:rsid w:val="00B23ADD"/>
    <w:rsid w:val="00B4676E"/>
    <w:rsid w:val="00BC0131"/>
    <w:rsid w:val="00BD45A4"/>
    <w:rsid w:val="00C16FDD"/>
    <w:rsid w:val="00C315E0"/>
    <w:rsid w:val="00C33CE0"/>
    <w:rsid w:val="00C7644A"/>
    <w:rsid w:val="00CA3C0F"/>
    <w:rsid w:val="00CB0329"/>
    <w:rsid w:val="00CC4C59"/>
    <w:rsid w:val="00CC7CB7"/>
    <w:rsid w:val="00CD0723"/>
    <w:rsid w:val="00CF6752"/>
    <w:rsid w:val="00D42121"/>
    <w:rsid w:val="00D64746"/>
    <w:rsid w:val="00D85AA0"/>
    <w:rsid w:val="00D87282"/>
    <w:rsid w:val="00D95C30"/>
    <w:rsid w:val="00DA7BF7"/>
    <w:rsid w:val="00DC058D"/>
    <w:rsid w:val="00E033B3"/>
    <w:rsid w:val="00E05DF9"/>
    <w:rsid w:val="00E11C3E"/>
    <w:rsid w:val="00F13549"/>
    <w:rsid w:val="00F22758"/>
    <w:rsid w:val="00F228AE"/>
    <w:rsid w:val="00F458D5"/>
    <w:rsid w:val="00F834C3"/>
    <w:rsid w:val="00F951F7"/>
    <w:rsid w:val="00FB2B3F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0A244-24B9-41DF-AECF-C19351B9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BE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BE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744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5BE"/>
    <w:rPr>
      <w:rFonts w:eastAsia="Calibri"/>
      <w:sz w:val="20"/>
      <w:szCs w:val="20"/>
      <w:lang w:val="en-GB"/>
    </w:rPr>
  </w:style>
  <w:style w:type="numbering" w:customStyle="1" w:styleId="Judgments">
    <w:name w:val="Judgments"/>
    <w:uiPriority w:val="99"/>
    <w:rsid w:val="007445BE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7445BE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B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1D08-936C-4DE2-B016-A1F98313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s.simeon</dc:creator>
  <cp:keywords/>
  <dc:description/>
  <cp:lastModifiedBy>mohan burhan</cp:lastModifiedBy>
  <cp:revision>29</cp:revision>
  <cp:lastPrinted>2016-02-19T07:12:00Z</cp:lastPrinted>
  <dcterms:created xsi:type="dcterms:W3CDTF">2016-02-04T10:36:00Z</dcterms:created>
  <dcterms:modified xsi:type="dcterms:W3CDTF">2016-02-19T10:48:00Z</dcterms:modified>
  <cp:contentStatus/>
</cp:coreProperties>
</file>