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CA7795">
      <w:pPr>
        <w:jc w:val="center"/>
        <w:rPr>
          <w:b/>
          <w:sz w:val="28"/>
          <w:szCs w:val="28"/>
        </w:rPr>
      </w:pPr>
      <w:r w:rsidRPr="00606EEA">
        <w:rPr>
          <w:b/>
          <w:sz w:val="28"/>
          <w:szCs w:val="28"/>
        </w:rPr>
        <w:t>IN THE SUPREME COURT OF SEYCHELLES</w:t>
      </w:r>
    </w:p>
    <w:p w:rsidR="00A53837" w:rsidRPr="00606EEA" w:rsidRDefault="00B43BE6" w:rsidP="00BA4028">
      <w:pPr>
        <w:spacing w:before="240"/>
        <w:jc w:val="center"/>
        <w:rPr>
          <w:b/>
          <w:sz w:val="24"/>
          <w:szCs w:val="24"/>
        </w:rPr>
      </w:pPr>
      <w:r>
        <w:rPr>
          <w:b/>
          <w:sz w:val="28"/>
          <w:szCs w:val="28"/>
        </w:rPr>
        <w:t xml:space="preserve">MA290/2015 and 230/2016 arising out of </w:t>
      </w:r>
      <w:bookmarkStart w:id="0" w:name="Dropdown10"/>
      <w:r w:rsidR="00A837CE">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A837CE">
        <w:rPr>
          <w:b/>
          <w:sz w:val="28"/>
          <w:szCs w:val="28"/>
        </w:rPr>
      </w:r>
      <w:r w:rsidR="00A837CE">
        <w:rPr>
          <w:b/>
          <w:sz w:val="28"/>
          <w:szCs w:val="28"/>
        </w:rPr>
        <w:fldChar w:fldCharType="end"/>
      </w:r>
      <w:bookmarkEnd w:id="0"/>
      <w:r w:rsidR="00B25F36">
        <w:rPr>
          <w:b/>
          <w:sz w:val="28"/>
          <w:szCs w:val="28"/>
        </w:rPr>
        <w:t xml:space="preserve"> 127</w:t>
      </w:r>
      <w:r w:rsidR="00C55FDF" w:rsidRPr="00B75AE2">
        <w:rPr>
          <w:b/>
          <w:sz w:val="28"/>
          <w:szCs w:val="28"/>
        </w:rPr>
        <w:t>/</w:t>
      </w:r>
      <w:r w:rsidR="00B25F36">
        <w:rPr>
          <w:b/>
          <w:sz w:val="28"/>
          <w:szCs w:val="28"/>
        </w:rPr>
        <w:t>2011</w:t>
      </w:r>
      <w:r w:rsidR="00A837CE">
        <w:rPr>
          <w:b/>
          <w:sz w:val="24"/>
          <w:szCs w:val="24"/>
          <w:highlight w:val="lightGray"/>
        </w:rPr>
        <w:fldChar w:fldCharType="begin"/>
      </w:r>
      <w:r w:rsidR="00A837CE">
        <w:rPr>
          <w:b/>
          <w:sz w:val="24"/>
          <w:szCs w:val="24"/>
          <w:highlight w:val="lightGray"/>
        </w:rPr>
        <w:fldChar w:fldCharType="end"/>
      </w:r>
    </w:p>
    <w:p w:rsidR="00DB6D34" w:rsidRPr="00606EEA" w:rsidRDefault="00DB6D34" w:rsidP="003651F4">
      <w:pPr>
        <w:spacing w:before="240" w:after="160"/>
        <w:ind w:left="6480"/>
        <w:rPr>
          <w:b/>
          <w:sz w:val="24"/>
          <w:szCs w:val="24"/>
        </w:rPr>
      </w:pPr>
      <w:proofErr w:type="gramStart"/>
      <w:r w:rsidRPr="00606EEA">
        <w:rPr>
          <w:b/>
          <w:sz w:val="24"/>
          <w:szCs w:val="24"/>
        </w:rPr>
        <w:t>[</w:t>
      </w:r>
      <w:r w:rsidR="00967E7E">
        <w:rPr>
          <w:b/>
          <w:sz w:val="24"/>
          <w:szCs w:val="24"/>
        </w:rPr>
        <w:t xml:space="preserve"> 201</w:t>
      </w:r>
      <w:proofErr w:type="gramEnd"/>
      <w:r w:rsidR="000815C4">
        <w:rPr>
          <w:b/>
          <w:sz w:val="24"/>
          <w:szCs w:val="24"/>
        </w:rPr>
        <w:t xml:space="preserve">  </w:t>
      </w:r>
      <w:r w:rsidR="00967E7E">
        <w:rPr>
          <w:b/>
          <w:sz w:val="24"/>
          <w:szCs w:val="24"/>
        </w:rPr>
        <w:t xml:space="preserve">   </w:t>
      </w:r>
      <w:r w:rsidR="00A837CE">
        <w:rPr>
          <w:b/>
          <w:sz w:val="24"/>
          <w:szCs w:val="24"/>
        </w:rPr>
        <w:fldChar w:fldCharType="begin"/>
      </w:r>
      <w:r w:rsidR="00A837CE">
        <w:rPr>
          <w:b/>
          <w:sz w:val="24"/>
          <w:szCs w:val="24"/>
        </w:rPr>
        <w:fldChar w:fldCharType="end"/>
      </w:r>
      <w:r w:rsidRPr="00606EEA">
        <w:rPr>
          <w:b/>
          <w:sz w:val="24"/>
          <w:szCs w:val="24"/>
        </w:rPr>
        <w:t>] SCSC</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1" w:name="Text20"/>
    <w:p w:rsidR="00FB2453" w:rsidRPr="00B119B1" w:rsidRDefault="00A837CE"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1"/>
    </w:p>
    <w:p w:rsidR="004C3D80" w:rsidRPr="007F50F8" w:rsidRDefault="00B25F36" w:rsidP="00B43BE6">
      <w:pPr>
        <w:spacing w:after="240"/>
        <w:ind w:firstLine="720"/>
        <w:rPr>
          <w:b/>
          <w:sz w:val="24"/>
          <w:szCs w:val="24"/>
          <w:lang w:val="fr-FR"/>
        </w:rPr>
      </w:pPr>
      <w:bookmarkStart w:id="2" w:name="Dropdown13"/>
      <w:r w:rsidRPr="007F50F8">
        <w:rPr>
          <w:sz w:val="24"/>
          <w:szCs w:val="24"/>
          <w:lang w:val="fr-FR"/>
        </w:rPr>
        <w:t xml:space="preserve">Ruth </w:t>
      </w:r>
      <w:proofErr w:type="spellStart"/>
      <w:r w:rsidRPr="007F50F8">
        <w:rPr>
          <w:sz w:val="24"/>
          <w:szCs w:val="24"/>
          <w:lang w:val="fr-FR"/>
        </w:rPr>
        <w:t>Erne</w:t>
      </w:r>
      <w:proofErr w:type="spellEnd"/>
      <w:r w:rsidR="00F13199" w:rsidRPr="007F50F8">
        <w:rPr>
          <w:sz w:val="24"/>
          <w:szCs w:val="24"/>
          <w:lang w:val="fr-FR"/>
        </w:rPr>
        <w:tab/>
      </w:r>
      <w:r w:rsidR="00B43BE6" w:rsidRPr="007F50F8">
        <w:rPr>
          <w:sz w:val="24"/>
          <w:szCs w:val="24"/>
          <w:lang w:val="fr-FR"/>
        </w:rPr>
        <w:tab/>
      </w:r>
      <w:r w:rsidR="00B43BE6" w:rsidRPr="007F50F8">
        <w:rPr>
          <w:sz w:val="24"/>
          <w:szCs w:val="24"/>
          <w:lang w:val="fr-FR"/>
        </w:rPr>
        <w:tab/>
      </w:r>
      <w:r w:rsidR="00B43BE6" w:rsidRPr="007F50F8">
        <w:rPr>
          <w:sz w:val="24"/>
          <w:szCs w:val="24"/>
          <w:lang w:val="fr-FR"/>
        </w:rPr>
        <w:tab/>
      </w:r>
      <w:r w:rsidR="00B43BE6" w:rsidRPr="007F50F8">
        <w:rPr>
          <w:sz w:val="24"/>
          <w:szCs w:val="24"/>
          <w:lang w:val="fr-FR"/>
        </w:rPr>
        <w:tab/>
      </w:r>
      <w:r w:rsidR="00B43BE6" w:rsidRPr="007F50F8">
        <w:rPr>
          <w:sz w:val="24"/>
          <w:szCs w:val="24"/>
          <w:lang w:val="fr-FR"/>
        </w:rPr>
        <w:tab/>
      </w:r>
      <w:r w:rsidR="00B43BE6" w:rsidRPr="007F50F8">
        <w:rPr>
          <w:sz w:val="24"/>
          <w:szCs w:val="24"/>
          <w:lang w:val="fr-FR"/>
        </w:rPr>
        <w:tab/>
      </w:r>
      <w:r w:rsidR="00B43BE6" w:rsidRPr="007F50F8">
        <w:rPr>
          <w:sz w:val="24"/>
          <w:szCs w:val="24"/>
          <w:lang w:val="fr-FR"/>
        </w:rPr>
        <w:tab/>
      </w:r>
      <w:r w:rsidR="00A837CE">
        <w:rPr>
          <w:sz w:val="24"/>
          <w:szCs w:val="24"/>
        </w:rPr>
        <w:fldChar w:fldCharType="begin">
          <w:ffData>
            <w:name w:val="Dropdown13"/>
            <w:enabled/>
            <w:calcOnExit w:val="0"/>
            <w:ddList>
              <w:listEntry w:val="Plaintiff"/>
              <w:listEntry w:val="First Plaintiff"/>
            </w:ddList>
          </w:ffData>
        </w:fldChar>
      </w:r>
      <w:r w:rsidR="00B40898" w:rsidRPr="007F50F8">
        <w:rPr>
          <w:sz w:val="24"/>
          <w:szCs w:val="24"/>
          <w:lang w:val="fr-FR"/>
        </w:rPr>
        <w:instrText xml:space="preserve"> FORMDROPDOWN </w:instrText>
      </w:r>
      <w:r w:rsidR="00A837CE">
        <w:rPr>
          <w:sz w:val="24"/>
          <w:szCs w:val="24"/>
        </w:rPr>
      </w:r>
      <w:r w:rsidR="00A837CE">
        <w:rPr>
          <w:sz w:val="24"/>
          <w:szCs w:val="24"/>
        </w:rPr>
        <w:fldChar w:fldCharType="end"/>
      </w:r>
      <w:bookmarkEnd w:id="2"/>
    </w:p>
    <w:p w:rsidR="00FB2453" w:rsidRPr="007F50F8" w:rsidRDefault="00FB2453" w:rsidP="00B40898">
      <w:pPr>
        <w:spacing w:before="120"/>
        <w:jc w:val="center"/>
        <w:rPr>
          <w:sz w:val="24"/>
          <w:szCs w:val="24"/>
          <w:lang w:val="fr-FR"/>
        </w:rPr>
      </w:pPr>
      <w:r w:rsidRPr="007F50F8">
        <w:rPr>
          <w:sz w:val="24"/>
          <w:szCs w:val="24"/>
          <w:lang w:val="fr-FR"/>
        </w:rPr>
        <w:t>versus</w:t>
      </w:r>
    </w:p>
    <w:p w:rsidR="00FB2453" w:rsidRPr="007F50F8" w:rsidRDefault="00FB2453" w:rsidP="003862CB">
      <w:pPr>
        <w:jc w:val="center"/>
        <w:rPr>
          <w:sz w:val="24"/>
          <w:szCs w:val="24"/>
          <w:lang w:val="fr-FR"/>
        </w:rPr>
      </w:pPr>
    </w:p>
    <w:p w:rsidR="00B43BE6" w:rsidRPr="007F50F8" w:rsidRDefault="00B43BE6" w:rsidP="00B43BE6">
      <w:pPr>
        <w:spacing w:after="240"/>
        <w:ind w:firstLine="720"/>
        <w:rPr>
          <w:sz w:val="24"/>
          <w:szCs w:val="24"/>
          <w:lang w:val="fr-FR"/>
        </w:rPr>
      </w:pPr>
      <w:bookmarkStart w:id="3" w:name="Dropdown14"/>
      <w:r w:rsidRPr="007F50F8">
        <w:rPr>
          <w:sz w:val="24"/>
          <w:szCs w:val="24"/>
          <w:lang w:val="fr-FR"/>
        </w:rPr>
        <w:t xml:space="preserve">1. </w:t>
      </w:r>
      <w:r w:rsidR="00B25F36" w:rsidRPr="007F50F8">
        <w:rPr>
          <w:sz w:val="24"/>
          <w:szCs w:val="24"/>
          <w:lang w:val="fr-FR"/>
        </w:rPr>
        <w:t xml:space="preserve">Julia </w:t>
      </w:r>
      <w:proofErr w:type="spellStart"/>
      <w:r w:rsidR="00B25F36" w:rsidRPr="007F50F8">
        <w:rPr>
          <w:sz w:val="24"/>
          <w:szCs w:val="24"/>
          <w:lang w:val="fr-FR"/>
        </w:rPr>
        <w:t>Brain</w:t>
      </w:r>
      <w:proofErr w:type="spellEnd"/>
      <w:r w:rsidR="00B25F36" w:rsidRPr="007F50F8">
        <w:rPr>
          <w:sz w:val="24"/>
          <w:szCs w:val="24"/>
          <w:lang w:val="fr-FR"/>
        </w:rPr>
        <w:t xml:space="preserve"> </w:t>
      </w:r>
      <w:r w:rsidR="00F13199" w:rsidRPr="007F50F8">
        <w:rPr>
          <w:sz w:val="24"/>
          <w:szCs w:val="24"/>
          <w:lang w:val="fr-FR"/>
        </w:rPr>
        <w:tab/>
      </w:r>
    </w:p>
    <w:p w:rsidR="00B43BE6" w:rsidRPr="007F50F8" w:rsidRDefault="00B43BE6" w:rsidP="00B43BE6">
      <w:pPr>
        <w:spacing w:after="240"/>
        <w:ind w:firstLine="720"/>
        <w:rPr>
          <w:sz w:val="24"/>
          <w:szCs w:val="24"/>
          <w:lang w:val="fr-FR"/>
        </w:rPr>
      </w:pPr>
      <w:r w:rsidRPr="007F50F8">
        <w:rPr>
          <w:sz w:val="24"/>
          <w:szCs w:val="24"/>
          <w:lang w:val="fr-FR"/>
        </w:rPr>
        <w:t xml:space="preserve">2. Mary </w:t>
      </w:r>
      <w:proofErr w:type="spellStart"/>
      <w:r w:rsidRPr="007F50F8">
        <w:rPr>
          <w:sz w:val="24"/>
          <w:szCs w:val="24"/>
          <w:lang w:val="fr-FR"/>
        </w:rPr>
        <w:t>Nicette</w:t>
      </w:r>
      <w:proofErr w:type="spellEnd"/>
    </w:p>
    <w:p w:rsidR="00B43BE6" w:rsidRPr="007F50F8" w:rsidRDefault="00C44ED9" w:rsidP="00B43BE6">
      <w:pPr>
        <w:spacing w:after="240"/>
        <w:ind w:firstLine="720"/>
        <w:rPr>
          <w:sz w:val="24"/>
          <w:szCs w:val="24"/>
          <w:lang w:val="fr-FR"/>
        </w:rPr>
      </w:pPr>
      <w:r w:rsidRPr="007F50F8">
        <w:rPr>
          <w:sz w:val="24"/>
          <w:szCs w:val="24"/>
          <w:lang w:val="fr-FR"/>
        </w:rPr>
        <w:t>3. Anita</w:t>
      </w:r>
      <w:r w:rsidR="005D3D42">
        <w:rPr>
          <w:sz w:val="24"/>
          <w:szCs w:val="24"/>
          <w:lang w:val="fr-FR"/>
        </w:rPr>
        <w:t xml:space="preserve"> </w:t>
      </w:r>
      <w:proofErr w:type="spellStart"/>
      <w:r w:rsidR="00B43BE6" w:rsidRPr="007F50F8">
        <w:rPr>
          <w:sz w:val="24"/>
          <w:szCs w:val="24"/>
          <w:lang w:val="fr-FR"/>
        </w:rPr>
        <w:t>Nicette</w:t>
      </w:r>
      <w:proofErr w:type="spellEnd"/>
    </w:p>
    <w:p w:rsidR="00B43BE6" w:rsidRPr="007F50F8" w:rsidRDefault="00C44ED9" w:rsidP="00B43BE6">
      <w:pPr>
        <w:spacing w:after="240"/>
        <w:ind w:firstLine="720"/>
        <w:rPr>
          <w:sz w:val="24"/>
          <w:szCs w:val="24"/>
          <w:lang w:val="fr-FR"/>
        </w:rPr>
      </w:pPr>
      <w:r w:rsidRPr="007F50F8">
        <w:rPr>
          <w:sz w:val="24"/>
          <w:szCs w:val="24"/>
          <w:lang w:val="fr-FR"/>
        </w:rPr>
        <w:t xml:space="preserve">4. </w:t>
      </w:r>
      <w:r w:rsidR="00B43BE6" w:rsidRPr="007F50F8">
        <w:rPr>
          <w:sz w:val="24"/>
          <w:szCs w:val="24"/>
          <w:lang w:val="fr-FR"/>
        </w:rPr>
        <w:t xml:space="preserve">Laura </w:t>
      </w:r>
      <w:proofErr w:type="spellStart"/>
      <w:r w:rsidR="00B43BE6" w:rsidRPr="007F50F8">
        <w:rPr>
          <w:sz w:val="24"/>
          <w:szCs w:val="24"/>
          <w:lang w:val="fr-FR"/>
        </w:rPr>
        <w:t>Nicette</w:t>
      </w:r>
      <w:proofErr w:type="spellEnd"/>
    </w:p>
    <w:p w:rsidR="00B43BE6" w:rsidRPr="00967E7E" w:rsidRDefault="00C44ED9" w:rsidP="00B43BE6">
      <w:pPr>
        <w:spacing w:after="240"/>
        <w:ind w:firstLine="720"/>
        <w:rPr>
          <w:sz w:val="24"/>
          <w:szCs w:val="24"/>
          <w:lang w:val="en-US"/>
        </w:rPr>
      </w:pPr>
      <w:r w:rsidRPr="00967E7E">
        <w:rPr>
          <w:sz w:val="24"/>
          <w:szCs w:val="24"/>
          <w:lang w:val="en-US"/>
        </w:rPr>
        <w:t xml:space="preserve">5. </w:t>
      </w:r>
      <w:r w:rsidR="00B43BE6" w:rsidRPr="00967E7E">
        <w:rPr>
          <w:sz w:val="24"/>
          <w:szCs w:val="24"/>
          <w:lang w:val="en-US"/>
        </w:rPr>
        <w:t>Jourdanne</w:t>
      </w:r>
      <w:r w:rsidR="005D3D42" w:rsidRPr="00967E7E">
        <w:rPr>
          <w:sz w:val="24"/>
          <w:szCs w:val="24"/>
          <w:lang w:val="en-US"/>
        </w:rPr>
        <w:t xml:space="preserve"> </w:t>
      </w:r>
      <w:proofErr w:type="spellStart"/>
      <w:r w:rsidR="00B43BE6" w:rsidRPr="00967E7E">
        <w:rPr>
          <w:sz w:val="24"/>
          <w:szCs w:val="24"/>
          <w:lang w:val="en-US"/>
        </w:rPr>
        <w:t>Nicette</w:t>
      </w:r>
      <w:proofErr w:type="spellEnd"/>
    </w:p>
    <w:p w:rsidR="00B119B1" w:rsidRDefault="00C44ED9" w:rsidP="00BA4028">
      <w:pPr>
        <w:spacing w:after="240"/>
        <w:ind w:firstLine="720"/>
        <w:rPr>
          <w:sz w:val="24"/>
          <w:szCs w:val="24"/>
        </w:rPr>
        <w:sectPr w:rsidR="00B119B1" w:rsidSect="00EF2051">
          <w:footerReference w:type="default" r:id="rId8"/>
          <w:type w:val="continuous"/>
          <w:pgSz w:w="12240" w:h="15840"/>
          <w:pgMar w:top="1440" w:right="1440" w:bottom="1440" w:left="1440" w:header="720" w:footer="720" w:gutter="0"/>
          <w:cols w:space="720"/>
          <w:formProt w:val="0"/>
          <w:docGrid w:linePitch="360"/>
        </w:sectPr>
      </w:pPr>
      <w:r>
        <w:rPr>
          <w:sz w:val="24"/>
          <w:szCs w:val="24"/>
        </w:rPr>
        <w:t xml:space="preserve">6. </w:t>
      </w:r>
      <w:r w:rsidR="00B43BE6">
        <w:rPr>
          <w:sz w:val="24"/>
          <w:szCs w:val="24"/>
        </w:rPr>
        <w:t xml:space="preserve">Mary May </w:t>
      </w:r>
      <w:proofErr w:type="spellStart"/>
      <w:r w:rsidR="00B43BE6">
        <w:rPr>
          <w:sz w:val="24"/>
          <w:szCs w:val="24"/>
        </w:rPr>
        <w:t>Nicette</w:t>
      </w:r>
      <w:proofErr w:type="spellEnd"/>
      <w:r w:rsidR="00B43BE6">
        <w:rPr>
          <w:sz w:val="24"/>
          <w:szCs w:val="24"/>
        </w:rPr>
        <w:tab/>
      </w:r>
      <w:r w:rsidR="00B43BE6">
        <w:rPr>
          <w:sz w:val="24"/>
          <w:szCs w:val="24"/>
        </w:rPr>
        <w:tab/>
      </w:r>
      <w:r w:rsidR="00B43BE6">
        <w:rPr>
          <w:sz w:val="24"/>
          <w:szCs w:val="24"/>
        </w:rPr>
        <w:tab/>
      </w:r>
      <w:r w:rsidR="00B43BE6">
        <w:rPr>
          <w:sz w:val="24"/>
          <w:szCs w:val="24"/>
        </w:rPr>
        <w:tab/>
      </w:r>
      <w:r w:rsidR="00B43BE6">
        <w:rPr>
          <w:sz w:val="24"/>
          <w:szCs w:val="24"/>
        </w:rPr>
        <w:tab/>
      </w:r>
      <w:r w:rsidR="00B43BE6">
        <w:rPr>
          <w:sz w:val="24"/>
          <w:szCs w:val="24"/>
        </w:rPr>
        <w:tab/>
      </w:r>
      <w:r w:rsidR="00B43BE6">
        <w:rPr>
          <w:sz w:val="24"/>
          <w:szCs w:val="24"/>
        </w:rPr>
        <w:tab/>
      </w:r>
      <w:r w:rsidR="00A837CE">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A837CE">
        <w:rPr>
          <w:sz w:val="24"/>
          <w:szCs w:val="24"/>
        </w:rPr>
      </w:r>
      <w:r w:rsidR="00A837CE">
        <w:rPr>
          <w:sz w:val="24"/>
          <w:szCs w:val="24"/>
        </w:rPr>
        <w:fldChar w:fldCharType="end"/>
      </w:r>
      <w:bookmarkEnd w:id="3"/>
      <w:r w:rsidR="00B43BE6">
        <w:rPr>
          <w:sz w:val="24"/>
          <w:szCs w:val="24"/>
        </w:rPr>
        <w:t>s</w:t>
      </w: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B43BE6">
        <w:rPr>
          <w:sz w:val="24"/>
          <w:szCs w:val="24"/>
        </w:rPr>
        <w:tab/>
        <w:t>15 November 2016</w:t>
      </w:r>
      <w:r w:rsidR="00F13199">
        <w:rPr>
          <w:sz w:val="24"/>
          <w:szCs w:val="24"/>
        </w:rPr>
        <w:tab/>
      </w:r>
      <w:r w:rsidRPr="00E0467F">
        <w:rPr>
          <w:sz w:val="24"/>
          <w:szCs w:val="24"/>
        </w:rPr>
        <w:tab/>
      </w:r>
      <w:r w:rsidRPr="00E0467F">
        <w:rPr>
          <w:sz w:val="24"/>
          <w:szCs w:val="24"/>
        </w:rPr>
        <w:tab/>
      </w:r>
      <w:bookmarkStart w:id="4" w:name="Text34"/>
      <w:r w:rsidR="00A837CE">
        <w:rPr>
          <w:sz w:val="24"/>
          <w:szCs w:val="24"/>
        </w:rPr>
        <w:fldChar w:fldCharType="begin">
          <w:ffData>
            <w:name w:val="Text34"/>
            <w:enabled/>
            <w:calcOnExit w:val="0"/>
            <w:textInput/>
          </w:ffData>
        </w:fldChar>
      </w:r>
      <w:r w:rsidR="002A7376">
        <w:rPr>
          <w:sz w:val="24"/>
          <w:szCs w:val="24"/>
        </w:rPr>
        <w:instrText xml:space="preserve"> FORMTEXT </w:instrText>
      </w:r>
      <w:r w:rsidR="00A837CE">
        <w:rPr>
          <w:sz w:val="24"/>
          <w:szCs w:val="24"/>
        </w:rPr>
      </w:r>
      <w:r w:rsidR="00A837CE">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A837CE">
        <w:rPr>
          <w:sz w:val="24"/>
          <w:szCs w:val="24"/>
        </w:rPr>
        <w:fldChar w:fldCharType="end"/>
      </w:r>
      <w:bookmarkEnd w:id="4"/>
      <w:r w:rsidR="00A837CE">
        <w:rPr>
          <w:sz w:val="24"/>
          <w:szCs w:val="24"/>
        </w:rPr>
        <w:fldChar w:fldCharType="begin"/>
      </w:r>
      <w:r w:rsidR="00A837CE">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B43BE6">
        <w:rPr>
          <w:sz w:val="24"/>
          <w:szCs w:val="24"/>
        </w:rPr>
        <w:tab/>
        <w:t xml:space="preserve">Mr. </w:t>
      </w:r>
      <w:r w:rsidR="00B25F36">
        <w:rPr>
          <w:sz w:val="24"/>
          <w:szCs w:val="24"/>
        </w:rPr>
        <w:t xml:space="preserve">Serge Rouillon for the </w:t>
      </w:r>
      <w:bookmarkStart w:id="5" w:name="Dropdown11"/>
      <w:r w:rsidR="00A837CE">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A837CE">
        <w:rPr>
          <w:sz w:val="24"/>
          <w:szCs w:val="24"/>
        </w:rPr>
      </w:r>
      <w:r w:rsidR="00A837CE">
        <w:rPr>
          <w:sz w:val="24"/>
          <w:szCs w:val="24"/>
        </w:rPr>
        <w:fldChar w:fldCharType="end"/>
      </w:r>
      <w:bookmarkEnd w:id="5"/>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837CE">
        <w:rPr>
          <w:sz w:val="24"/>
          <w:szCs w:val="24"/>
        </w:rPr>
        <w:fldChar w:fldCharType="begin">
          <w:ffData>
            <w:name w:val="Text36"/>
            <w:enabled/>
            <w:calcOnExit w:val="0"/>
            <w:textInput/>
          </w:ffData>
        </w:fldChar>
      </w:r>
      <w:bookmarkStart w:id="6" w:name="Text36"/>
      <w:r>
        <w:rPr>
          <w:sz w:val="24"/>
          <w:szCs w:val="24"/>
        </w:rPr>
        <w:instrText xml:space="preserve"> FORMTEXT </w:instrText>
      </w:r>
      <w:r w:rsidR="00A837CE">
        <w:rPr>
          <w:sz w:val="24"/>
          <w:szCs w:val="24"/>
        </w:rPr>
      </w:r>
      <w:r w:rsidR="00A837C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837CE">
        <w:rPr>
          <w:sz w:val="24"/>
          <w:szCs w:val="24"/>
        </w:rPr>
        <w:fldChar w:fldCharType="end"/>
      </w:r>
      <w:bookmarkEnd w:id="6"/>
    </w:p>
    <w:p w:rsidR="005F5FB0" w:rsidRDefault="009E05E5" w:rsidP="00A53837">
      <w:pPr>
        <w:rPr>
          <w:sz w:val="24"/>
          <w:szCs w:val="24"/>
        </w:rPr>
      </w:pPr>
      <w:r>
        <w:rPr>
          <w:sz w:val="24"/>
          <w:szCs w:val="24"/>
        </w:rPr>
        <w:lastRenderedPageBreak/>
        <w:tab/>
      </w:r>
      <w:r w:rsidR="00B43BE6">
        <w:rPr>
          <w:sz w:val="24"/>
          <w:szCs w:val="24"/>
        </w:rPr>
        <w:tab/>
        <w:t xml:space="preserve">Mr. </w:t>
      </w:r>
      <w:proofErr w:type="spellStart"/>
      <w:r w:rsidR="00B25F36">
        <w:rPr>
          <w:sz w:val="24"/>
          <w:szCs w:val="24"/>
        </w:rPr>
        <w:t>Divino</w:t>
      </w:r>
      <w:proofErr w:type="spellEnd"/>
      <w:r w:rsidR="00B25F36">
        <w:rPr>
          <w:sz w:val="24"/>
          <w:szCs w:val="24"/>
        </w:rPr>
        <w:t xml:space="preserve"> </w:t>
      </w:r>
      <w:proofErr w:type="spellStart"/>
      <w:r w:rsidR="00B25F36">
        <w:rPr>
          <w:sz w:val="24"/>
          <w:szCs w:val="24"/>
        </w:rPr>
        <w:t>Sabino</w:t>
      </w:r>
      <w:proofErr w:type="spellEnd"/>
      <w:r w:rsidR="00B25F36">
        <w:rPr>
          <w:sz w:val="24"/>
          <w:szCs w:val="24"/>
        </w:rPr>
        <w:t xml:space="preserve"> for the </w:t>
      </w:r>
      <w:bookmarkStart w:id="7" w:name="Dropdown12"/>
      <w:r w:rsidR="00B43BE6">
        <w:rPr>
          <w:sz w:val="24"/>
          <w:szCs w:val="24"/>
        </w:rPr>
        <w:t>1</w:t>
      </w:r>
      <w:r w:rsidR="00B43BE6" w:rsidRPr="00B43BE6">
        <w:rPr>
          <w:sz w:val="24"/>
          <w:szCs w:val="24"/>
          <w:vertAlign w:val="superscript"/>
        </w:rPr>
        <w:t>st</w:t>
      </w:r>
      <w:r w:rsidR="00A837CE">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A837CE">
        <w:rPr>
          <w:sz w:val="24"/>
          <w:szCs w:val="24"/>
        </w:rPr>
      </w:r>
      <w:r w:rsidR="00A837CE">
        <w:rPr>
          <w:sz w:val="24"/>
          <w:szCs w:val="24"/>
        </w:rPr>
        <w:fldChar w:fldCharType="end"/>
      </w:r>
      <w:bookmarkEnd w:id="7"/>
    </w:p>
    <w:p w:rsidR="00B43BE6" w:rsidRDefault="00B43BE6" w:rsidP="00A53837">
      <w:pPr>
        <w:rPr>
          <w:sz w:val="24"/>
          <w:szCs w:val="24"/>
        </w:rPr>
      </w:pPr>
      <w:r>
        <w:rPr>
          <w:sz w:val="24"/>
          <w:szCs w:val="24"/>
        </w:rPr>
        <w:tab/>
      </w:r>
    </w:p>
    <w:p w:rsidR="00B43BE6" w:rsidRDefault="00B43BE6" w:rsidP="00B43BE6">
      <w:pPr>
        <w:ind w:left="1440"/>
        <w:rPr>
          <w:sz w:val="24"/>
          <w:szCs w:val="24"/>
        </w:rPr>
        <w:sectPr w:rsidR="00B43BE6" w:rsidSect="00EF2051">
          <w:type w:val="continuous"/>
          <w:pgSz w:w="12240" w:h="15840"/>
          <w:pgMar w:top="1440" w:right="1440" w:bottom="1440" w:left="1440" w:header="720" w:footer="720" w:gutter="0"/>
          <w:cols w:space="720"/>
          <w:docGrid w:linePitch="360"/>
        </w:sectPr>
      </w:pPr>
      <w:proofErr w:type="gramStart"/>
      <w:r>
        <w:rPr>
          <w:sz w:val="24"/>
          <w:szCs w:val="24"/>
        </w:rPr>
        <w:t>Mr. Francis Chang-Sam and Ms. Edith Wong for 2</w:t>
      </w:r>
      <w:r w:rsidRPr="00B43BE6">
        <w:rPr>
          <w:sz w:val="24"/>
          <w:szCs w:val="24"/>
          <w:vertAlign w:val="superscript"/>
        </w:rPr>
        <w:t>nd</w:t>
      </w:r>
      <w:r>
        <w:rPr>
          <w:sz w:val="24"/>
          <w:szCs w:val="24"/>
        </w:rPr>
        <w:t>, 3</w:t>
      </w:r>
      <w:r w:rsidRPr="00B43BE6">
        <w:rPr>
          <w:sz w:val="24"/>
          <w:szCs w:val="24"/>
          <w:vertAlign w:val="superscript"/>
        </w:rPr>
        <w:t>rd</w:t>
      </w:r>
      <w:r>
        <w:rPr>
          <w:sz w:val="24"/>
          <w:szCs w:val="24"/>
        </w:rPr>
        <w:t>, 4</w:t>
      </w:r>
      <w:r w:rsidRPr="00B43BE6">
        <w:rPr>
          <w:sz w:val="24"/>
          <w:szCs w:val="24"/>
          <w:vertAlign w:val="superscript"/>
        </w:rPr>
        <w:t>th</w:t>
      </w:r>
      <w:r>
        <w:rPr>
          <w:sz w:val="24"/>
          <w:szCs w:val="24"/>
        </w:rPr>
        <w:t>, 5</w:t>
      </w:r>
      <w:r w:rsidRPr="00B43BE6">
        <w:rPr>
          <w:sz w:val="24"/>
          <w:szCs w:val="24"/>
          <w:vertAlign w:val="superscript"/>
        </w:rPr>
        <w:t>th</w:t>
      </w:r>
      <w:r>
        <w:rPr>
          <w:sz w:val="24"/>
          <w:szCs w:val="24"/>
        </w:rPr>
        <w:t xml:space="preserve"> and 6</w:t>
      </w:r>
      <w:r w:rsidRPr="00B43BE6">
        <w:rPr>
          <w:sz w:val="24"/>
          <w:szCs w:val="24"/>
          <w:vertAlign w:val="superscript"/>
        </w:rPr>
        <w:t>th</w:t>
      </w:r>
      <w:r>
        <w:rPr>
          <w:sz w:val="24"/>
          <w:szCs w:val="24"/>
        </w:rPr>
        <w:t xml:space="preserve"> defendants.</w:t>
      </w:r>
      <w:proofErr w:type="gramEnd"/>
      <w:r>
        <w:rPr>
          <w:sz w:val="24"/>
          <w:szCs w:val="24"/>
        </w:rPr>
        <w:t xml:space="preserve">         </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837CE">
        <w:rPr>
          <w:sz w:val="24"/>
          <w:szCs w:val="24"/>
        </w:rPr>
        <w:fldChar w:fldCharType="begin">
          <w:ffData>
            <w:name w:val="Text37"/>
            <w:enabled/>
            <w:calcOnExit w:val="0"/>
            <w:textInput/>
          </w:ffData>
        </w:fldChar>
      </w:r>
      <w:bookmarkStart w:id="8" w:name="Text37"/>
      <w:r>
        <w:rPr>
          <w:sz w:val="24"/>
          <w:szCs w:val="24"/>
        </w:rPr>
        <w:instrText xml:space="preserve"> FORMTEXT </w:instrText>
      </w:r>
      <w:r w:rsidR="00A837CE">
        <w:rPr>
          <w:sz w:val="24"/>
          <w:szCs w:val="24"/>
        </w:rPr>
      </w:r>
      <w:r w:rsidR="00A837C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837CE">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B43BE6" w:rsidRPr="00E0467F">
        <w:rPr>
          <w:sz w:val="24"/>
          <w:szCs w:val="24"/>
        </w:rPr>
        <w:t>:</w:t>
      </w:r>
      <w:r w:rsidR="00B43BE6">
        <w:rPr>
          <w:sz w:val="24"/>
          <w:szCs w:val="24"/>
        </w:rPr>
        <w:tab/>
        <w:t>13 January 2017</w:t>
      </w:r>
      <w:r w:rsidR="00E0467F">
        <w:rPr>
          <w:sz w:val="24"/>
          <w:szCs w:val="24"/>
        </w:rPr>
        <w:tab/>
      </w:r>
      <w:bookmarkStart w:id="9" w:name="Text26"/>
      <w:r w:rsidR="00A837CE">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A837CE">
        <w:rPr>
          <w:sz w:val="24"/>
          <w:szCs w:val="24"/>
        </w:rPr>
      </w:r>
      <w:r w:rsidR="00A837CE">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A837CE">
        <w:rPr>
          <w:sz w:val="24"/>
          <w:szCs w:val="24"/>
        </w:rPr>
        <w:fldChar w:fldCharType="end"/>
      </w:r>
      <w:bookmarkEnd w:id="9"/>
    </w:p>
    <w:p w:rsidR="00C87FCA" w:rsidRPr="00BA4028" w:rsidRDefault="00BA4028" w:rsidP="00C87FCA">
      <w:pPr>
        <w:pBdr>
          <w:top w:val="dotted" w:sz="4" w:space="1" w:color="auto"/>
          <w:bottom w:val="dotted" w:sz="4" w:space="1" w:color="auto"/>
        </w:pBdr>
        <w:jc w:val="center"/>
        <w:rPr>
          <w:b/>
          <w:sz w:val="24"/>
          <w:szCs w:val="24"/>
        </w:rPr>
      </w:pPr>
      <w:r w:rsidRPr="00BA4028">
        <w:rPr>
          <w:b/>
          <w:sz w:val="24"/>
          <w:szCs w:val="24"/>
        </w:rPr>
        <w:t>RULING</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82FF4" w:rsidRDefault="00B43BE6" w:rsidP="00E618A6">
      <w:pPr>
        <w:pStyle w:val="JudgmentText"/>
      </w:pPr>
      <w:r>
        <w:lastRenderedPageBreak/>
        <w:t>The Plaintiff entered a Plaint on 30 June 2011 against the 1</w:t>
      </w:r>
      <w:r w:rsidRPr="00B43BE6">
        <w:rPr>
          <w:vertAlign w:val="superscript"/>
        </w:rPr>
        <w:t>st</w:t>
      </w:r>
      <w:r>
        <w:t xml:space="preserve"> Defendant in which she sought an order from the court declaring that she had a </w:t>
      </w:r>
      <w:proofErr w:type="spellStart"/>
      <w:r>
        <w:t>motorable</w:t>
      </w:r>
      <w:proofErr w:type="spellEnd"/>
      <w:r>
        <w:t xml:space="preserve"> right of way over the 1</w:t>
      </w:r>
      <w:r w:rsidRPr="00B43BE6">
        <w:rPr>
          <w:vertAlign w:val="superscript"/>
        </w:rPr>
        <w:t>st</w:t>
      </w:r>
      <w:r w:rsidR="000F6ECE">
        <w:rPr>
          <w:vertAlign w:val="superscript"/>
        </w:rPr>
        <w:t xml:space="preserve"> </w:t>
      </w:r>
      <w:r w:rsidR="00CE1FA9">
        <w:t>D</w:t>
      </w:r>
      <w:r>
        <w:t>efendant’s land</w:t>
      </w:r>
      <w:r w:rsidR="00CE1FA9">
        <w:t xml:space="preserve">. She also applied for </w:t>
      </w:r>
      <w:r>
        <w:t xml:space="preserve">other ancillary orders pertaining to the right. </w:t>
      </w:r>
    </w:p>
    <w:p w:rsidR="00B43BE6" w:rsidRDefault="00B43BE6" w:rsidP="00E618A6">
      <w:pPr>
        <w:pStyle w:val="JudgmentText"/>
      </w:pPr>
      <w:r>
        <w:lastRenderedPageBreak/>
        <w:t>The Defendant</w:t>
      </w:r>
      <w:r w:rsidR="00CE1FA9">
        <w:t xml:space="preserve"> (now the 1</w:t>
      </w:r>
      <w:r w:rsidR="00CE1FA9" w:rsidRPr="00CE1FA9">
        <w:rPr>
          <w:vertAlign w:val="superscript"/>
        </w:rPr>
        <w:t>st</w:t>
      </w:r>
      <w:r w:rsidR="00CE1FA9">
        <w:t xml:space="preserve"> Defendant)</w:t>
      </w:r>
      <w:r>
        <w:t xml:space="preserve"> duly filed her defence stating that the Plaintiff had an existing registered right of way and asked for the dismissal of the suit. </w:t>
      </w:r>
    </w:p>
    <w:p w:rsidR="00B43BE6" w:rsidRDefault="00BA4028" w:rsidP="00E618A6">
      <w:pPr>
        <w:pStyle w:val="JudgmentText"/>
      </w:pPr>
      <w:r>
        <w:t xml:space="preserve">In a further amended Plaint dated 28 April 2015 the Plaintiff added Defendants 2 to 6  to the suit claiming that the existing registered right of way was “useless, hazardous and unusable” and </w:t>
      </w:r>
      <w:r w:rsidR="00CE1FA9">
        <w:t>prayed</w:t>
      </w:r>
      <w:r>
        <w:t xml:space="preserve"> that the court make an order granting a right of way across the lands of all the Defendants. </w:t>
      </w:r>
    </w:p>
    <w:p w:rsidR="00BA4028" w:rsidRDefault="00BA4028" w:rsidP="00E618A6">
      <w:pPr>
        <w:pStyle w:val="JudgmentText"/>
      </w:pPr>
      <w:r>
        <w:t xml:space="preserve">In an amended defence dated 23 September 2015 the </w:t>
      </w:r>
      <w:r w:rsidR="00C44ED9">
        <w:t>2</w:t>
      </w:r>
      <w:r w:rsidR="00C44ED9" w:rsidRPr="00C44ED9">
        <w:rPr>
          <w:vertAlign w:val="superscript"/>
        </w:rPr>
        <w:t>nd</w:t>
      </w:r>
      <w:r w:rsidR="00C44ED9">
        <w:t xml:space="preserve"> to 6</w:t>
      </w:r>
      <w:r w:rsidR="00C44ED9" w:rsidRPr="00C44ED9">
        <w:rPr>
          <w:vertAlign w:val="superscript"/>
        </w:rPr>
        <w:t>th</w:t>
      </w:r>
      <w:r>
        <w:t xml:space="preserve">Defendants repeated their objection to the </w:t>
      </w:r>
      <w:r w:rsidR="00A7011D">
        <w:t>claimed</w:t>
      </w:r>
      <w:r>
        <w:t xml:space="preserve"> right of way and put the Plaintiff to strict proof of his averments relating to the existing right of way. </w:t>
      </w:r>
    </w:p>
    <w:p w:rsidR="00A7011D" w:rsidRDefault="00A7011D" w:rsidP="00E618A6">
      <w:pPr>
        <w:pStyle w:val="JudgmentText"/>
      </w:pPr>
      <w:r>
        <w:t>In a further application dated 20</w:t>
      </w:r>
      <w:r w:rsidRPr="00A7011D">
        <w:rPr>
          <w:vertAlign w:val="superscript"/>
        </w:rPr>
        <w:t>th</w:t>
      </w:r>
      <w:r>
        <w:t xml:space="preserve"> July 2016 the </w:t>
      </w:r>
      <w:r w:rsidR="00EB2AD5">
        <w:t>Plaintiff,</w:t>
      </w:r>
      <w:r w:rsidR="000F6ECE">
        <w:t xml:space="preserve"> </w:t>
      </w:r>
      <w:r>
        <w:t xml:space="preserve">who had changed lawyers </w:t>
      </w:r>
      <w:r w:rsidR="00CE1FA9">
        <w:t xml:space="preserve">several times, </w:t>
      </w:r>
      <w:r>
        <w:t xml:space="preserve">and whose new lawyer seemed unaware of </w:t>
      </w:r>
      <w:r w:rsidR="00C44ED9">
        <w:t xml:space="preserve">the </w:t>
      </w:r>
      <w:r w:rsidR="00CE1FA9">
        <w:t>A</w:t>
      </w:r>
      <w:r w:rsidR="00C44ED9">
        <w:t xml:space="preserve">mended </w:t>
      </w:r>
      <w:r w:rsidR="00CE1FA9">
        <w:t>D</w:t>
      </w:r>
      <w:r w:rsidR="00C44ED9">
        <w:t>efence that had been filed on behalf of some of the Defendants sought</w:t>
      </w:r>
      <w:r>
        <w:t xml:space="preserve"> further order</w:t>
      </w:r>
      <w:r w:rsidR="00C44ED9">
        <w:t>s</w:t>
      </w:r>
      <w:r>
        <w:t xml:space="preserve"> of the court to set aside the previous motion to amend the Plaint and to be allowed to file a new </w:t>
      </w:r>
      <w:r w:rsidR="00C44ED9">
        <w:t>A</w:t>
      </w:r>
      <w:r>
        <w:t>mended Plaint.</w:t>
      </w:r>
    </w:p>
    <w:p w:rsidR="00CE1FA9" w:rsidRDefault="00EB2AD5" w:rsidP="00E618A6">
      <w:pPr>
        <w:pStyle w:val="JudgmentText"/>
      </w:pPr>
      <w:r>
        <w:t>It is this</w:t>
      </w:r>
      <w:r w:rsidR="000F6ECE">
        <w:t xml:space="preserve"> </w:t>
      </w:r>
      <w:r w:rsidR="00C44ED9">
        <w:t>application</w:t>
      </w:r>
      <w:r>
        <w:t xml:space="preserve"> that is</w:t>
      </w:r>
      <w:r w:rsidR="00CE1FA9">
        <w:t xml:space="preserve"> now</w:t>
      </w:r>
      <w:r w:rsidR="00C44ED9">
        <w:t xml:space="preserve"> being resisted by all the Defendants. </w:t>
      </w:r>
      <w:r w:rsidR="00CE1FA9">
        <w:t>T</w:t>
      </w:r>
      <w:r w:rsidR="00C44ED9">
        <w:t xml:space="preserve">heir objections to the </w:t>
      </w:r>
      <w:r w:rsidR="00CE1FA9">
        <w:t xml:space="preserve">Amended Plaint </w:t>
      </w:r>
      <w:r w:rsidR="00C44ED9">
        <w:t xml:space="preserve">are on </w:t>
      </w:r>
      <w:r w:rsidR="00DD6493">
        <w:t>several</w:t>
      </w:r>
      <w:r w:rsidR="00C44ED9">
        <w:t xml:space="preserve"> grounds: The 1</w:t>
      </w:r>
      <w:r w:rsidR="00C44ED9" w:rsidRPr="00C44ED9">
        <w:rPr>
          <w:vertAlign w:val="superscript"/>
        </w:rPr>
        <w:t>st</w:t>
      </w:r>
      <w:r w:rsidR="00C44ED9">
        <w:t xml:space="preserve"> Defendant objects to </w:t>
      </w:r>
      <w:proofErr w:type="spellStart"/>
      <w:r w:rsidR="00C44ED9">
        <w:t>annexures</w:t>
      </w:r>
      <w:proofErr w:type="spellEnd"/>
      <w:r w:rsidR="00C44ED9">
        <w:t xml:space="preserve"> to the Amended Plaint which seeks to introduce a survey report. </w:t>
      </w:r>
      <w:r w:rsidR="000F6ECE">
        <w:t xml:space="preserve"> </w:t>
      </w:r>
      <w:r w:rsidR="00DD6493">
        <w:t>In this regard she submits that the annexure is not a document permitted to be appended to a Plaint under Section 74 of the Seychelles Code of C</w:t>
      </w:r>
      <w:r w:rsidR="00703E11">
        <w:t>i</w:t>
      </w:r>
      <w:r w:rsidR="00DD6493">
        <w:t>vil Procedure</w:t>
      </w:r>
      <w:r w:rsidR="00703E11">
        <w:t xml:space="preserve"> as it is not one on which the Plaintiff can rely on for the prosecution of </w:t>
      </w:r>
      <w:r w:rsidR="00CE1FA9">
        <w:t>her</w:t>
      </w:r>
      <w:r w:rsidR="00703E11">
        <w:t xml:space="preserve"> suit.</w:t>
      </w:r>
    </w:p>
    <w:p w:rsidR="00A7011D" w:rsidRDefault="00CE1FA9" w:rsidP="00E618A6">
      <w:pPr>
        <w:pStyle w:val="JudgmentText"/>
      </w:pPr>
      <w:r>
        <w:t>The 1</w:t>
      </w:r>
      <w:r w:rsidRPr="00CE1FA9">
        <w:rPr>
          <w:vertAlign w:val="superscript"/>
        </w:rPr>
        <w:t>st</w:t>
      </w:r>
      <w:r>
        <w:t xml:space="preserve"> Defendant </w:t>
      </w:r>
      <w:r w:rsidR="00DD6493">
        <w:t xml:space="preserve">also submits that the amendment sought would convert the Plaint from a suit of one character to another. In this regard Counsel for the </w:t>
      </w:r>
      <w:r w:rsidR="00703E11">
        <w:t>1</w:t>
      </w:r>
      <w:r w:rsidR="00703E11" w:rsidRPr="00703E11">
        <w:rPr>
          <w:vertAlign w:val="superscript"/>
        </w:rPr>
        <w:t>st</w:t>
      </w:r>
      <w:r w:rsidR="00703E11">
        <w:t xml:space="preserve"> Defendant</w:t>
      </w:r>
      <w:r w:rsidR="00DD6493">
        <w:t xml:space="preserve">, Mr. </w:t>
      </w:r>
      <w:proofErr w:type="spellStart"/>
      <w:r w:rsidR="00DD6493">
        <w:t>Sabino</w:t>
      </w:r>
      <w:proofErr w:type="spellEnd"/>
      <w:r w:rsidR="00DD6493">
        <w:t xml:space="preserve">, has </w:t>
      </w:r>
      <w:r w:rsidR="00703E11">
        <w:t>submitted that</w:t>
      </w:r>
      <w:r w:rsidR="00DD6493">
        <w:t xml:space="preserve"> in the Original Plaint the Plaintiff had sought to enforce a legal servitude over two parcels of land whereas </w:t>
      </w:r>
      <w:r>
        <w:t xml:space="preserve">in </w:t>
      </w:r>
      <w:r w:rsidR="00DD6493">
        <w:t xml:space="preserve">the proposed Amended Plaint </w:t>
      </w:r>
      <w:r>
        <w:t xml:space="preserve">she </w:t>
      </w:r>
      <w:r w:rsidR="00DD6493">
        <w:t>seeks to create a new right of way</w:t>
      </w:r>
      <w:r w:rsidR="00703E11">
        <w:t xml:space="preserve"> over three parcels of land as shown in a survey plan</w:t>
      </w:r>
      <w:r>
        <w:t xml:space="preserve"> the Plaintiff has appended to the Amended Plaint.</w:t>
      </w:r>
      <w:r w:rsidR="00FC76A3">
        <w:t xml:space="preserve"> It is also his submission that the Amended Plaint is equivocal as it seeks to state both that there is an existing right of way but yet claims that a right of way should be granted. </w:t>
      </w:r>
    </w:p>
    <w:p w:rsidR="0061696D" w:rsidRDefault="00DD6493" w:rsidP="00E618A6">
      <w:pPr>
        <w:pStyle w:val="JudgmentText"/>
      </w:pPr>
      <w:r>
        <w:lastRenderedPageBreak/>
        <w:t xml:space="preserve">In their objections to the </w:t>
      </w:r>
      <w:r w:rsidR="00703E11">
        <w:t>Amended</w:t>
      </w:r>
      <w:r>
        <w:t xml:space="preserve"> Plaint</w:t>
      </w:r>
      <w:r w:rsidR="00703E11">
        <w:t>, the 2</w:t>
      </w:r>
      <w:r w:rsidR="00703E11" w:rsidRPr="00703E11">
        <w:rPr>
          <w:vertAlign w:val="superscript"/>
        </w:rPr>
        <w:t>nd</w:t>
      </w:r>
      <w:r w:rsidR="00703E11">
        <w:t xml:space="preserve"> to </w:t>
      </w:r>
      <w:r w:rsidR="00FC76A3">
        <w:t>6</w:t>
      </w:r>
      <w:r w:rsidR="00FC76A3" w:rsidRPr="00703E11">
        <w:rPr>
          <w:vertAlign w:val="superscript"/>
        </w:rPr>
        <w:t>th</w:t>
      </w:r>
      <w:r w:rsidR="000F6ECE">
        <w:rPr>
          <w:vertAlign w:val="superscript"/>
        </w:rPr>
        <w:t xml:space="preserve"> </w:t>
      </w:r>
      <w:r w:rsidR="00FC76A3">
        <w:t>Defendants</w:t>
      </w:r>
      <w:r w:rsidR="00703E11">
        <w:t xml:space="preserve"> have submitted that the Amendment is not properly before the Court </w:t>
      </w:r>
      <w:r w:rsidR="00FC76A3">
        <w:t>as the</w:t>
      </w:r>
      <w:r w:rsidR="00703E11">
        <w:t xml:space="preserve"> amendment, an incidental demand</w:t>
      </w:r>
      <w:r w:rsidR="00FC76A3">
        <w:t>,</w:t>
      </w:r>
      <w:r w:rsidR="00703E11">
        <w:t xml:space="preserve"> has to be accompanied by an affidavit. It is</w:t>
      </w:r>
      <w:r w:rsidR="00CE1FA9">
        <w:t xml:space="preserve"> also</w:t>
      </w:r>
      <w:r w:rsidR="00703E11">
        <w:t xml:space="preserve"> the submission of </w:t>
      </w:r>
      <w:r w:rsidR="00FC76A3">
        <w:t>Counsel</w:t>
      </w:r>
      <w:r w:rsidR="00703E11">
        <w:t xml:space="preserve"> for the </w:t>
      </w:r>
      <w:r w:rsidR="00FC76A3">
        <w:t>Defendants</w:t>
      </w:r>
      <w:r w:rsidR="00703E11">
        <w:t xml:space="preserve">, Ms. </w:t>
      </w:r>
      <w:r w:rsidR="00FC76A3">
        <w:t>Wong</w:t>
      </w:r>
      <w:r w:rsidR="00703E11">
        <w:t xml:space="preserve"> that the affidavit is defective in that it contains </w:t>
      </w:r>
      <w:r w:rsidR="00FC76A3">
        <w:t>statements</w:t>
      </w:r>
      <w:r w:rsidR="00703E11">
        <w:t xml:space="preserve"> which </w:t>
      </w:r>
      <w:r w:rsidR="00FC76A3">
        <w:t>are</w:t>
      </w:r>
      <w:r w:rsidR="00703E11">
        <w:t xml:space="preserve"> not </w:t>
      </w:r>
      <w:r w:rsidR="00FC76A3">
        <w:t xml:space="preserve">personally </w:t>
      </w:r>
      <w:r w:rsidR="00703E11">
        <w:t>known to the depon</w:t>
      </w:r>
      <w:r w:rsidR="00FC76A3">
        <w:t>ent.</w:t>
      </w:r>
      <w:r w:rsidR="000F6ECE">
        <w:t xml:space="preserve">  </w:t>
      </w:r>
      <w:r w:rsidR="00FC76A3">
        <w:t>She has relied on the ca</w:t>
      </w:r>
      <w:r w:rsidR="00C145CE">
        <w:t>s</w:t>
      </w:r>
      <w:r w:rsidR="00FC76A3">
        <w:t xml:space="preserve">e of </w:t>
      </w:r>
      <w:r w:rsidR="00CE1FA9" w:rsidRPr="0061696D">
        <w:rPr>
          <w:i/>
        </w:rPr>
        <w:t>Union Estate Management (Proprietary) Limited v Herbert</w:t>
      </w:r>
      <w:r w:rsidR="000F6ECE">
        <w:rPr>
          <w:i/>
        </w:rPr>
        <w:t xml:space="preserve"> </w:t>
      </w:r>
      <w:proofErr w:type="spellStart"/>
      <w:r w:rsidR="0061696D" w:rsidRPr="0061696D">
        <w:rPr>
          <w:i/>
        </w:rPr>
        <w:t>Mittermeyer</w:t>
      </w:r>
      <w:proofErr w:type="spellEnd"/>
      <w:r w:rsidR="0061696D">
        <w:t xml:space="preserve"> (1979) SLR 140.</w:t>
      </w:r>
    </w:p>
    <w:p w:rsidR="001A2542" w:rsidRDefault="0061696D" w:rsidP="00E618A6">
      <w:pPr>
        <w:pStyle w:val="JudgmentText"/>
        <w:jc w:val="left"/>
      </w:pPr>
      <w:r>
        <w:t>I agree with the submissions of the Defendants. F</w:t>
      </w:r>
      <w:r w:rsidR="007F55A2">
        <w:t>i</w:t>
      </w:r>
      <w:r>
        <w:t xml:space="preserve">rst the rules of disclosure </w:t>
      </w:r>
      <w:r w:rsidR="001A2542">
        <w:t>in civil matters are contained in section 77 of the Seychelles Code of Civil Procedur</w:t>
      </w:r>
      <w:r w:rsidR="000347B7">
        <w:t>e</w:t>
      </w:r>
      <w:r w:rsidR="000F6ECE">
        <w:t xml:space="preserve"> </w:t>
      </w:r>
      <w:r w:rsidR="000347B7">
        <w:t>which</w:t>
      </w:r>
      <w:r w:rsidR="001A2542">
        <w:t xml:space="preserve"> provides:</w:t>
      </w:r>
    </w:p>
    <w:p w:rsidR="001A2542" w:rsidRDefault="001A2542" w:rsidP="001A2542">
      <w:pPr>
        <w:pStyle w:val="JudgmentText"/>
        <w:numPr>
          <w:ilvl w:val="0"/>
          <w:numId w:val="0"/>
        </w:numPr>
        <w:ind w:left="720"/>
        <w:jc w:val="left"/>
      </w:pPr>
      <w:r w:rsidRPr="001A2542">
        <w:rPr>
          <w:i/>
        </w:rPr>
        <w:t>If the defendant intends to produce any documentary evidence, he shall annex a list thereof to his statement of defence and shall state where the same may be seen a reasonable time before the hearing.</w:t>
      </w:r>
    </w:p>
    <w:p w:rsidR="00EB2AD5" w:rsidRDefault="001132AD" w:rsidP="00E618A6">
      <w:pPr>
        <w:pStyle w:val="JudgmentText"/>
      </w:pPr>
      <w:r>
        <w:t xml:space="preserve">Mr. </w:t>
      </w:r>
      <w:proofErr w:type="spellStart"/>
      <w:r>
        <w:t>Sabino</w:t>
      </w:r>
      <w:proofErr w:type="spellEnd"/>
      <w:r>
        <w:t xml:space="preserve"> for the 2</w:t>
      </w:r>
      <w:r w:rsidRPr="001132AD">
        <w:rPr>
          <w:vertAlign w:val="superscript"/>
        </w:rPr>
        <w:t>nd</w:t>
      </w:r>
      <w:r>
        <w:t xml:space="preserve"> to 6</w:t>
      </w:r>
      <w:r w:rsidRPr="001132AD">
        <w:rPr>
          <w:vertAlign w:val="superscript"/>
        </w:rPr>
        <w:t>th</w:t>
      </w:r>
      <w:r w:rsidR="00EB2AD5">
        <w:t>Defendants</w:t>
      </w:r>
      <w:r>
        <w:t xml:space="preserve"> has rightly pointed out that it is the list and not the document itself that has to be tendered with the pleadings. The document is tendered to the court as per section 78 of the Seychelles Code of Civil Procedure only when it has been admitted as evidence. </w:t>
      </w:r>
      <w:r w:rsidR="00EB2AD5">
        <w:t xml:space="preserve">Section 74 of the Code specifies that documents are to be appended to the plaint when they are being sued upon.  This would normally apply in cases of contract when it is the written contractual agreement that is being relied on. It is not the case in the present suit. </w:t>
      </w:r>
    </w:p>
    <w:p w:rsidR="001132AD" w:rsidRDefault="001132AD" w:rsidP="00E618A6">
      <w:pPr>
        <w:pStyle w:val="JudgmentText"/>
      </w:pPr>
      <w:r>
        <w:t xml:space="preserve">It is therefore inappropriate that the pleadings filed have appended to them the survey report. This should not happen as it may lead to the perception that the judge at trial might be influenced by the document whether or not it is admitted in evidence. </w:t>
      </w:r>
    </w:p>
    <w:p w:rsidR="001132AD" w:rsidRDefault="00E6038A" w:rsidP="00E618A6">
      <w:pPr>
        <w:pStyle w:val="JudgmentText"/>
      </w:pPr>
      <w:r>
        <w:t xml:space="preserve">This transgression of the procedural provisions of the Code however is not fatal to the pleadings. The report would normally be expunged from the case file until admitted formally as evidence of the Plaintiff.  Two other matters raised in the Defendants’ submissions however give rise to concern. </w:t>
      </w:r>
    </w:p>
    <w:p w:rsidR="00F1257A" w:rsidRDefault="00E6038A" w:rsidP="001132AD">
      <w:pPr>
        <w:pStyle w:val="JudgmentText"/>
      </w:pPr>
      <w:r>
        <w:t>The Plaintiff in his incidental demand has supported his application by affidavit.</w:t>
      </w:r>
      <w:r w:rsidR="00F1257A">
        <w:t xml:space="preserve"> Section 170 of the Seychelles Code of Civil Procedure provides that: </w:t>
      </w:r>
    </w:p>
    <w:p w:rsidR="00F1257A" w:rsidRPr="00F1257A" w:rsidRDefault="00F1257A" w:rsidP="00F1257A">
      <w:pPr>
        <w:pStyle w:val="JudgmentText"/>
        <w:numPr>
          <w:ilvl w:val="0"/>
          <w:numId w:val="0"/>
        </w:numPr>
        <w:ind w:left="720"/>
        <w:rPr>
          <w:i/>
        </w:rPr>
      </w:pPr>
      <w:r w:rsidRPr="00F1257A">
        <w:rPr>
          <w:i/>
        </w:rPr>
        <w:lastRenderedPageBreak/>
        <w:t>“</w:t>
      </w:r>
      <w:r>
        <w:rPr>
          <w:i/>
        </w:rPr>
        <w:t xml:space="preserve">Affidavits shall be confined to such facts as the witness is able of his own knowledge to prove, except on interlocutory applications, on which statements as to his belief, with the grounds thereof may be admitted. </w:t>
      </w:r>
    </w:p>
    <w:p w:rsidR="00DD6493" w:rsidRDefault="00E6038A" w:rsidP="001132AD">
      <w:pPr>
        <w:pStyle w:val="JudgmentText"/>
      </w:pPr>
      <w:r>
        <w:t xml:space="preserve"> In </w:t>
      </w:r>
      <w:r w:rsidR="001132AD" w:rsidRPr="00E6038A">
        <w:rPr>
          <w:i/>
        </w:rPr>
        <w:t xml:space="preserve">Union Estate Management (Proprietary) Limited v Herbert </w:t>
      </w:r>
      <w:proofErr w:type="spellStart"/>
      <w:r w:rsidR="001132AD" w:rsidRPr="00E6038A">
        <w:rPr>
          <w:i/>
        </w:rPr>
        <w:t>Mittermeyer</w:t>
      </w:r>
      <w:proofErr w:type="spellEnd"/>
      <w:r w:rsidR="000F6ECE">
        <w:rPr>
          <w:i/>
        </w:rPr>
        <w:t xml:space="preserve"> </w:t>
      </w:r>
      <w:r>
        <w:t xml:space="preserve">(supra) </w:t>
      </w:r>
      <w:proofErr w:type="spellStart"/>
      <w:r w:rsidR="0061696D">
        <w:t>Sauzier</w:t>
      </w:r>
      <w:proofErr w:type="spellEnd"/>
      <w:r w:rsidR="0061696D">
        <w:t xml:space="preserve"> J in explaining what constituted a proper affidavit stated: </w:t>
      </w:r>
    </w:p>
    <w:p w:rsidR="0061696D" w:rsidRPr="00E6038A" w:rsidRDefault="0061696D" w:rsidP="0061696D">
      <w:pPr>
        <w:pStyle w:val="JudgmentText"/>
        <w:numPr>
          <w:ilvl w:val="0"/>
          <w:numId w:val="0"/>
        </w:numPr>
        <w:ind w:left="720"/>
        <w:rPr>
          <w:i/>
        </w:rPr>
      </w:pPr>
      <w:r w:rsidRPr="00E6038A">
        <w:rPr>
          <w:i/>
        </w:rPr>
        <w:t xml:space="preserve">“...an affidavit which is based on information and belief must disclose the source of the information and the grounds of belief. It is therefore necessary for the validity of an affidavit that the affidavit </w:t>
      </w:r>
      <w:r w:rsidR="00E6038A" w:rsidRPr="00E6038A">
        <w:rPr>
          <w:i/>
        </w:rPr>
        <w:t xml:space="preserve">should distinguish what part of the statement is based on information and belief and that the source of the information and grounds of belief should be disclosed. </w:t>
      </w:r>
    </w:p>
    <w:p w:rsidR="000B716F" w:rsidRDefault="00F1257A" w:rsidP="00E618A6">
      <w:pPr>
        <w:pStyle w:val="JudgmentText"/>
      </w:pPr>
      <w:r>
        <w:t xml:space="preserve">When the present affidavit is measured against the procedural provision and the authority of </w:t>
      </w:r>
      <w:r w:rsidRPr="00F1257A">
        <w:rPr>
          <w:i/>
        </w:rPr>
        <w:t xml:space="preserve">Union </w:t>
      </w:r>
      <w:r>
        <w:rPr>
          <w:i/>
        </w:rPr>
        <w:t>E</w:t>
      </w:r>
      <w:r w:rsidRPr="00F1257A">
        <w:rPr>
          <w:i/>
        </w:rPr>
        <w:t>state</w:t>
      </w:r>
      <w:r>
        <w:t xml:space="preserve"> it is clear that it is not valid. It is sworn by one Evans Morel acting as Power of Attorney for the Plaintiff. He avers that the Plaintiff’s land is </w:t>
      </w:r>
      <w:proofErr w:type="spellStart"/>
      <w:r>
        <w:t>enclaved</w:t>
      </w:r>
      <w:proofErr w:type="spellEnd"/>
      <w:r>
        <w:t xml:space="preserve">, that a suit has been filed against the proprietors of land titles J2475 and J1921, that after further research it has come to the attention of the Plaintiff that the most convenient right of way will be through the Defendants’ properties. </w:t>
      </w:r>
    </w:p>
    <w:p w:rsidR="00B11907" w:rsidRDefault="00F1257A" w:rsidP="000F6ECE">
      <w:pPr>
        <w:pStyle w:val="JudgmentText"/>
      </w:pPr>
      <w:r>
        <w:t xml:space="preserve">The Court has on countless </w:t>
      </w:r>
      <w:r w:rsidR="00695D9D">
        <w:t>occasions</w:t>
      </w:r>
      <w:r>
        <w:t xml:space="preserve"> labour</w:t>
      </w:r>
      <w:r w:rsidR="00695D9D">
        <w:t>e</w:t>
      </w:r>
      <w:r>
        <w:t xml:space="preserve">d the point </w:t>
      </w:r>
      <w:r w:rsidR="00695D9D">
        <w:t>that</w:t>
      </w:r>
      <w:r>
        <w:t xml:space="preserve"> affidavits a</w:t>
      </w:r>
      <w:r w:rsidR="00695D9D">
        <w:t>r</w:t>
      </w:r>
      <w:r>
        <w:t xml:space="preserve">e evidence and are </w:t>
      </w:r>
      <w:r w:rsidR="00695D9D">
        <w:t>therefore</w:t>
      </w:r>
      <w:r>
        <w:t xml:space="preserve"> subject </w:t>
      </w:r>
      <w:r w:rsidR="00695D9D">
        <w:t>to</w:t>
      </w:r>
      <w:r>
        <w:t xml:space="preserve"> the same rules of </w:t>
      </w:r>
      <w:r w:rsidR="00695D9D">
        <w:t>admissibility</w:t>
      </w:r>
      <w:r>
        <w:t xml:space="preserve"> as other evidence. </w:t>
      </w:r>
      <w:r w:rsidR="00695D9D">
        <w:t>In the present affidavit it may well be that the Deponent may have been told by the Plaintiff what her wishes are but that is hearsay evidence and is inadmissible. The Deponent may however have personal knowledge of some of the facts but that it is not stated in his affidavit</w:t>
      </w:r>
      <w:r w:rsidR="00946FE6">
        <w:t>.</w:t>
      </w:r>
      <w:r w:rsidR="00695D9D">
        <w:t xml:space="preserve"> That distinction is essential and will validate or invalidate an affidavit.</w:t>
      </w:r>
      <w:r w:rsidR="007D55A7">
        <w:t xml:space="preserve"> In this case it is the latter that applies</w:t>
      </w:r>
      <w:r w:rsidR="00B11907">
        <w:t>.</w:t>
      </w:r>
    </w:p>
    <w:p w:rsidR="00F1257A" w:rsidRDefault="00695D9D" w:rsidP="000F6ECE">
      <w:pPr>
        <w:pStyle w:val="JudgmentText"/>
      </w:pPr>
      <w:r>
        <w:t xml:space="preserve">Further, as has been pointed out by Mr. </w:t>
      </w:r>
      <w:proofErr w:type="spellStart"/>
      <w:r>
        <w:t>Sabino</w:t>
      </w:r>
      <w:proofErr w:type="spellEnd"/>
      <w:r>
        <w:t xml:space="preserve"> the pleadings that are sought to be amended are ambiguous and equivocal. While the Plaintiff states that title J2415 is </w:t>
      </w:r>
      <w:proofErr w:type="spellStart"/>
      <w:r>
        <w:t>enclaved</w:t>
      </w:r>
      <w:proofErr w:type="spellEnd"/>
      <w:r>
        <w:t xml:space="preserve">, she also states in Paragraph 3 of the </w:t>
      </w:r>
      <w:bookmarkStart w:id="10" w:name="_GoBack"/>
      <w:bookmarkEnd w:id="10"/>
      <w:r>
        <w:t xml:space="preserve">Plaint that she has a right of way.  </w:t>
      </w:r>
    </w:p>
    <w:p w:rsidR="00695D9D" w:rsidRDefault="00695D9D" w:rsidP="000F6ECE">
      <w:pPr>
        <w:pStyle w:val="JudgmentText"/>
      </w:pPr>
      <w:r>
        <w:t xml:space="preserve">As the Plaint </w:t>
      </w:r>
      <w:r w:rsidR="007D55A7">
        <w:t xml:space="preserve">currently </w:t>
      </w:r>
      <w:r>
        <w:t xml:space="preserve">stands it does not </w:t>
      </w:r>
      <w:r w:rsidR="007D55A7">
        <w:t>disclose a</w:t>
      </w:r>
      <w:r>
        <w:t xml:space="preserve"> cause of action </w:t>
      </w:r>
      <w:r w:rsidR="007D55A7">
        <w:t xml:space="preserve">and is struck out under section 92 of the Seychelles </w:t>
      </w:r>
      <w:r w:rsidR="00946FE6">
        <w:t>C</w:t>
      </w:r>
      <w:r w:rsidR="007D55A7">
        <w:t xml:space="preserve">ode of Civil Procedure. Pleadings must be clear and </w:t>
      </w:r>
      <w:r w:rsidR="007D55A7">
        <w:lastRenderedPageBreak/>
        <w:t xml:space="preserve">unequivocal. They must permit parties and the court to identify what the issues to be decided are. For these reasons both the incidental demand and the suit are struck out with costs. </w:t>
      </w:r>
    </w:p>
    <w:p w:rsidR="00E6492F" w:rsidRDefault="00A837CE" w:rsidP="000F6ECE">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0F6ECE">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0F6ECE">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bookmarkStart w:id="11" w:name="Text19"/>
      <w:r w:rsidR="00A837CE">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A837CE">
        <w:rPr>
          <w:sz w:val="24"/>
          <w:szCs w:val="24"/>
        </w:rPr>
      </w:r>
      <w:r w:rsidR="00A837CE">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A837CE">
        <w:rPr>
          <w:sz w:val="24"/>
          <w:szCs w:val="24"/>
        </w:rPr>
        <w:fldChar w:fldCharType="end"/>
      </w:r>
      <w:bookmarkEnd w:id="11"/>
    </w:p>
    <w:p w:rsidR="005C5493" w:rsidRDefault="005C5493" w:rsidP="000F6ECE">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F6ECE">
      <w:pPr>
        <w:pStyle w:val="ListParagraph"/>
        <w:widowControl/>
        <w:autoSpaceDE/>
        <w:autoSpaceDN/>
        <w:adjustRightInd/>
        <w:spacing w:line="360" w:lineRule="auto"/>
        <w:ind w:left="0"/>
        <w:contextualSpacing w:val="0"/>
        <w:jc w:val="both"/>
        <w:rPr>
          <w:sz w:val="24"/>
          <w:szCs w:val="24"/>
        </w:rPr>
      </w:pPr>
    </w:p>
    <w:p w:rsidR="005C5493" w:rsidRDefault="005C5493" w:rsidP="000F6ECE">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F6ECE">
      <w:pPr>
        <w:pStyle w:val="ListParagraph"/>
        <w:widowControl/>
        <w:autoSpaceDE/>
        <w:autoSpaceDN/>
        <w:adjustRightInd/>
        <w:spacing w:after="120"/>
        <w:ind w:left="0"/>
        <w:contextualSpacing w:val="0"/>
        <w:jc w:val="both"/>
        <w:rPr>
          <w:sz w:val="24"/>
          <w:szCs w:val="24"/>
        </w:rPr>
      </w:pPr>
    </w:p>
    <w:p w:rsidR="00E33F35" w:rsidRPr="000D19C0" w:rsidRDefault="000D19C0" w:rsidP="000F6ECE">
      <w:pPr>
        <w:pStyle w:val="ListParagraph"/>
        <w:widowControl/>
        <w:autoSpaceDE/>
        <w:autoSpaceDN/>
        <w:adjustRightInd/>
        <w:ind w:left="0"/>
        <w:contextualSpacing w:val="0"/>
        <w:jc w:val="both"/>
        <w:rPr>
          <w:b/>
          <w:sz w:val="24"/>
          <w:szCs w:val="24"/>
        </w:rPr>
      </w:pPr>
      <w:r w:rsidRPr="000D19C0">
        <w:rPr>
          <w:b/>
          <w:sz w:val="24"/>
          <w:szCs w:val="24"/>
        </w:rPr>
        <w:t>M. TWOMEY</w:t>
      </w:r>
    </w:p>
    <w:bookmarkStart w:id="12" w:name="Dropdown7"/>
    <w:p w:rsidR="009E05E5" w:rsidRPr="00E33F35" w:rsidRDefault="00A837CE" w:rsidP="000F6ECE">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2"/>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47A" w:rsidRDefault="0065047A" w:rsidP="00DB6D34">
      <w:r>
        <w:separator/>
      </w:r>
    </w:p>
  </w:endnote>
  <w:endnote w:type="continuationSeparator" w:id="1">
    <w:p w:rsidR="0065047A" w:rsidRDefault="0065047A"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A6" w:rsidRDefault="00A837CE">
    <w:pPr>
      <w:pStyle w:val="Footer"/>
      <w:jc w:val="center"/>
    </w:pPr>
    <w:r>
      <w:fldChar w:fldCharType="begin"/>
    </w:r>
    <w:r w:rsidR="00E618A6">
      <w:instrText xml:space="preserve"> PAGE   \* MERGEFORMAT </w:instrText>
    </w:r>
    <w:r>
      <w:fldChar w:fldCharType="separate"/>
    </w:r>
    <w:r w:rsidR="004C16CB">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47A" w:rsidRDefault="0065047A" w:rsidP="00DB6D34">
      <w:r>
        <w:separator/>
      </w:r>
    </w:p>
  </w:footnote>
  <w:footnote w:type="continuationSeparator" w:id="1">
    <w:p w:rsidR="0065047A" w:rsidRDefault="0065047A"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0D19C0"/>
    <w:rsid w:val="00005BEF"/>
    <w:rsid w:val="00030C81"/>
    <w:rsid w:val="000347B7"/>
    <w:rsid w:val="0006489F"/>
    <w:rsid w:val="00067B0A"/>
    <w:rsid w:val="00075573"/>
    <w:rsid w:val="000815C4"/>
    <w:rsid w:val="00091036"/>
    <w:rsid w:val="000A10B8"/>
    <w:rsid w:val="000B716F"/>
    <w:rsid w:val="000B773F"/>
    <w:rsid w:val="000D19C0"/>
    <w:rsid w:val="000D1DD3"/>
    <w:rsid w:val="000E39A5"/>
    <w:rsid w:val="000E7400"/>
    <w:rsid w:val="000F6ECE"/>
    <w:rsid w:val="001008BC"/>
    <w:rsid w:val="00101D12"/>
    <w:rsid w:val="00104284"/>
    <w:rsid w:val="001132AD"/>
    <w:rsid w:val="00117CBF"/>
    <w:rsid w:val="00126A10"/>
    <w:rsid w:val="001376AB"/>
    <w:rsid w:val="001439BF"/>
    <w:rsid w:val="00144612"/>
    <w:rsid w:val="001529B0"/>
    <w:rsid w:val="0016510C"/>
    <w:rsid w:val="00180158"/>
    <w:rsid w:val="001A2542"/>
    <w:rsid w:val="001D30F7"/>
    <w:rsid w:val="001E0BA2"/>
    <w:rsid w:val="001E4ED8"/>
    <w:rsid w:val="0020244B"/>
    <w:rsid w:val="00231C17"/>
    <w:rsid w:val="00236AAC"/>
    <w:rsid w:val="00242DF4"/>
    <w:rsid w:val="0024353F"/>
    <w:rsid w:val="002474D4"/>
    <w:rsid w:val="00265DE9"/>
    <w:rsid w:val="00282FF4"/>
    <w:rsid w:val="00290E14"/>
    <w:rsid w:val="002A7376"/>
    <w:rsid w:val="002B2255"/>
    <w:rsid w:val="002B4478"/>
    <w:rsid w:val="002C7560"/>
    <w:rsid w:val="002D06AA"/>
    <w:rsid w:val="002D67FC"/>
    <w:rsid w:val="002E6963"/>
    <w:rsid w:val="002F40A1"/>
    <w:rsid w:val="002F4A1B"/>
    <w:rsid w:val="00301D88"/>
    <w:rsid w:val="00304E76"/>
    <w:rsid w:val="0031329C"/>
    <w:rsid w:val="00315FF5"/>
    <w:rsid w:val="003647E7"/>
    <w:rsid w:val="003651F4"/>
    <w:rsid w:val="0037270D"/>
    <w:rsid w:val="0037672E"/>
    <w:rsid w:val="00377341"/>
    <w:rsid w:val="003820A5"/>
    <w:rsid w:val="003838CC"/>
    <w:rsid w:val="003862CB"/>
    <w:rsid w:val="0038700C"/>
    <w:rsid w:val="003B461C"/>
    <w:rsid w:val="003B4C19"/>
    <w:rsid w:val="003C5F87"/>
    <w:rsid w:val="003D58AA"/>
    <w:rsid w:val="003D7B97"/>
    <w:rsid w:val="003E2ABC"/>
    <w:rsid w:val="003F0F8D"/>
    <w:rsid w:val="004156B9"/>
    <w:rsid w:val="00445BFA"/>
    <w:rsid w:val="00452BB6"/>
    <w:rsid w:val="00453A09"/>
    <w:rsid w:val="0046133B"/>
    <w:rsid w:val="00490072"/>
    <w:rsid w:val="004A00A5"/>
    <w:rsid w:val="004C16CB"/>
    <w:rsid w:val="004C3D80"/>
    <w:rsid w:val="004F3823"/>
    <w:rsid w:val="005207C8"/>
    <w:rsid w:val="00530663"/>
    <w:rsid w:val="00545A5F"/>
    <w:rsid w:val="0055036F"/>
    <w:rsid w:val="005514D6"/>
    <w:rsid w:val="00552704"/>
    <w:rsid w:val="00554577"/>
    <w:rsid w:val="00572AB3"/>
    <w:rsid w:val="00580531"/>
    <w:rsid w:val="005836AC"/>
    <w:rsid w:val="00584583"/>
    <w:rsid w:val="00594FAC"/>
    <w:rsid w:val="005C5493"/>
    <w:rsid w:val="005D3D42"/>
    <w:rsid w:val="005F5FB0"/>
    <w:rsid w:val="00606587"/>
    <w:rsid w:val="00606EEA"/>
    <w:rsid w:val="0061696D"/>
    <w:rsid w:val="006174DB"/>
    <w:rsid w:val="0064023C"/>
    <w:rsid w:val="0065047A"/>
    <w:rsid w:val="00654CAA"/>
    <w:rsid w:val="006578C2"/>
    <w:rsid w:val="00666D33"/>
    <w:rsid w:val="0068598F"/>
    <w:rsid w:val="00695110"/>
    <w:rsid w:val="00695D9D"/>
    <w:rsid w:val="006A58E4"/>
    <w:rsid w:val="006C1A0C"/>
    <w:rsid w:val="006D0171"/>
    <w:rsid w:val="006D36C9"/>
    <w:rsid w:val="00703E11"/>
    <w:rsid w:val="0070785D"/>
    <w:rsid w:val="007175A6"/>
    <w:rsid w:val="00744508"/>
    <w:rsid w:val="007728D0"/>
    <w:rsid w:val="00785812"/>
    <w:rsid w:val="007A47DC"/>
    <w:rsid w:val="007B6178"/>
    <w:rsid w:val="007C2809"/>
    <w:rsid w:val="007D416E"/>
    <w:rsid w:val="007D55A7"/>
    <w:rsid w:val="007F50F8"/>
    <w:rsid w:val="007F55A2"/>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46FE6"/>
    <w:rsid w:val="00951EC0"/>
    <w:rsid w:val="0096041D"/>
    <w:rsid w:val="00967E7E"/>
    <w:rsid w:val="00981287"/>
    <w:rsid w:val="00983045"/>
    <w:rsid w:val="009E05E5"/>
    <w:rsid w:val="009F1B68"/>
    <w:rsid w:val="009F4DC4"/>
    <w:rsid w:val="00A11166"/>
    <w:rsid w:val="00A14038"/>
    <w:rsid w:val="00A41296"/>
    <w:rsid w:val="00A42850"/>
    <w:rsid w:val="00A53837"/>
    <w:rsid w:val="00A544D0"/>
    <w:rsid w:val="00A7011D"/>
    <w:rsid w:val="00A80E4E"/>
    <w:rsid w:val="00A837CE"/>
    <w:rsid w:val="00A94E23"/>
    <w:rsid w:val="00AC037B"/>
    <w:rsid w:val="00AC3885"/>
    <w:rsid w:val="00AD0BF3"/>
    <w:rsid w:val="00AD75CD"/>
    <w:rsid w:val="00AD7B20"/>
    <w:rsid w:val="00AD7CA3"/>
    <w:rsid w:val="00B05D6E"/>
    <w:rsid w:val="00B11907"/>
    <w:rsid w:val="00B119B1"/>
    <w:rsid w:val="00B14612"/>
    <w:rsid w:val="00B23E73"/>
    <w:rsid w:val="00B25F36"/>
    <w:rsid w:val="00B40898"/>
    <w:rsid w:val="00B4124C"/>
    <w:rsid w:val="00B43BE6"/>
    <w:rsid w:val="00B4625E"/>
    <w:rsid w:val="00B75AE2"/>
    <w:rsid w:val="00B9148E"/>
    <w:rsid w:val="00B94805"/>
    <w:rsid w:val="00BA4028"/>
    <w:rsid w:val="00BA6027"/>
    <w:rsid w:val="00BC1D95"/>
    <w:rsid w:val="00BD4287"/>
    <w:rsid w:val="00BD60D5"/>
    <w:rsid w:val="00BE1D00"/>
    <w:rsid w:val="00BE3628"/>
    <w:rsid w:val="00BE424C"/>
    <w:rsid w:val="00BF5CC9"/>
    <w:rsid w:val="00C036A5"/>
    <w:rsid w:val="00C065A3"/>
    <w:rsid w:val="00C14327"/>
    <w:rsid w:val="00C145CE"/>
    <w:rsid w:val="00C212FB"/>
    <w:rsid w:val="00C22967"/>
    <w:rsid w:val="00C35333"/>
    <w:rsid w:val="00C41821"/>
    <w:rsid w:val="00C44ED9"/>
    <w:rsid w:val="00C55FDF"/>
    <w:rsid w:val="00C5739F"/>
    <w:rsid w:val="00C87FCA"/>
    <w:rsid w:val="00CA1B0C"/>
    <w:rsid w:val="00CA6A4F"/>
    <w:rsid w:val="00CA7795"/>
    <w:rsid w:val="00CA7F40"/>
    <w:rsid w:val="00CB3C7E"/>
    <w:rsid w:val="00CC2A46"/>
    <w:rsid w:val="00CE1FA9"/>
    <w:rsid w:val="00CF041D"/>
    <w:rsid w:val="00D03020"/>
    <w:rsid w:val="00D03314"/>
    <w:rsid w:val="00D06A0F"/>
    <w:rsid w:val="00D24500"/>
    <w:rsid w:val="00D82047"/>
    <w:rsid w:val="00D95238"/>
    <w:rsid w:val="00DA351C"/>
    <w:rsid w:val="00DB1D0D"/>
    <w:rsid w:val="00DB6D34"/>
    <w:rsid w:val="00DD4E02"/>
    <w:rsid w:val="00DD637F"/>
    <w:rsid w:val="00DD6493"/>
    <w:rsid w:val="00DE08C1"/>
    <w:rsid w:val="00DE2BE8"/>
    <w:rsid w:val="00DF2970"/>
    <w:rsid w:val="00DF303A"/>
    <w:rsid w:val="00DF521B"/>
    <w:rsid w:val="00E0467F"/>
    <w:rsid w:val="00E0505F"/>
    <w:rsid w:val="00E07F07"/>
    <w:rsid w:val="00E30B60"/>
    <w:rsid w:val="00E33F35"/>
    <w:rsid w:val="00E35862"/>
    <w:rsid w:val="00E41E94"/>
    <w:rsid w:val="00E55C69"/>
    <w:rsid w:val="00E57D4D"/>
    <w:rsid w:val="00E6038A"/>
    <w:rsid w:val="00E618A6"/>
    <w:rsid w:val="00E6492F"/>
    <w:rsid w:val="00E65691"/>
    <w:rsid w:val="00E91FA1"/>
    <w:rsid w:val="00E944E2"/>
    <w:rsid w:val="00EA04A6"/>
    <w:rsid w:val="00EA6F17"/>
    <w:rsid w:val="00EB2AD5"/>
    <w:rsid w:val="00EC12D0"/>
    <w:rsid w:val="00EC2355"/>
    <w:rsid w:val="00EC6290"/>
    <w:rsid w:val="00ED76D9"/>
    <w:rsid w:val="00EE0DAA"/>
    <w:rsid w:val="00EF2051"/>
    <w:rsid w:val="00F00A19"/>
    <w:rsid w:val="00F1257A"/>
    <w:rsid w:val="00F13199"/>
    <w:rsid w:val="00F34FB5"/>
    <w:rsid w:val="00F3644F"/>
    <w:rsid w:val="00F804CC"/>
    <w:rsid w:val="00F82A83"/>
    <w:rsid w:val="00F83B3D"/>
    <w:rsid w:val="00FB0AFB"/>
    <w:rsid w:val="00FB2453"/>
    <w:rsid w:val="00FB39BA"/>
    <w:rsid w:val="00FC61E3"/>
    <w:rsid w:val="00FC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arbe\Local%20Settings\Temporary%20Internet%20Files\Content.MSO\BB70748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F18C1-3110-4F6A-9EB9-F873F4E4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BB70748D</Template>
  <TotalTime>1</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r.barbe</cp:lastModifiedBy>
  <cp:revision>2</cp:revision>
  <cp:lastPrinted>2017-01-17T05:08:00Z</cp:lastPrinted>
  <dcterms:created xsi:type="dcterms:W3CDTF">2017-01-18T10:33:00Z</dcterms:created>
  <dcterms:modified xsi:type="dcterms:W3CDTF">2017-01-18T10:33:00Z</dcterms:modified>
</cp:coreProperties>
</file>