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9A" w:rsidRDefault="009E529A" w:rsidP="0095650B">
      <w:pPr>
        <w:spacing w:after="0" w:line="360" w:lineRule="auto"/>
        <w:jc w:val="center"/>
        <w:rPr>
          <w:rFonts w:ascii="Times New Roman" w:hAnsi="Times New Roman" w:cs="Times New Roman"/>
          <w:b/>
          <w:sz w:val="24"/>
          <w:szCs w:val="24"/>
        </w:rPr>
      </w:pPr>
      <w:r w:rsidRPr="0095650B">
        <w:rPr>
          <w:rFonts w:ascii="Times New Roman" w:hAnsi="Times New Roman" w:cs="Times New Roman"/>
          <w:b/>
          <w:sz w:val="24"/>
          <w:szCs w:val="24"/>
        </w:rPr>
        <w:t>IN THE SUPREME COURT OF SEYCHELLES</w:t>
      </w:r>
    </w:p>
    <w:p w:rsidR="0095650B" w:rsidRPr="0095650B" w:rsidRDefault="0095650B" w:rsidP="0095650B">
      <w:pPr>
        <w:spacing w:after="0" w:line="360" w:lineRule="auto"/>
        <w:jc w:val="center"/>
        <w:rPr>
          <w:rFonts w:ascii="Times New Roman" w:hAnsi="Times New Roman" w:cs="Times New Roman"/>
          <w:b/>
          <w:sz w:val="24"/>
          <w:szCs w:val="24"/>
        </w:rPr>
      </w:pPr>
    </w:p>
    <w:p w:rsidR="009E529A" w:rsidRPr="0095650B" w:rsidRDefault="0095650B" w:rsidP="0095650B">
      <w:pPr>
        <w:spacing w:after="0" w:line="360" w:lineRule="auto"/>
        <w:jc w:val="center"/>
        <w:rPr>
          <w:rFonts w:ascii="Times New Roman" w:hAnsi="Times New Roman" w:cs="Times New Roman"/>
          <w:b/>
          <w:sz w:val="24"/>
          <w:szCs w:val="24"/>
        </w:rPr>
      </w:pPr>
      <w:r w:rsidRPr="0095650B">
        <w:rPr>
          <w:rFonts w:ascii="Times New Roman" w:hAnsi="Times New Roman" w:cs="Times New Roman"/>
          <w:b/>
          <w:sz w:val="24"/>
          <w:szCs w:val="24"/>
        </w:rPr>
        <w:t>MA359/2016</w:t>
      </w:r>
    </w:p>
    <w:p w:rsidR="0095650B" w:rsidRPr="0095650B" w:rsidRDefault="0095650B" w:rsidP="0095650B">
      <w:pPr>
        <w:tabs>
          <w:tab w:val="left" w:pos="5760"/>
        </w:tabs>
        <w:spacing w:after="0" w:line="360" w:lineRule="auto"/>
        <w:jc w:val="center"/>
        <w:rPr>
          <w:rFonts w:ascii="Times New Roman" w:hAnsi="Times New Roman" w:cs="Times New Roman"/>
          <w:b/>
          <w:sz w:val="24"/>
          <w:szCs w:val="24"/>
          <w:u w:val="single"/>
        </w:rPr>
      </w:pPr>
      <w:r w:rsidRPr="0095650B">
        <w:rPr>
          <w:rFonts w:ascii="Times New Roman" w:hAnsi="Times New Roman" w:cs="Times New Roman"/>
          <w:b/>
          <w:sz w:val="24"/>
          <w:szCs w:val="24"/>
          <w:u w:val="single"/>
        </w:rPr>
        <w:t>(Arising in MC37 of 2015)</w:t>
      </w:r>
    </w:p>
    <w:p w:rsidR="0095650B" w:rsidRPr="0095650B" w:rsidRDefault="0095650B" w:rsidP="0095650B">
      <w:pPr>
        <w:spacing w:after="0" w:line="360" w:lineRule="auto"/>
        <w:jc w:val="center"/>
        <w:rPr>
          <w:rFonts w:ascii="Times New Roman" w:hAnsi="Times New Roman" w:cs="Times New Roman"/>
          <w:b/>
          <w:sz w:val="24"/>
          <w:szCs w:val="24"/>
        </w:rPr>
      </w:pPr>
    </w:p>
    <w:p w:rsidR="009E529A" w:rsidRPr="0095650B" w:rsidRDefault="00FB1D18" w:rsidP="0095650B">
      <w:pPr>
        <w:spacing w:after="0" w:line="360" w:lineRule="auto"/>
        <w:ind w:left="5760" w:firstLine="720"/>
        <w:rPr>
          <w:rFonts w:ascii="Times New Roman" w:hAnsi="Times New Roman" w:cs="Times New Roman"/>
          <w:b/>
          <w:sz w:val="24"/>
          <w:szCs w:val="24"/>
        </w:rPr>
      </w:pPr>
      <w:r>
        <w:rPr>
          <w:rFonts w:ascii="Times New Roman" w:hAnsi="Times New Roman" w:cs="Times New Roman"/>
          <w:b/>
          <w:sz w:val="24"/>
          <w:szCs w:val="24"/>
        </w:rPr>
        <w:t>[ 2017</w:t>
      </w:r>
      <w:r w:rsidR="0085385D" w:rsidRPr="0095650B">
        <w:rPr>
          <w:rFonts w:ascii="Times New Roman" w:hAnsi="Times New Roman" w:cs="Times New Roman"/>
          <w:b/>
          <w:sz w:val="24"/>
          <w:szCs w:val="24"/>
        </w:rPr>
        <w:fldChar w:fldCharType="begin"/>
      </w:r>
      <w:r w:rsidR="0085385D" w:rsidRPr="0095650B">
        <w:rPr>
          <w:rFonts w:ascii="Times New Roman" w:hAnsi="Times New Roman" w:cs="Times New Roman"/>
          <w:b/>
          <w:sz w:val="24"/>
          <w:szCs w:val="24"/>
        </w:rPr>
        <w:fldChar w:fldCharType="end"/>
      </w:r>
      <w:r w:rsidR="009E529A" w:rsidRPr="0095650B">
        <w:rPr>
          <w:rFonts w:ascii="Times New Roman" w:hAnsi="Times New Roman" w:cs="Times New Roman"/>
          <w:b/>
          <w:sz w:val="24"/>
          <w:szCs w:val="24"/>
        </w:rPr>
        <w:t>] SCSC</w:t>
      </w:r>
      <w:r>
        <w:rPr>
          <w:rFonts w:ascii="Times New Roman" w:hAnsi="Times New Roman" w:cs="Times New Roman"/>
          <w:b/>
          <w:sz w:val="24"/>
          <w:szCs w:val="24"/>
        </w:rPr>
        <w:t xml:space="preserve"> 14</w:t>
      </w:r>
    </w:p>
    <w:p w:rsidR="009E529A" w:rsidRPr="0095650B" w:rsidRDefault="009E529A" w:rsidP="0095650B">
      <w:pPr>
        <w:pBdr>
          <w:bottom w:val="single" w:sz="4" w:space="5" w:color="auto"/>
        </w:pBdr>
        <w:spacing w:after="0"/>
        <w:jc w:val="center"/>
        <w:rPr>
          <w:rFonts w:ascii="Times New Roman" w:hAnsi="Times New Roman" w:cs="Times New Roman"/>
          <w:b/>
          <w:sz w:val="24"/>
          <w:szCs w:val="24"/>
        </w:rPr>
      </w:pPr>
    </w:p>
    <w:p w:rsidR="0095650B" w:rsidRPr="0095650B" w:rsidRDefault="0095650B" w:rsidP="0095650B">
      <w:pPr>
        <w:tabs>
          <w:tab w:val="left" w:pos="5760"/>
        </w:tabs>
        <w:spacing w:after="0" w:line="360" w:lineRule="auto"/>
        <w:jc w:val="center"/>
        <w:rPr>
          <w:rFonts w:ascii="Times New Roman" w:hAnsi="Times New Roman" w:cs="Times New Roman"/>
          <w:b/>
          <w:sz w:val="24"/>
          <w:szCs w:val="24"/>
        </w:rPr>
      </w:pPr>
    </w:p>
    <w:p w:rsidR="0095650B" w:rsidRPr="00544992" w:rsidRDefault="0095650B" w:rsidP="0095650B">
      <w:pPr>
        <w:tabs>
          <w:tab w:val="left" w:pos="576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MVI CONSULTING LTD</w:t>
      </w:r>
    </w:p>
    <w:p w:rsidR="0095650B" w:rsidRPr="00544992" w:rsidRDefault="0095650B" w:rsidP="0095650B">
      <w:pPr>
        <w:tabs>
          <w:tab w:val="left" w:pos="5760"/>
        </w:tabs>
        <w:spacing w:after="0" w:line="360" w:lineRule="auto"/>
        <w:jc w:val="center"/>
        <w:rPr>
          <w:rFonts w:ascii="Times New Roman" w:hAnsi="Times New Roman" w:cs="Times New Roman"/>
          <w:b/>
          <w:sz w:val="24"/>
          <w:szCs w:val="24"/>
        </w:rPr>
      </w:pPr>
      <w:r w:rsidRPr="00544992">
        <w:rPr>
          <w:rFonts w:ascii="Times New Roman" w:hAnsi="Times New Roman" w:cs="Times New Roman"/>
          <w:b/>
          <w:sz w:val="24"/>
          <w:szCs w:val="24"/>
        </w:rPr>
        <w:t>VS</w:t>
      </w:r>
    </w:p>
    <w:p w:rsidR="0095650B" w:rsidRPr="00F67A3D" w:rsidRDefault="0095650B" w:rsidP="0095650B">
      <w:pPr>
        <w:tabs>
          <w:tab w:val="left" w:pos="5760"/>
        </w:tabs>
        <w:spacing w:after="0" w:line="360" w:lineRule="auto"/>
        <w:jc w:val="center"/>
        <w:rPr>
          <w:rFonts w:ascii="Times New Roman" w:hAnsi="Times New Roman" w:cs="Times New Roman"/>
          <w:b/>
          <w:sz w:val="24"/>
          <w:szCs w:val="24"/>
        </w:rPr>
      </w:pPr>
      <w:r w:rsidRPr="00F67A3D">
        <w:rPr>
          <w:rFonts w:ascii="Times New Roman" w:hAnsi="Times New Roman" w:cs="Times New Roman"/>
          <w:b/>
          <w:sz w:val="24"/>
          <w:szCs w:val="24"/>
        </w:rPr>
        <w:t>THE FINANCIAL INTELLIGENCE UNIT</w:t>
      </w:r>
      <w:r>
        <w:rPr>
          <w:rFonts w:ascii="Times New Roman" w:hAnsi="Times New Roman" w:cs="Times New Roman"/>
          <w:b/>
          <w:sz w:val="24"/>
          <w:szCs w:val="24"/>
        </w:rPr>
        <w:t xml:space="preserve"> &amp; ORS</w:t>
      </w:r>
    </w:p>
    <w:p w:rsidR="0095650B" w:rsidRPr="00F67A3D" w:rsidRDefault="0095650B" w:rsidP="0095650B">
      <w:pPr>
        <w:tabs>
          <w:tab w:val="left" w:pos="5760"/>
        </w:tabs>
        <w:spacing w:after="0" w:line="360" w:lineRule="auto"/>
        <w:jc w:val="both"/>
        <w:rPr>
          <w:rFonts w:ascii="Times New Roman" w:hAnsi="Times New Roman" w:cs="Times New Roman"/>
          <w:sz w:val="24"/>
          <w:szCs w:val="24"/>
          <w:u w:val="single"/>
        </w:rPr>
      </w:pPr>
    </w:p>
    <w:p w:rsidR="009E529A" w:rsidRPr="00695110" w:rsidRDefault="009E529A" w:rsidP="009E529A">
      <w:pPr>
        <w:pBdr>
          <w:bottom w:val="single" w:sz="4" w:space="1" w:color="auto"/>
        </w:pBdr>
        <w:jc w:val="center"/>
        <w:rPr>
          <w:sz w:val="12"/>
          <w:szCs w:val="12"/>
        </w:rPr>
      </w:pPr>
    </w:p>
    <w:p w:rsidR="0095650B" w:rsidRDefault="009E529A" w:rsidP="009E529A">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Pr>
          <w:sz w:val="24"/>
          <w:szCs w:val="24"/>
        </w:rPr>
        <w:tab/>
        <w:t>1</w:t>
      </w:r>
      <w:r w:rsidR="0095650B">
        <w:rPr>
          <w:sz w:val="24"/>
          <w:szCs w:val="24"/>
        </w:rPr>
        <w:t>8</w:t>
      </w:r>
      <w:r w:rsidR="0095650B" w:rsidRPr="0095650B">
        <w:rPr>
          <w:sz w:val="24"/>
          <w:szCs w:val="24"/>
          <w:vertAlign w:val="superscript"/>
        </w:rPr>
        <w:t>th</w:t>
      </w:r>
      <w:r w:rsidR="0095650B">
        <w:rPr>
          <w:sz w:val="24"/>
          <w:szCs w:val="24"/>
        </w:rPr>
        <w:t xml:space="preserve"> January 2017</w:t>
      </w:r>
    </w:p>
    <w:p w:rsidR="009E529A" w:rsidRPr="00E0467F" w:rsidRDefault="009E529A" w:rsidP="009E529A">
      <w:pPr>
        <w:spacing w:before="240" w:after="120"/>
        <w:rPr>
          <w:sz w:val="24"/>
          <w:szCs w:val="24"/>
        </w:rPr>
      </w:pPr>
      <w:r>
        <w:rPr>
          <w:sz w:val="24"/>
          <w:szCs w:val="24"/>
        </w:rPr>
        <w:tab/>
      </w:r>
      <w:r w:rsidRPr="00E0467F">
        <w:rPr>
          <w:sz w:val="24"/>
          <w:szCs w:val="24"/>
        </w:rPr>
        <w:tab/>
      </w:r>
      <w:r w:rsidRPr="00E0467F">
        <w:rPr>
          <w:sz w:val="24"/>
          <w:szCs w:val="24"/>
        </w:rPr>
        <w:tab/>
      </w:r>
      <w:bookmarkStart w:id="0" w:name="Text34"/>
      <w:r w:rsidR="0085385D">
        <w:rPr>
          <w:sz w:val="24"/>
          <w:szCs w:val="24"/>
        </w:rPr>
        <w:fldChar w:fldCharType="begin">
          <w:ffData>
            <w:name w:val="Text34"/>
            <w:enabled/>
            <w:calcOnExit w:val="0"/>
            <w:textInput/>
          </w:ffData>
        </w:fldChar>
      </w:r>
      <w:r>
        <w:rPr>
          <w:sz w:val="24"/>
          <w:szCs w:val="24"/>
        </w:rPr>
        <w:instrText xml:space="preserve"> FORMTEXT </w:instrText>
      </w:r>
      <w:r w:rsidR="0085385D">
        <w:rPr>
          <w:sz w:val="24"/>
          <w:szCs w:val="24"/>
        </w:rPr>
      </w:r>
      <w:r w:rsidR="0085385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5385D">
        <w:rPr>
          <w:sz w:val="24"/>
          <w:szCs w:val="24"/>
        </w:rPr>
        <w:fldChar w:fldCharType="end"/>
      </w:r>
      <w:bookmarkEnd w:id="0"/>
      <w:r w:rsidR="0085385D">
        <w:rPr>
          <w:sz w:val="24"/>
          <w:szCs w:val="24"/>
        </w:rPr>
        <w:fldChar w:fldCharType="begin"/>
      </w:r>
      <w:r w:rsidR="0085385D">
        <w:rPr>
          <w:sz w:val="24"/>
          <w:szCs w:val="24"/>
        </w:rPr>
        <w:fldChar w:fldCharType="end"/>
      </w:r>
    </w:p>
    <w:p w:rsidR="009E529A" w:rsidRDefault="009E529A" w:rsidP="009E529A">
      <w:pPr>
        <w:rPr>
          <w:sz w:val="24"/>
          <w:szCs w:val="24"/>
        </w:rPr>
      </w:pPr>
      <w:r>
        <w:rPr>
          <w:sz w:val="24"/>
          <w:szCs w:val="24"/>
        </w:rPr>
        <w:t>Counsel</w:t>
      </w:r>
      <w:r w:rsidRPr="00E0467F">
        <w:rPr>
          <w:sz w:val="24"/>
          <w:szCs w:val="24"/>
        </w:rPr>
        <w:t>:</w:t>
      </w:r>
      <w:r>
        <w:rPr>
          <w:sz w:val="24"/>
          <w:szCs w:val="24"/>
        </w:rPr>
        <w:tab/>
        <w:t xml:space="preserve">Mr. </w:t>
      </w:r>
      <w:r w:rsidR="0095650B">
        <w:rPr>
          <w:sz w:val="24"/>
          <w:szCs w:val="24"/>
        </w:rPr>
        <w:t xml:space="preserve">Frank Elizabeth </w:t>
      </w:r>
      <w:r>
        <w:rPr>
          <w:sz w:val="24"/>
          <w:szCs w:val="24"/>
        </w:rPr>
        <w:t xml:space="preserve">Rouillon for the </w:t>
      </w:r>
      <w:r w:rsidR="0095650B">
        <w:rPr>
          <w:sz w:val="24"/>
          <w:szCs w:val="24"/>
        </w:rPr>
        <w:t>Applicant</w:t>
      </w:r>
    </w:p>
    <w:p w:rsidR="009E529A" w:rsidRDefault="009E529A" w:rsidP="009E529A">
      <w:pPr>
        <w:rPr>
          <w:sz w:val="24"/>
          <w:szCs w:val="24"/>
        </w:rPr>
      </w:pPr>
      <w:r>
        <w:rPr>
          <w:sz w:val="24"/>
          <w:szCs w:val="24"/>
        </w:rPr>
        <w:tab/>
      </w:r>
      <w:r>
        <w:rPr>
          <w:sz w:val="24"/>
          <w:szCs w:val="24"/>
        </w:rPr>
        <w:tab/>
        <w:t xml:space="preserve">Mr. </w:t>
      </w:r>
      <w:r w:rsidR="0095650B">
        <w:rPr>
          <w:sz w:val="24"/>
          <w:szCs w:val="24"/>
        </w:rPr>
        <w:t>Barry Galvin</w:t>
      </w:r>
      <w:r>
        <w:rPr>
          <w:sz w:val="24"/>
          <w:szCs w:val="24"/>
        </w:rPr>
        <w:t xml:space="preserve"> for the </w:t>
      </w:r>
      <w:r w:rsidR="0095650B">
        <w:rPr>
          <w:sz w:val="24"/>
          <w:szCs w:val="24"/>
        </w:rPr>
        <w:t>Respondent</w:t>
      </w:r>
    </w:p>
    <w:p w:rsidR="009E529A" w:rsidRDefault="009E529A" w:rsidP="009E529A">
      <w:pPr>
        <w:rPr>
          <w:sz w:val="24"/>
          <w:szCs w:val="24"/>
        </w:rPr>
      </w:pPr>
      <w:r>
        <w:rPr>
          <w:sz w:val="24"/>
          <w:szCs w:val="24"/>
        </w:rPr>
        <w:tab/>
      </w:r>
    </w:p>
    <w:p w:rsidR="009E529A" w:rsidRPr="00E6492F" w:rsidRDefault="009E529A" w:rsidP="009E529A">
      <w:pPr>
        <w:spacing w:before="120" w:after="240"/>
        <w:rPr>
          <w:b/>
          <w:sz w:val="16"/>
          <w:szCs w:val="16"/>
        </w:rPr>
      </w:pPr>
      <w:r>
        <w:rPr>
          <w:sz w:val="24"/>
          <w:szCs w:val="24"/>
        </w:rPr>
        <w:t>Delivered</w:t>
      </w:r>
      <w:r w:rsidRPr="00E0467F">
        <w:rPr>
          <w:sz w:val="24"/>
          <w:szCs w:val="24"/>
        </w:rPr>
        <w:t>:</w:t>
      </w:r>
      <w:r>
        <w:rPr>
          <w:sz w:val="24"/>
          <w:szCs w:val="24"/>
        </w:rPr>
        <w:tab/>
        <w:t>1</w:t>
      </w:r>
      <w:r w:rsidR="0095650B">
        <w:rPr>
          <w:sz w:val="24"/>
          <w:szCs w:val="24"/>
        </w:rPr>
        <w:t>8</w:t>
      </w:r>
      <w:r w:rsidR="0095650B" w:rsidRPr="0095650B">
        <w:rPr>
          <w:sz w:val="24"/>
          <w:szCs w:val="24"/>
          <w:vertAlign w:val="superscript"/>
        </w:rPr>
        <w:t>th</w:t>
      </w:r>
      <w:r w:rsidR="0095650B">
        <w:rPr>
          <w:sz w:val="24"/>
          <w:szCs w:val="24"/>
        </w:rPr>
        <w:t xml:space="preserve"> </w:t>
      </w:r>
      <w:r>
        <w:rPr>
          <w:sz w:val="24"/>
          <w:szCs w:val="24"/>
        </w:rPr>
        <w:t>January 2017</w:t>
      </w:r>
      <w:r>
        <w:rPr>
          <w:sz w:val="24"/>
          <w:szCs w:val="24"/>
        </w:rPr>
        <w:tab/>
      </w:r>
      <w:bookmarkStart w:id="1" w:name="Text26"/>
      <w:r w:rsidR="0085385D">
        <w:rPr>
          <w:sz w:val="24"/>
          <w:szCs w:val="24"/>
        </w:rPr>
        <w:fldChar w:fldCharType="begin">
          <w:ffData>
            <w:name w:val="Text26"/>
            <w:enabled/>
            <w:calcOnExit w:val="0"/>
            <w:textInput>
              <w:type w:val="date"/>
              <w:format w:val="d MMMM yyyy"/>
            </w:textInput>
          </w:ffData>
        </w:fldChar>
      </w:r>
      <w:r>
        <w:rPr>
          <w:sz w:val="24"/>
          <w:szCs w:val="24"/>
        </w:rPr>
        <w:instrText xml:space="preserve"> FORMTEXT </w:instrText>
      </w:r>
      <w:r w:rsidR="0085385D">
        <w:rPr>
          <w:sz w:val="24"/>
          <w:szCs w:val="24"/>
        </w:rPr>
      </w:r>
      <w:r w:rsidR="0085385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5385D">
        <w:rPr>
          <w:sz w:val="24"/>
          <w:szCs w:val="24"/>
        </w:rPr>
        <w:fldChar w:fldCharType="end"/>
      </w:r>
      <w:bookmarkEnd w:id="1"/>
    </w:p>
    <w:p w:rsidR="009E529A" w:rsidRPr="0095650B" w:rsidRDefault="0095650B" w:rsidP="009E529A">
      <w:pPr>
        <w:pBdr>
          <w:top w:val="dotted" w:sz="4" w:space="1" w:color="auto"/>
          <w:bottom w:val="dotted" w:sz="4" w:space="1" w:color="auto"/>
        </w:pBdr>
        <w:jc w:val="center"/>
        <w:rPr>
          <w:rFonts w:ascii="Times New Roman" w:hAnsi="Times New Roman" w:cs="Times New Roman"/>
          <w:b/>
          <w:sz w:val="24"/>
          <w:szCs w:val="24"/>
        </w:rPr>
      </w:pPr>
      <w:r w:rsidRPr="0095650B">
        <w:rPr>
          <w:rFonts w:ascii="Times New Roman" w:hAnsi="Times New Roman" w:cs="Times New Roman"/>
          <w:b/>
          <w:sz w:val="24"/>
          <w:szCs w:val="24"/>
        </w:rPr>
        <w:t>ORDER</w:t>
      </w:r>
    </w:p>
    <w:p w:rsidR="0095650B" w:rsidRPr="00A27802" w:rsidRDefault="0095650B" w:rsidP="0095650B">
      <w:pPr>
        <w:spacing w:after="0" w:line="360" w:lineRule="auto"/>
        <w:jc w:val="both"/>
        <w:rPr>
          <w:rFonts w:ascii="Times New Roman" w:hAnsi="Times New Roman" w:cs="Times New Roman"/>
          <w:b/>
          <w:sz w:val="24"/>
          <w:szCs w:val="24"/>
        </w:rPr>
      </w:pPr>
      <w:r w:rsidRPr="00A27802">
        <w:rPr>
          <w:rFonts w:ascii="Times New Roman" w:hAnsi="Times New Roman" w:cs="Times New Roman"/>
          <w:b/>
          <w:sz w:val="24"/>
          <w:szCs w:val="24"/>
        </w:rPr>
        <w:t>M. TWOMEY, CJ</w:t>
      </w:r>
    </w:p>
    <w:p w:rsidR="00800C00" w:rsidRDefault="00800C00">
      <w:pPr>
        <w:rPr>
          <w:rFonts w:ascii="Times New Roman" w:hAnsi="Times New Roman" w:cs="Times New Roman"/>
          <w:sz w:val="24"/>
        </w:rPr>
      </w:pPr>
    </w:p>
    <w:p w:rsidR="00800C00" w:rsidRDefault="00800C00" w:rsidP="0095650B">
      <w:pPr>
        <w:spacing w:after="0" w:line="360" w:lineRule="auto"/>
        <w:ind w:left="720" w:hanging="720"/>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 xml:space="preserve">In these proceedings the Parties will be referred to as follows: the Financial Intelligence Unit (FIU) as the Applicant and the company MVI Consulting Ltd as the Respondent.  </w:t>
      </w:r>
    </w:p>
    <w:p w:rsidR="0095650B" w:rsidRPr="0095650B" w:rsidRDefault="0095650B" w:rsidP="0095650B">
      <w:pPr>
        <w:spacing w:after="0" w:line="360" w:lineRule="auto"/>
        <w:jc w:val="both"/>
        <w:rPr>
          <w:rFonts w:ascii="Times New Roman" w:hAnsi="Times New Roman" w:cs="Times New Roman"/>
          <w:b/>
          <w:sz w:val="24"/>
        </w:rPr>
      </w:pPr>
    </w:p>
    <w:p w:rsidR="000F3C6C" w:rsidRDefault="000F3C6C" w:rsidP="0095650B">
      <w:pPr>
        <w:spacing w:after="0" w:line="360" w:lineRule="auto"/>
        <w:ind w:left="720" w:hanging="720"/>
        <w:jc w:val="both"/>
        <w:rPr>
          <w:rFonts w:ascii="Times New Roman" w:hAnsi="Times New Roman" w:cs="Times New Roman"/>
          <w:sz w:val="24"/>
        </w:rPr>
      </w:pPr>
      <w:r w:rsidRPr="0095650B">
        <w:rPr>
          <w:rFonts w:ascii="Times New Roman" w:hAnsi="Times New Roman" w:cs="Times New Roman"/>
          <w:sz w:val="24"/>
        </w:rPr>
        <w:t>[</w:t>
      </w:r>
      <w:r w:rsidR="00800C00" w:rsidRPr="0095650B">
        <w:rPr>
          <w:rFonts w:ascii="Times New Roman" w:hAnsi="Times New Roman" w:cs="Times New Roman"/>
          <w:sz w:val="24"/>
        </w:rPr>
        <w:t>2</w:t>
      </w:r>
      <w:r w:rsidR="0095650B">
        <w:rPr>
          <w:rFonts w:ascii="Times New Roman" w:hAnsi="Times New Roman" w:cs="Times New Roman"/>
          <w:sz w:val="24"/>
        </w:rPr>
        <w:t>]</w:t>
      </w:r>
      <w:r w:rsidRPr="0095650B">
        <w:rPr>
          <w:rFonts w:ascii="Times New Roman" w:hAnsi="Times New Roman" w:cs="Times New Roman"/>
          <w:sz w:val="24"/>
        </w:rPr>
        <w:tab/>
        <w:t xml:space="preserve"> On 2 December</w:t>
      </w:r>
      <w:r w:rsidRPr="000F3C6C">
        <w:rPr>
          <w:rFonts w:ascii="Times New Roman" w:hAnsi="Times New Roman" w:cs="Times New Roman"/>
          <w:sz w:val="24"/>
        </w:rPr>
        <w:t xml:space="preserve"> 2015 Karunakaran J made an interlocutory order pursuant to section 4 of the Proceeds of Crime (Civil Confiscation) Act, 2008 (POCA)</w:t>
      </w:r>
      <w:r>
        <w:rPr>
          <w:rFonts w:ascii="Times New Roman" w:hAnsi="Times New Roman" w:cs="Times New Roman"/>
          <w:sz w:val="24"/>
        </w:rPr>
        <w:t xml:space="preserve"> prohibiting the Respondent or such other person</w:t>
      </w:r>
      <w:r w:rsidR="00DF54DC">
        <w:rPr>
          <w:rFonts w:ascii="Times New Roman" w:hAnsi="Times New Roman" w:cs="Times New Roman"/>
          <w:sz w:val="24"/>
        </w:rPr>
        <w:t>s</w:t>
      </w:r>
      <w:r>
        <w:rPr>
          <w:rFonts w:ascii="Times New Roman" w:hAnsi="Times New Roman" w:cs="Times New Roman"/>
          <w:sz w:val="24"/>
        </w:rPr>
        <w:t xml:space="preserve"> having notice of the making of his order from disposing of or otherwise dealing with the whole or any part of property, namely USD 600,3330.54 standing to credit in USD account number </w:t>
      </w:r>
      <w:r w:rsidR="00FB1D18">
        <w:rPr>
          <w:rFonts w:ascii="Times New Roman" w:hAnsi="Times New Roman" w:cs="Times New Roman"/>
          <w:sz w:val="24"/>
        </w:rPr>
        <w:t>XXXX</w:t>
      </w:r>
      <w:bookmarkStart w:id="2" w:name="_GoBack"/>
      <w:bookmarkEnd w:id="2"/>
      <w:r>
        <w:rPr>
          <w:rFonts w:ascii="Times New Roman" w:hAnsi="Times New Roman" w:cs="Times New Roman"/>
          <w:sz w:val="24"/>
        </w:rPr>
        <w:t xml:space="preserve"> in the name of </w:t>
      </w:r>
      <w:r>
        <w:rPr>
          <w:rFonts w:ascii="Times New Roman" w:hAnsi="Times New Roman" w:cs="Times New Roman"/>
          <w:sz w:val="24"/>
        </w:rPr>
        <w:lastRenderedPageBreak/>
        <w:t xml:space="preserve">MVI Consulting Limited together with interest that might accrue thereon at BMI Offshore Bank Limited. </w:t>
      </w:r>
    </w:p>
    <w:p w:rsidR="0095650B" w:rsidRDefault="0095650B" w:rsidP="0095650B">
      <w:pPr>
        <w:spacing w:after="0" w:line="360" w:lineRule="auto"/>
        <w:ind w:left="720" w:hanging="720"/>
        <w:jc w:val="both"/>
        <w:rPr>
          <w:rFonts w:ascii="Times New Roman" w:hAnsi="Times New Roman" w:cs="Times New Roman"/>
          <w:sz w:val="24"/>
        </w:rPr>
      </w:pPr>
    </w:p>
    <w:p w:rsidR="000F3C6C" w:rsidRDefault="000F3C6C" w:rsidP="0095650B">
      <w:pPr>
        <w:spacing w:after="0"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C72EA2">
        <w:rPr>
          <w:rFonts w:ascii="Times New Roman" w:hAnsi="Times New Roman" w:cs="Times New Roman"/>
          <w:sz w:val="24"/>
        </w:rPr>
        <w:t>O</w:t>
      </w:r>
      <w:r>
        <w:rPr>
          <w:rFonts w:ascii="Times New Roman" w:hAnsi="Times New Roman" w:cs="Times New Roman"/>
          <w:sz w:val="24"/>
        </w:rPr>
        <w:t>n 1</w:t>
      </w:r>
      <w:r w:rsidR="00C72EA2">
        <w:rPr>
          <w:rFonts w:ascii="Times New Roman" w:hAnsi="Times New Roman" w:cs="Times New Roman"/>
          <w:sz w:val="24"/>
        </w:rPr>
        <w:t>8January</w:t>
      </w:r>
      <w:r>
        <w:rPr>
          <w:rFonts w:ascii="Times New Roman" w:hAnsi="Times New Roman" w:cs="Times New Roman"/>
          <w:sz w:val="24"/>
        </w:rPr>
        <w:t xml:space="preserve"> 201</w:t>
      </w:r>
      <w:r w:rsidR="00DF54DC">
        <w:rPr>
          <w:rFonts w:ascii="Times New Roman" w:hAnsi="Times New Roman" w:cs="Times New Roman"/>
          <w:sz w:val="24"/>
        </w:rPr>
        <w:t>7</w:t>
      </w:r>
      <w:r w:rsidR="00C72EA2">
        <w:rPr>
          <w:rFonts w:ascii="Times New Roman" w:hAnsi="Times New Roman" w:cs="Times New Roman"/>
          <w:sz w:val="24"/>
        </w:rPr>
        <w:t xml:space="preserve">, the Respondent filed a notice of motion notifying the court of its intention to move for an order to discharge the section 4 order granted on 2 December 2015 and to release the monies in the bank account frozen by the said order. </w:t>
      </w:r>
    </w:p>
    <w:p w:rsidR="0095650B" w:rsidRDefault="0095650B" w:rsidP="0095650B">
      <w:pPr>
        <w:spacing w:after="0" w:line="360" w:lineRule="auto"/>
        <w:ind w:left="720" w:hanging="720"/>
        <w:jc w:val="both"/>
        <w:rPr>
          <w:rFonts w:ascii="Times New Roman" w:hAnsi="Times New Roman" w:cs="Times New Roman"/>
          <w:sz w:val="24"/>
        </w:rPr>
      </w:pPr>
    </w:p>
    <w:p w:rsidR="00C72EA2" w:rsidRDefault="00C72EA2" w:rsidP="0095650B">
      <w:pPr>
        <w:spacing w:after="0"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notice of motion is supported by the affidavit of Mikhail Grigoriev of Anse Et</w:t>
      </w:r>
      <w:r w:rsidR="00DF54DC">
        <w:rPr>
          <w:rFonts w:ascii="Times New Roman" w:hAnsi="Times New Roman" w:cs="Times New Roman"/>
          <w:sz w:val="24"/>
        </w:rPr>
        <w:t>o</w:t>
      </w:r>
      <w:r w:rsidR="0095650B">
        <w:rPr>
          <w:rFonts w:ascii="Times New Roman" w:hAnsi="Times New Roman" w:cs="Times New Roman"/>
          <w:sz w:val="24"/>
        </w:rPr>
        <w:t>i</w:t>
      </w:r>
      <w:r>
        <w:rPr>
          <w:rFonts w:ascii="Times New Roman" w:hAnsi="Times New Roman" w:cs="Times New Roman"/>
          <w:sz w:val="24"/>
        </w:rPr>
        <w:t xml:space="preserve">le (sic) representing Miss Valeria Melnikova the director of the Applicant </w:t>
      </w:r>
      <w:r w:rsidR="0095650B">
        <w:rPr>
          <w:rFonts w:ascii="Times New Roman" w:hAnsi="Times New Roman" w:cs="Times New Roman"/>
          <w:sz w:val="24"/>
        </w:rPr>
        <w:t>Company</w:t>
      </w:r>
      <w:r>
        <w:rPr>
          <w:rFonts w:ascii="Times New Roman" w:hAnsi="Times New Roman" w:cs="Times New Roman"/>
          <w:sz w:val="24"/>
        </w:rPr>
        <w:t xml:space="preserve">. </w:t>
      </w:r>
    </w:p>
    <w:p w:rsidR="0095650B" w:rsidRDefault="0095650B" w:rsidP="0095650B">
      <w:pPr>
        <w:spacing w:after="0" w:line="360" w:lineRule="auto"/>
        <w:ind w:left="720" w:hanging="720"/>
        <w:jc w:val="both"/>
        <w:rPr>
          <w:rFonts w:ascii="Times New Roman" w:hAnsi="Times New Roman" w:cs="Times New Roman"/>
          <w:sz w:val="24"/>
        </w:rPr>
      </w:pPr>
    </w:p>
    <w:p w:rsidR="00C72EA2" w:rsidRDefault="00C72EA2" w:rsidP="0095650B">
      <w:pPr>
        <w:spacing w:after="0"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The </w:t>
      </w:r>
      <w:r w:rsidR="00626E47">
        <w:rPr>
          <w:rFonts w:ascii="Times New Roman" w:hAnsi="Times New Roman" w:cs="Times New Roman"/>
          <w:sz w:val="24"/>
        </w:rPr>
        <w:t>Applicant</w:t>
      </w:r>
      <w:r w:rsidR="0095650B">
        <w:rPr>
          <w:rFonts w:ascii="Times New Roman" w:hAnsi="Times New Roman" w:cs="Times New Roman"/>
          <w:sz w:val="24"/>
        </w:rPr>
        <w:t xml:space="preserve"> </w:t>
      </w:r>
      <w:r w:rsidR="00626E47">
        <w:rPr>
          <w:rFonts w:ascii="Times New Roman" w:hAnsi="Times New Roman" w:cs="Times New Roman"/>
          <w:sz w:val="24"/>
        </w:rPr>
        <w:t>has in response filed a plea in limine</w:t>
      </w:r>
      <w:r w:rsidR="0095650B">
        <w:rPr>
          <w:rFonts w:ascii="Times New Roman" w:hAnsi="Times New Roman" w:cs="Times New Roman"/>
          <w:sz w:val="24"/>
        </w:rPr>
        <w:t xml:space="preserve"> </w:t>
      </w:r>
      <w:r w:rsidR="00626E47">
        <w:rPr>
          <w:rFonts w:ascii="Times New Roman" w:hAnsi="Times New Roman" w:cs="Times New Roman"/>
          <w:sz w:val="24"/>
        </w:rPr>
        <w:t>litis in which it takes issue with the affidavit of Mr. Grigoriev</w:t>
      </w:r>
      <w:r w:rsidR="00DF54DC">
        <w:rPr>
          <w:rFonts w:ascii="Times New Roman" w:hAnsi="Times New Roman" w:cs="Times New Roman"/>
          <w:sz w:val="24"/>
        </w:rPr>
        <w:t xml:space="preserve"> (the Deponent)</w:t>
      </w:r>
      <w:r w:rsidR="00626E47">
        <w:rPr>
          <w:rFonts w:ascii="Times New Roman" w:hAnsi="Times New Roman" w:cs="Times New Roman"/>
          <w:sz w:val="24"/>
        </w:rPr>
        <w:t>.</w:t>
      </w:r>
    </w:p>
    <w:p w:rsidR="0095650B" w:rsidRDefault="0095650B" w:rsidP="0095650B">
      <w:pPr>
        <w:spacing w:after="0" w:line="360" w:lineRule="auto"/>
        <w:jc w:val="both"/>
        <w:rPr>
          <w:rFonts w:ascii="Times New Roman" w:hAnsi="Times New Roman" w:cs="Times New Roman"/>
          <w:sz w:val="24"/>
        </w:rPr>
      </w:pPr>
    </w:p>
    <w:p w:rsidR="00626E47" w:rsidRDefault="00626E47" w:rsidP="0095650B">
      <w:pPr>
        <w:spacing w:after="0" w:line="360" w:lineRule="auto"/>
        <w:ind w:left="720" w:hanging="720"/>
        <w:jc w:val="both"/>
        <w:rPr>
          <w:rFonts w:ascii="Times New Roman" w:hAnsi="Times New Roman" w:cs="Times New Roman"/>
          <w:i/>
          <w:sz w:val="24"/>
        </w:rPr>
      </w:pPr>
      <w:r>
        <w:rPr>
          <w:rFonts w:ascii="Times New Roman" w:hAnsi="Times New Roman" w:cs="Times New Roman"/>
          <w:sz w:val="24"/>
        </w:rPr>
        <w:t>[5]</w:t>
      </w:r>
      <w:r>
        <w:rPr>
          <w:rFonts w:ascii="Times New Roman" w:hAnsi="Times New Roman" w:cs="Times New Roman"/>
          <w:sz w:val="24"/>
        </w:rPr>
        <w:tab/>
        <w:t xml:space="preserve">In summary the Applicant has submitted that the averments in the affidavit are hearsay and not based on facts in his personal knowledge.   In this respect it contravenes Rule 6(1) of POCA which provides that </w:t>
      </w:r>
      <w:r w:rsidRPr="00626E47">
        <w:rPr>
          <w:rFonts w:ascii="Times New Roman" w:hAnsi="Times New Roman" w:cs="Times New Roman"/>
          <w:i/>
          <w:sz w:val="24"/>
        </w:rPr>
        <w:t>“the deponent of an affidavit shall only aver as to facts within his or her personal knowledge.”</w:t>
      </w:r>
    </w:p>
    <w:p w:rsidR="0095650B" w:rsidRDefault="0095650B" w:rsidP="0095650B">
      <w:pPr>
        <w:spacing w:after="0" w:line="360" w:lineRule="auto"/>
        <w:ind w:left="720" w:hanging="720"/>
        <w:jc w:val="both"/>
        <w:rPr>
          <w:rFonts w:ascii="Times New Roman" w:hAnsi="Times New Roman" w:cs="Times New Roman"/>
          <w:sz w:val="24"/>
        </w:rPr>
      </w:pPr>
    </w:p>
    <w:p w:rsidR="00626E47" w:rsidRDefault="00626E47" w:rsidP="0095650B">
      <w:pPr>
        <w:spacing w:after="0" w:line="360" w:lineRule="auto"/>
        <w:ind w:left="720" w:hanging="72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sidR="00800C00">
        <w:rPr>
          <w:rFonts w:ascii="Times New Roman" w:hAnsi="Times New Roman" w:cs="Times New Roman"/>
          <w:sz w:val="24"/>
        </w:rPr>
        <w:t>Rule 6</w:t>
      </w:r>
      <w:r>
        <w:rPr>
          <w:rFonts w:ascii="Times New Roman" w:hAnsi="Times New Roman" w:cs="Times New Roman"/>
          <w:sz w:val="24"/>
        </w:rPr>
        <w:t>(1) applicable to proceedings taken under POCA should be distinguished from the provisions of s</w:t>
      </w:r>
      <w:r w:rsidRPr="00626E47">
        <w:rPr>
          <w:rFonts w:ascii="Times New Roman" w:hAnsi="Times New Roman" w:cs="Times New Roman"/>
          <w:sz w:val="24"/>
        </w:rPr>
        <w:t xml:space="preserve">ection 170 of the Seychelles Code of Civil Procedure </w:t>
      </w:r>
      <w:r>
        <w:rPr>
          <w:rFonts w:ascii="Times New Roman" w:hAnsi="Times New Roman" w:cs="Times New Roman"/>
          <w:sz w:val="24"/>
        </w:rPr>
        <w:t xml:space="preserve">which allows both belief averments and knowledge averments. </w:t>
      </w:r>
    </w:p>
    <w:p w:rsidR="0095650B" w:rsidRPr="00626E47" w:rsidRDefault="0095650B" w:rsidP="0095650B">
      <w:pPr>
        <w:spacing w:after="0" w:line="360" w:lineRule="auto"/>
        <w:ind w:left="720" w:hanging="720"/>
        <w:jc w:val="both"/>
        <w:rPr>
          <w:rFonts w:ascii="Times New Roman" w:hAnsi="Times New Roman" w:cs="Times New Roman"/>
          <w:sz w:val="24"/>
        </w:rPr>
      </w:pPr>
    </w:p>
    <w:p w:rsidR="00626E47" w:rsidRDefault="00626E47" w:rsidP="0095650B">
      <w:pPr>
        <w:spacing w:after="0" w:line="360" w:lineRule="auto"/>
        <w:ind w:left="720" w:hanging="720"/>
        <w:jc w:val="both"/>
        <w:rPr>
          <w:rFonts w:ascii="Times New Roman" w:hAnsi="Times New Roman" w:cs="Times New Roman"/>
          <w:sz w:val="24"/>
        </w:rPr>
      </w:pPr>
      <w:r w:rsidRPr="00626E47">
        <w:rPr>
          <w:rFonts w:ascii="Times New Roman" w:hAnsi="Times New Roman" w:cs="Times New Roman"/>
          <w:sz w:val="24"/>
        </w:rPr>
        <w:t>[</w:t>
      </w:r>
      <w:r w:rsidR="00800C00">
        <w:rPr>
          <w:rFonts w:ascii="Times New Roman" w:hAnsi="Times New Roman" w:cs="Times New Roman"/>
          <w:sz w:val="24"/>
        </w:rPr>
        <w:t>7</w:t>
      </w:r>
      <w:r w:rsidRPr="00626E47">
        <w:rPr>
          <w:rFonts w:ascii="Times New Roman" w:hAnsi="Times New Roman" w:cs="Times New Roman"/>
          <w:sz w:val="24"/>
        </w:rPr>
        <w:t>]</w:t>
      </w:r>
      <w:r w:rsidRPr="00626E47">
        <w:rPr>
          <w:rFonts w:ascii="Times New Roman" w:hAnsi="Times New Roman" w:cs="Times New Roman"/>
          <w:sz w:val="24"/>
        </w:rPr>
        <w:tab/>
        <w:t xml:space="preserve"> In </w:t>
      </w:r>
      <w:r w:rsidRPr="00626E47">
        <w:rPr>
          <w:rFonts w:ascii="Times New Roman" w:hAnsi="Times New Roman" w:cs="Times New Roman"/>
          <w:i/>
          <w:sz w:val="24"/>
        </w:rPr>
        <w:t>Union Estate Management (Proprietary) Limited v Herbert Mittermeyer</w:t>
      </w:r>
      <w:r w:rsidRPr="00626E47">
        <w:rPr>
          <w:rFonts w:ascii="Times New Roman" w:hAnsi="Times New Roman" w:cs="Times New Roman"/>
          <w:sz w:val="24"/>
        </w:rPr>
        <w:t xml:space="preserve"> (1979) SLR 140</w:t>
      </w:r>
      <w:r>
        <w:rPr>
          <w:rFonts w:ascii="Times New Roman" w:hAnsi="Times New Roman" w:cs="Times New Roman"/>
          <w:sz w:val="24"/>
        </w:rPr>
        <w:t xml:space="preserve">, </w:t>
      </w:r>
      <w:r w:rsidRPr="00626E47">
        <w:rPr>
          <w:rFonts w:ascii="Times New Roman" w:hAnsi="Times New Roman" w:cs="Times New Roman"/>
          <w:sz w:val="24"/>
        </w:rPr>
        <w:t>Sauzier J in explaining what constitute</w:t>
      </w:r>
      <w:r w:rsidR="00DF54DC">
        <w:rPr>
          <w:rFonts w:ascii="Times New Roman" w:hAnsi="Times New Roman" w:cs="Times New Roman"/>
          <w:sz w:val="24"/>
        </w:rPr>
        <w:t>s</w:t>
      </w:r>
      <w:r w:rsidRPr="00626E47">
        <w:rPr>
          <w:rFonts w:ascii="Times New Roman" w:hAnsi="Times New Roman" w:cs="Times New Roman"/>
          <w:sz w:val="24"/>
        </w:rPr>
        <w:t xml:space="preserve"> a proper affidavit stated: </w:t>
      </w:r>
    </w:p>
    <w:p w:rsidR="00800C00" w:rsidRPr="00626E47" w:rsidRDefault="00800C00" w:rsidP="0095650B">
      <w:pPr>
        <w:spacing w:after="0" w:line="360" w:lineRule="auto"/>
        <w:jc w:val="both"/>
        <w:rPr>
          <w:rFonts w:ascii="Times New Roman" w:hAnsi="Times New Roman" w:cs="Times New Roman"/>
          <w:sz w:val="24"/>
        </w:rPr>
      </w:pPr>
    </w:p>
    <w:p w:rsidR="00626E47" w:rsidRDefault="00626E47" w:rsidP="0095650B">
      <w:pPr>
        <w:spacing w:after="0" w:line="360" w:lineRule="auto"/>
        <w:ind w:left="720"/>
        <w:jc w:val="both"/>
        <w:rPr>
          <w:rFonts w:ascii="Times New Roman" w:hAnsi="Times New Roman" w:cs="Times New Roman"/>
          <w:i/>
          <w:sz w:val="24"/>
        </w:rPr>
      </w:pPr>
      <w:r w:rsidRPr="00626E47">
        <w:rPr>
          <w:rFonts w:ascii="Times New Roman" w:hAnsi="Times New Roman" w:cs="Times New Roman"/>
          <w:i/>
          <w:sz w:val="24"/>
        </w:rPr>
        <w:t>“...an affidavit which is based on information and belief must disclose the source of the information and the grounds of belief. It is therefore necessary for the validity of an affidavit that the affidavit should distinguish what part of the statement is based on information and belief and that the source of the information and grounds of belief should be disclosed.</w:t>
      </w:r>
    </w:p>
    <w:p w:rsidR="0095650B" w:rsidRDefault="0095650B" w:rsidP="0095650B">
      <w:pPr>
        <w:spacing w:after="0" w:line="360" w:lineRule="auto"/>
        <w:ind w:left="720"/>
        <w:jc w:val="both"/>
        <w:rPr>
          <w:rFonts w:ascii="Times New Roman" w:hAnsi="Times New Roman" w:cs="Times New Roman"/>
          <w:i/>
          <w:sz w:val="24"/>
        </w:rPr>
      </w:pPr>
    </w:p>
    <w:p w:rsidR="00800C00" w:rsidRDefault="00800C00" w:rsidP="0095650B">
      <w:pPr>
        <w:spacing w:after="0" w:line="360" w:lineRule="auto"/>
        <w:jc w:val="both"/>
        <w:rPr>
          <w:rFonts w:ascii="Times New Roman" w:hAnsi="Times New Roman" w:cs="Times New Roman"/>
          <w:sz w:val="24"/>
        </w:rPr>
      </w:pPr>
      <w:r>
        <w:rPr>
          <w:rFonts w:ascii="Times New Roman" w:hAnsi="Times New Roman" w:cs="Times New Roman"/>
          <w:sz w:val="24"/>
        </w:rPr>
        <w:t xml:space="preserve">[8] </w:t>
      </w:r>
      <w:r>
        <w:rPr>
          <w:rFonts w:ascii="Times New Roman" w:hAnsi="Times New Roman" w:cs="Times New Roman"/>
          <w:sz w:val="24"/>
        </w:rPr>
        <w:tab/>
        <w:t xml:space="preserve">In </w:t>
      </w:r>
      <w:r w:rsidRPr="00800C00">
        <w:rPr>
          <w:rFonts w:ascii="Times New Roman" w:hAnsi="Times New Roman" w:cs="Times New Roman"/>
          <w:i/>
          <w:sz w:val="24"/>
        </w:rPr>
        <w:t>Erne v Brain and ors</w:t>
      </w:r>
      <w:r>
        <w:rPr>
          <w:rFonts w:ascii="Times New Roman" w:hAnsi="Times New Roman" w:cs="Times New Roman"/>
          <w:sz w:val="24"/>
        </w:rPr>
        <w:t xml:space="preserve"> SC </w:t>
      </w:r>
      <w:r w:rsidRPr="00800C00">
        <w:rPr>
          <w:rFonts w:ascii="Times New Roman" w:hAnsi="Times New Roman" w:cs="Times New Roman"/>
          <w:sz w:val="24"/>
        </w:rPr>
        <w:t>127/2011</w:t>
      </w:r>
      <w:r>
        <w:rPr>
          <w:rFonts w:ascii="Times New Roman" w:hAnsi="Times New Roman" w:cs="Times New Roman"/>
          <w:sz w:val="24"/>
        </w:rPr>
        <w:t xml:space="preserve"> (unreported) the Supreme Court stated:</w:t>
      </w:r>
    </w:p>
    <w:p w:rsidR="00800C00" w:rsidRDefault="00DF54DC" w:rsidP="0095650B">
      <w:pPr>
        <w:spacing w:after="0" w:line="360" w:lineRule="auto"/>
        <w:ind w:left="720"/>
        <w:jc w:val="both"/>
        <w:rPr>
          <w:rFonts w:ascii="Times New Roman" w:hAnsi="Times New Roman" w:cs="Times New Roman"/>
          <w:i/>
          <w:sz w:val="24"/>
        </w:rPr>
      </w:pPr>
      <w:r>
        <w:rPr>
          <w:rFonts w:ascii="Times New Roman" w:hAnsi="Times New Roman" w:cs="Times New Roman"/>
          <w:i/>
          <w:sz w:val="24"/>
        </w:rPr>
        <w:t>“</w:t>
      </w:r>
      <w:r w:rsidR="00800C00" w:rsidRPr="00800C00">
        <w:rPr>
          <w:rFonts w:ascii="Times New Roman" w:hAnsi="Times New Roman" w:cs="Times New Roman"/>
          <w:i/>
          <w:sz w:val="24"/>
        </w:rPr>
        <w:t xml:space="preserve">The Court has on countless occasions laboured the point that affidavits are evidence and are therefore subject to the same rules of admissibility as other evidence. In the </w:t>
      </w:r>
      <w:r w:rsidR="00800C00" w:rsidRPr="00800C00">
        <w:rPr>
          <w:rFonts w:ascii="Times New Roman" w:hAnsi="Times New Roman" w:cs="Times New Roman"/>
          <w:i/>
          <w:sz w:val="24"/>
        </w:rPr>
        <w:lastRenderedPageBreak/>
        <w:t xml:space="preserve">present affidavit it may well be that the Deponent may have been told by the Plaintiff what her wishes are but that is hearsay evidence and is inadmissible. The Deponent may however have personal knowledge of some of the facts but that it is not stated in his affidavit. That distinction is essential and will validate or invalidate an affidavit. In this case it is the latter that applies </w:t>
      </w:r>
      <w:r>
        <w:rPr>
          <w:rFonts w:ascii="Times New Roman" w:hAnsi="Times New Roman" w:cs="Times New Roman"/>
          <w:i/>
          <w:sz w:val="24"/>
        </w:rPr>
        <w:t>“</w:t>
      </w:r>
      <w:r w:rsidR="00800C00" w:rsidRPr="00800C00">
        <w:rPr>
          <w:rFonts w:ascii="Times New Roman" w:hAnsi="Times New Roman" w:cs="Times New Roman"/>
          <w:i/>
          <w:sz w:val="24"/>
        </w:rPr>
        <w:t>[16]</w:t>
      </w:r>
    </w:p>
    <w:p w:rsidR="0095650B" w:rsidRDefault="0095650B" w:rsidP="0095650B">
      <w:pPr>
        <w:spacing w:after="0" w:line="360" w:lineRule="auto"/>
        <w:ind w:left="720"/>
        <w:jc w:val="both"/>
        <w:rPr>
          <w:rFonts w:ascii="Times New Roman" w:hAnsi="Times New Roman" w:cs="Times New Roman"/>
          <w:i/>
          <w:sz w:val="24"/>
        </w:rPr>
      </w:pPr>
    </w:p>
    <w:p w:rsidR="00800C00" w:rsidRDefault="00800C00" w:rsidP="0095650B">
      <w:pPr>
        <w:spacing w:after="0" w:line="360" w:lineRule="auto"/>
        <w:ind w:left="720" w:hanging="720"/>
        <w:jc w:val="both"/>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Similarly</w:t>
      </w:r>
      <w:r w:rsidR="00DF54DC">
        <w:rPr>
          <w:rFonts w:ascii="Times New Roman" w:hAnsi="Times New Roman" w:cs="Times New Roman"/>
          <w:sz w:val="24"/>
        </w:rPr>
        <w:t>,</w:t>
      </w:r>
      <w:r>
        <w:rPr>
          <w:rFonts w:ascii="Times New Roman" w:hAnsi="Times New Roman" w:cs="Times New Roman"/>
          <w:sz w:val="24"/>
        </w:rPr>
        <w:t xml:space="preserve"> and even more so in this case given the strict provisions of Rule 6(1</w:t>
      </w:r>
      <w:r w:rsidR="00DF54DC">
        <w:rPr>
          <w:rFonts w:ascii="Times New Roman" w:hAnsi="Times New Roman" w:cs="Times New Roman"/>
          <w:sz w:val="24"/>
        </w:rPr>
        <w:t>,</w:t>
      </w:r>
      <w:r>
        <w:rPr>
          <w:rFonts w:ascii="Times New Roman" w:hAnsi="Times New Roman" w:cs="Times New Roman"/>
          <w:sz w:val="24"/>
        </w:rPr>
        <w:t xml:space="preserve">) I find that the </w:t>
      </w:r>
      <w:r w:rsidR="00DF54DC">
        <w:rPr>
          <w:rFonts w:ascii="Times New Roman" w:hAnsi="Times New Roman" w:cs="Times New Roman"/>
          <w:sz w:val="24"/>
        </w:rPr>
        <w:t>D</w:t>
      </w:r>
      <w:r>
        <w:rPr>
          <w:rFonts w:ascii="Times New Roman" w:hAnsi="Times New Roman" w:cs="Times New Roman"/>
          <w:sz w:val="24"/>
        </w:rPr>
        <w:t xml:space="preserve">eponent’s averments are not facts within his personal knowledge. In the circumstances the affidavit is not valid and leaves the motion groundless. </w:t>
      </w:r>
    </w:p>
    <w:p w:rsidR="0095650B" w:rsidRDefault="0095650B" w:rsidP="0095650B">
      <w:pPr>
        <w:spacing w:after="0" w:line="360" w:lineRule="auto"/>
        <w:jc w:val="both"/>
        <w:rPr>
          <w:rFonts w:ascii="Times New Roman" w:hAnsi="Times New Roman" w:cs="Times New Roman"/>
          <w:sz w:val="24"/>
        </w:rPr>
      </w:pPr>
    </w:p>
    <w:p w:rsidR="00800C00" w:rsidRDefault="00800C00" w:rsidP="0095650B">
      <w:pPr>
        <w:spacing w:after="0" w:line="360" w:lineRule="auto"/>
        <w:jc w:val="both"/>
        <w:rPr>
          <w:rFonts w:ascii="Times New Roman" w:hAnsi="Times New Roman" w:cs="Times New Roman"/>
          <w:sz w:val="24"/>
        </w:rPr>
      </w:pPr>
      <w:r>
        <w:rPr>
          <w:rFonts w:ascii="Times New Roman" w:hAnsi="Times New Roman" w:cs="Times New Roman"/>
          <w:sz w:val="24"/>
        </w:rPr>
        <w:t xml:space="preserve">[10] </w:t>
      </w:r>
      <w:r w:rsidR="0095650B">
        <w:rPr>
          <w:rFonts w:ascii="Times New Roman" w:hAnsi="Times New Roman" w:cs="Times New Roman"/>
          <w:sz w:val="24"/>
        </w:rPr>
        <w:tab/>
      </w:r>
      <w:r>
        <w:rPr>
          <w:rFonts w:ascii="Times New Roman" w:hAnsi="Times New Roman" w:cs="Times New Roman"/>
          <w:sz w:val="24"/>
        </w:rPr>
        <w:t xml:space="preserve">The Respondent’ application is therefore dismissed in its entirety with costs.  </w:t>
      </w:r>
    </w:p>
    <w:p w:rsidR="00DF54DC" w:rsidRDefault="00DF54DC" w:rsidP="0095650B">
      <w:pPr>
        <w:spacing w:after="0" w:line="360" w:lineRule="auto"/>
        <w:rPr>
          <w:rFonts w:ascii="Times New Roman" w:hAnsi="Times New Roman" w:cs="Times New Roman"/>
          <w:sz w:val="24"/>
        </w:rPr>
      </w:pPr>
    </w:p>
    <w:p w:rsidR="0095650B" w:rsidRDefault="0095650B" w:rsidP="0095650B">
      <w:pPr>
        <w:spacing w:after="0" w:line="360" w:lineRule="auto"/>
        <w:rPr>
          <w:rFonts w:ascii="Times New Roman" w:hAnsi="Times New Roman" w:cs="Times New Roman"/>
          <w:sz w:val="24"/>
        </w:rPr>
      </w:pPr>
    </w:p>
    <w:p w:rsidR="0095650B" w:rsidRPr="004C1643" w:rsidRDefault="0095650B" w:rsidP="0095650B">
      <w:pPr>
        <w:pStyle w:val="ListParagraph"/>
        <w:spacing w:after="0" w:line="360" w:lineRule="auto"/>
        <w:ind w:left="0"/>
        <w:contextualSpacing w:val="0"/>
        <w:jc w:val="both"/>
        <w:rPr>
          <w:rFonts w:ascii="Times New Roman" w:hAnsi="Times New Roman" w:cs="Times New Roman"/>
          <w:sz w:val="24"/>
          <w:szCs w:val="24"/>
        </w:rPr>
      </w:pPr>
      <w:r w:rsidRPr="004C1643">
        <w:rPr>
          <w:rFonts w:ascii="Times New Roman" w:hAnsi="Times New Roman" w:cs="Times New Roman"/>
          <w:sz w:val="24"/>
          <w:szCs w:val="24"/>
        </w:rPr>
        <w:t>Signed, dated and delivered at Ile du Port on</w:t>
      </w:r>
    </w:p>
    <w:p w:rsidR="0095650B" w:rsidRDefault="0095650B" w:rsidP="0095650B">
      <w:pPr>
        <w:pStyle w:val="ListParagraph"/>
        <w:spacing w:after="0" w:line="360" w:lineRule="auto"/>
        <w:ind w:left="0"/>
        <w:contextualSpacing w:val="0"/>
        <w:jc w:val="both"/>
        <w:rPr>
          <w:rFonts w:ascii="Times New Roman" w:hAnsi="Times New Roman" w:cs="Times New Roman"/>
          <w:sz w:val="24"/>
          <w:szCs w:val="24"/>
        </w:rPr>
      </w:pPr>
    </w:p>
    <w:p w:rsidR="0095650B" w:rsidRPr="004C1643" w:rsidRDefault="0095650B" w:rsidP="0095650B">
      <w:pPr>
        <w:pStyle w:val="ListParagraph"/>
        <w:spacing w:after="0" w:line="360" w:lineRule="auto"/>
        <w:ind w:left="0"/>
        <w:contextualSpacing w:val="0"/>
        <w:jc w:val="both"/>
        <w:rPr>
          <w:rFonts w:ascii="Times New Roman" w:hAnsi="Times New Roman" w:cs="Times New Roman"/>
          <w:sz w:val="24"/>
          <w:szCs w:val="24"/>
        </w:rPr>
      </w:pPr>
    </w:p>
    <w:p w:rsidR="0095650B" w:rsidRPr="004C1643" w:rsidRDefault="0095650B" w:rsidP="0095650B">
      <w:pPr>
        <w:pStyle w:val="ListParagraph"/>
        <w:spacing w:after="0" w:line="360" w:lineRule="auto"/>
        <w:ind w:left="0"/>
        <w:contextualSpacing w:val="0"/>
        <w:jc w:val="both"/>
        <w:rPr>
          <w:rFonts w:ascii="Times New Roman" w:hAnsi="Times New Roman" w:cs="Times New Roman"/>
          <w:sz w:val="24"/>
          <w:szCs w:val="24"/>
        </w:rPr>
      </w:pPr>
      <w:r w:rsidRPr="004C1643">
        <w:rPr>
          <w:rFonts w:ascii="Times New Roman" w:hAnsi="Times New Roman" w:cs="Times New Roman"/>
          <w:sz w:val="24"/>
          <w:szCs w:val="24"/>
        </w:rPr>
        <w:t>M Twomey</w:t>
      </w:r>
    </w:p>
    <w:bookmarkStart w:id="3" w:name="Dropdown7"/>
    <w:p w:rsidR="0095650B" w:rsidRPr="004C1643" w:rsidRDefault="0085385D" w:rsidP="0095650B">
      <w:pPr>
        <w:pStyle w:val="ListParagraph"/>
        <w:spacing w:after="0" w:line="360" w:lineRule="auto"/>
        <w:ind w:left="0"/>
        <w:contextualSpacing w:val="0"/>
        <w:jc w:val="both"/>
        <w:rPr>
          <w:rFonts w:ascii="Times New Roman" w:hAnsi="Times New Roman" w:cs="Times New Roman"/>
          <w:b/>
          <w:sz w:val="24"/>
          <w:szCs w:val="24"/>
        </w:rPr>
      </w:pPr>
      <w:r w:rsidRPr="004C1643">
        <w:rPr>
          <w:rFonts w:ascii="Times New Roman" w:hAnsi="Times New Roman" w:cs="Times New Roman"/>
          <w:b/>
          <w:sz w:val="24"/>
          <w:szCs w:val="24"/>
        </w:rPr>
        <w:fldChar w:fldCharType="begin">
          <w:ffData>
            <w:name w:val="Dropdown7"/>
            <w:enabled/>
            <w:calcOnExit w:val="0"/>
            <w:ddList>
              <w:listEntry w:val="Chief Justice"/>
              <w:listEntry w:val="Judge of the Supreme Court"/>
            </w:ddList>
          </w:ffData>
        </w:fldChar>
      </w:r>
      <w:r w:rsidR="0095650B" w:rsidRPr="004C1643">
        <w:rPr>
          <w:rFonts w:ascii="Times New Roman" w:hAnsi="Times New Roman" w:cs="Times New Roman"/>
          <w:b/>
          <w:sz w:val="24"/>
          <w:szCs w:val="24"/>
        </w:rPr>
        <w:instrText xml:space="preserve"> FORMDROPDOWN </w:instrText>
      </w:r>
      <w:r w:rsidR="00FB1D18">
        <w:rPr>
          <w:rFonts w:ascii="Times New Roman" w:hAnsi="Times New Roman" w:cs="Times New Roman"/>
          <w:b/>
          <w:sz w:val="24"/>
          <w:szCs w:val="24"/>
        </w:rPr>
      </w:r>
      <w:r w:rsidR="00FB1D18">
        <w:rPr>
          <w:rFonts w:ascii="Times New Roman" w:hAnsi="Times New Roman" w:cs="Times New Roman"/>
          <w:b/>
          <w:sz w:val="24"/>
          <w:szCs w:val="24"/>
        </w:rPr>
        <w:fldChar w:fldCharType="separate"/>
      </w:r>
      <w:r w:rsidRPr="004C1643">
        <w:rPr>
          <w:rFonts w:ascii="Times New Roman" w:hAnsi="Times New Roman" w:cs="Times New Roman"/>
          <w:b/>
          <w:sz w:val="24"/>
          <w:szCs w:val="24"/>
        </w:rPr>
        <w:fldChar w:fldCharType="end"/>
      </w:r>
      <w:bookmarkEnd w:id="3"/>
      <w:r w:rsidRPr="004C1643">
        <w:rPr>
          <w:rFonts w:ascii="Times New Roman" w:hAnsi="Times New Roman" w:cs="Times New Roman"/>
          <w:b/>
          <w:sz w:val="24"/>
          <w:szCs w:val="24"/>
        </w:rPr>
        <w:fldChar w:fldCharType="begin"/>
      </w:r>
      <w:r w:rsidRPr="004C1643">
        <w:rPr>
          <w:rFonts w:ascii="Times New Roman" w:hAnsi="Times New Roman" w:cs="Times New Roman"/>
          <w:b/>
          <w:sz w:val="24"/>
          <w:szCs w:val="24"/>
        </w:rPr>
        <w:fldChar w:fldCharType="end"/>
      </w:r>
    </w:p>
    <w:p w:rsidR="0095650B" w:rsidRDefault="0095650B" w:rsidP="00DF54DC">
      <w:pPr>
        <w:spacing w:line="360" w:lineRule="auto"/>
        <w:rPr>
          <w:rFonts w:ascii="Times New Roman" w:hAnsi="Times New Roman" w:cs="Times New Roman"/>
          <w:sz w:val="24"/>
        </w:rPr>
      </w:pPr>
    </w:p>
    <w:sectPr w:rsidR="0095650B" w:rsidSect="009D0E8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87" w:rsidRDefault="00173487" w:rsidP="002F1DF5">
      <w:pPr>
        <w:spacing w:after="0" w:line="240" w:lineRule="auto"/>
      </w:pPr>
      <w:r>
        <w:separator/>
      </w:r>
    </w:p>
  </w:endnote>
  <w:endnote w:type="continuationSeparator" w:id="0">
    <w:p w:rsidR="00173487" w:rsidRDefault="00173487" w:rsidP="002F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A6" w:rsidRDefault="0085385D">
    <w:pPr>
      <w:pStyle w:val="Footer"/>
      <w:jc w:val="center"/>
    </w:pPr>
    <w:r>
      <w:fldChar w:fldCharType="begin"/>
    </w:r>
    <w:r w:rsidR="009E529A">
      <w:instrText xml:space="preserve"> PAGE   \* MERGEFORMAT </w:instrText>
    </w:r>
    <w:r>
      <w:fldChar w:fldCharType="separate"/>
    </w:r>
    <w:r w:rsidR="00FB1D1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87" w:rsidRDefault="00173487" w:rsidP="002F1DF5">
      <w:pPr>
        <w:spacing w:after="0" w:line="240" w:lineRule="auto"/>
      </w:pPr>
      <w:r>
        <w:separator/>
      </w:r>
    </w:p>
  </w:footnote>
  <w:footnote w:type="continuationSeparator" w:id="0">
    <w:p w:rsidR="00173487" w:rsidRDefault="00173487" w:rsidP="002F1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C2"/>
    <w:rsid w:val="000F3C6C"/>
    <w:rsid w:val="00173487"/>
    <w:rsid w:val="00233FC2"/>
    <w:rsid w:val="002F1DF5"/>
    <w:rsid w:val="005B3EA2"/>
    <w:rsid w:val="00626E47"/>
    <w:rsid w:val="00800C00"/>
    <w:rsid w:val="0085385D"/>
    <w:rsid w:val="0095650B"/>
    <w:rsid w:val="009D0E80"/>
    <w:rsid w:val="009E529A"/>
    <w:rsid w:val="00C72EA2"/>
    <w:rsid w:val="00DF54DC"/>
    <w:rsid w:val="00E03710"/>
    <w:rsid w:val="00F63D22"/>
    <w:rsid w:val="00FB1D18"/>
    <w:rsid w:val="00FC0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8C41C-9659-48C2-A6C7-09C49069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529A"/>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9E529A"/>
    <w:rPr>
      <w:rFonts w:ascii="Times New Roman" w:eastAsia="Calibri" w:hAnsi="Times New Roman" w:cs="Times New Roman"/>
      <w:sz w:val="20"/>
      <w:szCs w:val="20"/>
    </w:rPr>
  </w:style>
  <w:style w:type="paragraph" w:styleId="ListParagraph">
    <w:name w:val="List Paragraph"/>
    <w:basedOn w:val="Normal"/>
    <w:uiPriority w:val="34"/>
    <w:qFormat/>
    <w:rsid w:val="0095650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Joelle Barnes</cp:lastModifiedBy>
  <cp:revision>2</cp:revision>
  <dcterms:created xsi:type="dcterms:W3CDTF">2017-05-12T07:40:00Z</dcterms:created>
  <dcterms:modified xsi:type="dcterms:W3CDTF">2017-05-12T07:40:00Z</dcterms:modified>
</cp:coreProperties>
</file>