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B916AC">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B916AC">
        <w:rPr>
          <w:b/>
          <w:sz w:val="28"/>
          <w:szCs w:val="28"/>
        </w:rPr>
      </w:r>
      <w:r w:rsidR="00B916AC">
        <w:rPr>
          <w:b/>
          <w:sz w:val="28"/>
          <w:szCs w:val="28"/>
        </w:rPr>
        <w:fldChar w:fldCharType="end"/>
      </w:r>
      <w:bookmarkEnd w:id="0"/>
      <w:r w:rsidR="00C91D48">
        <w:rPr>
          <w:b/>
          <w:sz w:val="28"/>
          <w:szCs w:val="28"/>
        </w:rPr>
        <w:t>228</w:t>
      </w:r>
      <w:r w:rsidRPr="00B75AE2">
        <w:rPr>
          <w:b/>
          <w:sz w:val="28"/>
          <w:szCs w:val="28"/>
        </w:rPr>
        <w:t>/</w:t>
      </w:r>
      <w:r w:rsidR="00C91D48">
        <w:rPr>
          <w:b/>
          <w:sz w:val="28"/>
          <w:szCs w:val="28"/>
        </w:rPr>
        <w:t>2011</w:t>
      </w:r>
    </w:p>
    <w:p w:rsidR="00A53837" w:rsidRPr="00606EEA" w:rsidRDefault="00B916AC"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27400A">
        <w:rPr>
          <w:b/>
          <w:sz w:val="24"/>
          <w:szCs w:val="24"/>
        </w:rPr>
        <w:t>7</w:t>
      </w:r>
      <w:r w:rsidR="00B916AC">
        <w:rPr>
          <w:b/>
          <w:sz w:val="24"/>
          <w:szCs w:val="24"/>
        </w:rPr>
        <w:fldChar w:fldCharType="begin"/>
      </w:r>
      <w:r w:rsidR="00B916AC">
        <w:rPr>
          <w:b/>
          <w:sz w:val="24"/>
          <w:szCs w:val="24"/>
        </w:rPr>
        <w:fldChar w:fldCharType="end"/>
      </w:r>
      <w:r w:rsidRPr="00606EEA">
        <w:rPr>
          <w:b/>
          <w:sz w:val="24"/>
          <w:szCs w:val="24"/>
        </w:rPr>
        <w:t>] SCSC</w:t>
      </w:r>
      <w:r w:rsidR="0027400A">
        <w:rPr>
          <w:b/>
          <w:sz w:val="24"/>
          <w:szCs w:val="24"/>
        </w:rPr>
        <w:t xml:space="preserve"> 302</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 w:name="Text20"/>
    <w:p w:rsidR="00FB2453" w:rsidRPr="00B119B1" w:rsidRDefault="00B916AC"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1"/>
    </w:p>
    <w:p w:rsidR="00C91D48" w:rsidRPr="00C91D48" w:rsidRDefault="00C91D48" w:rsidP="00C91D48">
      <w:pPr>
        <w:pStyle w:val="ListParagraph"/>
        <w:numPr>
          <w:ilvl w:val="0"/>
          <w:numId w:val="9"/>
        </w:numPr>
        <w:spacing w:after="240"/>
        <w:rPr>
          <w:b/>
          <w:sz w:val="24"/>
          <w:szCs w:val="24"/>
        </w:rPr>
      </w:pPr>
      <w:bookmarkStart w:id="2" w:name="Dropdown13"/>
      <w:r w:rsidRPr="00C91D48">
        <w:rPr>
          <w:sz w:val="24"/>
          <w:szCs w:val="24"/>
        </w:rPr>
        <w:t>Theodore Edmond</w:t>
      </w:r>
      <w:r w:rsidR="009B0A90" w:rsidRPr="00C91D48">
        <w:rPr>
          <w:sz w:val="24"/>
          <w:szCs w:val="24"/>
        </w:rPr>
        <w:tab/>
      </w:r>
    </w:p>
    <w:p w:rsidR="00C91D48" w:rsidRPr="00C91D48" w:rsidRDefault="00C91D48" w:rsidP="00C91D48">
      <w:pPr>
        <w:pStyle w:val="ListParagraph"/>
        <w:numPr>
          <w:ilvl w:val="0"/>
          <w:numId w:val="9"/>
        </w:numPr>
        <w:spacing w:after="240"/>
        <w:rPr>
          <w:sz w:val="24"/>
          <w:szCs w:val="24"/>
        </w:rPr>
      </w:pPr>
      <w:r w:rsidRPr="00C91D48">
        <w:rPr>
          <w:sz w:val="24"/>
          <w:szCs w:val="24"/>
        </w:rPr>
        <w:t>Lucy Edmond</w:t>
      </w:r>
    </w:p>
    <w:p w:rsidR="00C91D48" w:rsidRPr="00C91D48" w:rsidRDefault="00C91D48" w:rsidP="00C91D48">
      <w:pPr>
        <w:pStyle w:val="ListParagraph"/>
        <w:numPr>
          <w:ilvl w:val="0"/>
          <w:numId w:val="9"/>
        </w:numPr>
        <w:spacing w:after="240"/>
        <w:rPr>
          <w:sz w:val="24"/>
          <w:szCs w:val="24"/>
        </w:rPr>
      </w:pPr>
      <w:r w:rsidRPr="00C91D48">
        <w:rPr>
          <w:sz w:val="24"/>
          <w:szCs w:val="24"/>
        </w:rPr>
        <w:t xml:space="preserve">Michel </w:t>
      </w:r>
      <w:proofErr w:type="spellStart"/>
      <w:r w:rsidRPr="00C91D48">
        <w:rPr>
          <w:sz w:val="24"/>
          <w:szCs w:val="24"/>
        </w:rPr>
        <w:t>Chetty</w:t>
      </w:r>
      <w:proofErr w:type="spellEnd"/>
      <w:r w:rsidRPr="00C91D48">
        <w:rPr>
          <w:sz w:val="24"/>
          <w:szCs w:val="24"/>
        </w:rPr>
        <w:t xml:space="preserve"> </w:t>
      </w:r>
    </w:p>
    <w:p w:rsidR="00C91D48" w:rsidRPr="00C91D48" w:rsidRDefault="00C91D48" w:rsidP="00C91D48">
      <w:pPr>
        <w:pStyle w:val="ListParagraph"/>
        <w:numPr>
          <w:ilvl w:val="0"/>
          <w:numId w:val="9"/>
        </w:numPr>
        <w:spacing w:after="240"/>
        <w:rPr>
          <w:sz w:val="24"/>
          <w:szCs w:val="24"/>
        </w:rPr>
      </w:pPr>
      <w:r w:rsidRPr="00C91D48">
        <w:rPr>
          <w:sz w:val="24"/>
          <w:szCs w:val="24"/>
        </w:rPr>
        <w:t xml:space="preserve">Therese </w:t>
      </w:r>
      <w:proofErr w:type="spellStart"/>
      <w:r w:rsidRPr="00C91D48">
        <w:rPr>
          <w:sz w:val="24"/>
          <w:szCs w:val="24"/>
        </w:rPr>
        <w:t>Chetty</w:t>
      </w:r>
      <w:proofErr w:type="spellEnd"/>
      <w:r w:rsidRPr="00C91D48">
        <w:rPr>
          <w:sz w:val="24"/>
          <w:szCs w:val="24"/>
        </w:rPr>
        <w:t xml:space="preserve"> (Executrix of the Estate of Dauphine Julienne) </w:t>
      </w:r>
    </w:p>
    <w:p w:rsidR="004C3D80" w:rsidRPr="00C91D48" w:rsidRDefault="00C91D48" w:rsidP="00C91D48">
      <w:pPr>
        <w:pStyle w:val="ListParagraph"/>
        <w:numPr>
          <w:ilvl w:val="0"/>
          <w:numId w:val="9"/>
        </w:numPr>
        <w:spacing w:after="240"/>
        <w:rPr>
          <w:b/>
          <w:sz w:val="24"/>
          <w:szCs w:val="24"/>
        </w:rPr>
      </w:pPr>
      <w:r w:rsidRPr="00C91D48">
        <w:rPr>
          <w:sz w:val="24"/>
          <w:szCs w:val="24"/>
        </w:rPr>
        <w:t xml:space="preserve">Rita </w:t>
      </w:r>
      <w:proofErr w:type="spellStart"/>
      <w:r w:rsidRPr="00C91D48">
        <w:rPr>
          <w:sz w:val="24"/>
          <w:szCs w:val="24"/>
        </w:rPr>
        <w:t>Victorin</w:t>
      </w:r>
      <w:proofErr w:type="spellEnd"/>
      <w:r w:rsidR="009B0A90" w:rsidRPr="00C91D48">
        <w:rPr>
          <w:sz w:val="24"/>
          <w:szCs w:val="24"/>
        </w:rPr>
        <w:tab/>
      </w:r>
      <w:r w:rsidR="009B0A90" w:rsidRPr="00C91D48">
        <w:rPr>
          <w:sz w:val="24"/>
          <w:szCs w:val="24"/>
        </w:rPr>
        <w:tab/>
      </w:r>
      <w:bookmarkEnd w:id="2"/>
      <w:r w:rsidRPr="00C91D48">
        <w:rPr>
          <w:sz w:val="24"/>
          <w:szCs w:val="24"/>
        </w:rPr>
        <w:tab/>
      </w:r>
      <w:r w:rsidRPr="00C91D48">
        <w:rPr>
          <w:sz w:val="24"/>
          <w:szCs w:val="24"/>
        </w:rPr>
        <w:tab/>
      </w:r>
      <w:r w:rsidRPr="00C91D48">
        <w:rPr>
          <w:sz w:val="24"/>
          <w:szCs w:val="24"/>
        </w:rPr>
        <w:tab/>
      </w:r>
      <w:r w:rsidRPr="00C91D48">
        <w:rPr>
          <w:sz w:val="24"/>
          <w:szCs w:val="24"/>
        </w:rPr>
        <w:tab/>
      </w:r>
      <w:r w:rsidRPr="00C91D48">
        <w:rPr>
          <w:sz w:val="24"/>
          <w:szCs w:val="24"/>
        </w:rPr>
        <w:tab/>
        <w:t>Plaintiffs</w:t>
      </w:r>
    </w:p>
    <w:p w:rsidR="00B40898" w:rsidRDefault="00B40898" w:rsidP="00B40898">
      <w:pP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3" w:name="Text22"/>
    <w:p w:rsidR="00B119B1" w:rsidRDefault="00B916AC"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C91D48" w:rsidRPr="00C91D48" w:rsidRDefault="00C91D48" w:rsidP="00C91D48">
      <w:pPr>
        <w:pStyle w:val="ListParagraph"/>
        <w:numPr>
          <w:ilvl w:val="0"/>
          <w:numId w:val="10"/>
        </w:numPr>
        <w:spacing w:after="240"/>
        <w:rPr>
          <w:sz w:val="24"/>
          <w:szCs w:val="24"/>
        </w:rPr>
      </w:pPr>
      <w:bookmarkStart w:id="4" w:name="Dropdown14"/>
      <w:r w:rsidRPr="00C91D48">
        <w:rPr>
          <w:sz w:val="24"/>
          <w:szCs w:val="24"/>
        </w:rPr>
        <w:t xml:space="preserve">Andre </w:t>
      </w:r>
      <w:proofErr w:type="spellStart"/>
      <w:r w:rsidRPr="00C91D48">
        <w:rPr>
          <w:sz w:val="24"/>
          <w:szCs w:val="24"/>
        </w:rPr>
        <w:t>Chetty</w:t>
      </w:r>
      <w:proofErr w:type="spellEnd"/>
    </w:p>
    <w:p w:rsidR="00B40898" w:rsidRPr="00C91D48" w:rsidRDefault="00C91D48" w:rsidP="00C91D48">
      <w:pPr>
        <w:pStyle w:val="ListParagraph"/>
        <w:numPr>
          <w:ilvl w:val="0"/>
          <w:numId w:val="10"/>
        </w:numPr>
        <w:spacing w:after="240"/>
        <w:rPr>
          <w:sz w:val="24"/>
          <w:szCs w:val="24"/>
        </w:rPr>
        <w:sectPr w:rsidR="00B40898" w:rsidRPr="00C91D48" w:rsidSect="00EF2051">
          <w:type w:val="continuous"/>
          <w:pgSz w:w="12240" w:h="15840"/>
          <w:pgMar w:top="1440" w:right="1440" w:bottom="1440" w:left="1440" w:header="720" w:footer="720" w:gutter="0"/>
          <w:cols w:space="720"/>
          <w:docGrid w:linePitch="360"/>
        </w:sectPr>
      </w:pPr>
      <w:r w:rsidRPr="00C91D48">
        <w:rPr>
          <w:sz w:val="24"/>
          <w:szCs w:val="24"/>
        </w:rPr>
        <w:t xml:space="preserve">Government of Seychelles </w:t>
      </w:r>
      <w:r w:rsidR="009B0A90" w:rsidRPr="00C91D48">
        <w:rPr>
          <w:sz w:val="24"/>
          <w:szCs w:val="24"/>
        </w:rPr>
        <w:tab/>
      </w:r>
      <w:r w:rsidR="009B0A90" w:rsidRPr="00C91D48">
        <w:rPr>
          <w:sz w:val="24"/>
          <w:szCs w:val="24"/>
        </w:rPr>
        <w:tab/>
      </w:r>
      <w:r w:rsidR="00E00FFC" w:rsidRPr="00C91D48">
        <w:rPr>
          <w:sz w:val="24"/>
          <w:szCs w:val="24"/>
        </w:rPr>
        <w:tab/>
      </w:r>
      <w:bookmarkEnd w:id="4"/>
      <w:r w:rsidRPr="00C91D48">
        <w:rPr>
          <w:sz w:val="24"/>
          <w:szCs w:val="24"/>
        </w:rPr>
        <w:tab/>
      </w:r>
      <w:r w:rsidRPr="00C91D48">
        <w:rPr>
          <w:sz w:val="24"/>
          <w:szCs w:val="24"/>
        </w:rPr>
        <w:tab/>
        <w:t>Defendants</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903400">
      <w:pPr>
        <w:spacing w:before="240" w:after="120"/>
        <w:ind w:left="1440" w:hanging="144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903400">
        <w:rPr>
          <w:sz w:val="24"/>
          <w:szCs w:val="24"/>
        </w:rPr>
        <w:t>(A</w:t>
      </w:r>
      <w:r w:rsidR="00C91D48">
        <w:rPr>
          <w:sz w:val="24"/>
          <w:szCs w:val="24"/>
        </w:rPr>
        <w:t>fter failed mediation proceedings</w:t>
      </w:r>
      <w:r w:rsidR="00903400">
        <w:rPr>
          <w:sz w:val="24"/>
          <w:szCs w:val="24"/>
        </w:rPr>
        <w:t xml:space="preserve">) </w:t>
      </w:r>
      <w:r w:rsidR="00C91D48">
        <w:rPr>
          <w:sz w:val="24"/>
          <w:szCs w:val="24"/>
        </w:rPr>
        <w:t xml:space="preserve">25 November </w:t>
      </w:r>
      <w:bookmarkStart w:id="5" w:name="Text34"/>
      <w:r w:rsidR="00903400">
        <w:rPr>
          <w:sz w:val="24"/>
          <w:szCs w:val="24"/>
        </w:rPr>
        <w:t xml:space="preserve">2016- 22 </w:t>
      </w:r>
      <w:r w:rsidR="00C82FC2">
        <w:rPr>
          <w:sz w:val="24"/>
          <w:szCs w:val="24"/>
        </w:rPr>
        <w:t xml:space="preserve">February </w:t>
      </w:r>
      <w:r w:rsidR="00903400">
        <w:rPr>
          <w:sz w:val="24"/>
          <w:szCs w:val="24"/>
        </w:rPr>
        <w:t>2017</w:t>
      </w:r>
      <w:r w:rsidR="00B916AC">
        <w:rPr>
          <w:sz w:val="24"/>
          <w:szCs w:val="24"/>
        </w:rPr>
        <w:fldChar w:fldCharType="begin">
          <w:ffData>
            <w:name w:val="Text34"/>
            <w:enabled/>
            <w:calcOnExit w:val="0"/>
            <w:textInput/>
          </w:ffData>
        </w:fldChar>
      </w:r>
      <w:r w:rsidR="002A7376">
        <w:rPr>
          <w:sz w:val="24"/>
          <w:szCs w:val="24"/>
        </w:rPr>
        <w:instrText xml:space="preserve"> FORMTEXT </w:instrText>
      </w:r>
      <w:r w:rsidR="00B916AC">
        <w:rPr>
          <w:sz w:val="24"/>
          <w:szCs w:val="24"/>
        </w:rPr>
      </w:r>
      <w:r w:rsidR="00B916AC">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B916AC">
        <w:rPr>
          <w:sz w:val="24"/>
          <w:szCs w:val="24"/>
        </w:rPr>
        <w:fldChar w:fldCharType="end"/>
      </w:r>
      <w:bookmarkEnd w:id="5"/>
      <w:r w:rsidR="00B916AC">
        <w:rPr>
          <w:sz w:val="24"/>
          <w:szCs w:val="24"/>
        </w:rPr>
        <w:fldChar w:fldCharType="begin"/>
      </w:r>
      <w:r w:rsidR="00B916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903400">
        <w:rPr>
          <w:sz w:val="24"/>
          <w:szCs w:val="24"/>
        </w:rPr>
        <w:t xml:space="preserve">Mr. Joel Camille </w:t>
      </w:r>
      <w:r w:rsidR="009E05E5">
        <w:rPr>
          <w:sz w:val="24"/>
          <w:szCs w:val="24"/>
        </w:rPr>
        <w:t xml:space="preserve">for </w:t>
      </w:r>
      <w:bookmarkStart w:id="6" w:name="Dropdown11"/>
      <w:r w:rsidR="00B916AC">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B916AC">
        <w:rPr>
          <w:sz w:val="24"/>
          <w:szCs w:val="24"/>
        </w:rPr>
      </w:r>
      <w:r w:rsidR="00B916AC">
        <w:rPr>
          <w:sz w:val="24"/>
          <w:szCs w:val="24"/>
        </w:rPr>
        <w:fldChar w:fldCharType="end"/>
      </w:r>
      <w:bookmarkEnd w:id="6"/>
      <w:r w:rsidR="00903400">
        <w:rPr>
          <w:sz w:val="24"/>
          <w:szCs w:val="24"/>
        </w:rPr>
        <w:t>s</w:t>
      </w:r>
      <w:r w:rsidR="005F5FB0">
        <w:rPr>
          <w:sz w:val="24"/>
          <w:szCs w:val="24"/>
        </w:rPr>
        <w:tab/>
      </w:r>
      <w:r w:rsidR="005F5FB0">
        <w:rPr>
          <w:sz w:val="24"/>
          <w:szCs w:val="24"/>
        </w:rPr>
        <w:tab/>
      </w:r>
      <w:r w:rsidR="005F5FB0">
        <w:rPr>
          <w:sz w:val="24"/>
          <w:szCs w:val="24"/>
        </w:rPr>
        <w:tab/>
      </w:r>
      <w:r w:rsidR="00B916AC">
        <w:rPr>
          <w:sz w:val="24"/>
          <w:szCs w:val="24"/>
        </w:rPr>
        <w:fldChar w:fldCharType="begin">
          <w:ffData>
            <w:name w:val="Text36"/>
            <w:enabled/>
            <w:calcOnExit w:val="0"/>
            <w:textInput/>
          </w:ffData>
        </w:fldChar>
      </w:r>
      <w:bookmarkStart w:id="7" w:name="Text36"/>
      <w:r w:rsidR="005F5FB0">
        <w:rPr>
          <w:sz w:val="24"/>
          <w:szCs w:val="24"/>
        </w:rPr>
        <w:instrText xml:space="preserve"> FORMTEXT </w:instrText>
      </w:r>
      <w:r w:rsidR="00B916AC">
        <w:rPr>
          <w:sz w:val="24"/>
          <w:szCs w:val="24"/>
        </w:rPr>
      </w:r>
      <w:r w:rsidR="00B916AC">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B916AC">
        <w:rPr>
          <w:sz w:val="24"/>
          <w:szCs w:val="24"/>
        </w:rPr>
        <w:fldChar w:fldCharType="end"/>
      </w:r>
      <w:bookmarkEnd w:id="7"/>
    </w:p>
    <w:p w:rsidR="005F5FB0" w:rsidRDefault="009E05E5" w:rsidP="00A53837">
      <w:pPr>
        <w:rPr>
          <w:sz w:val="24"/>
          <w:szCs w:val="24"/>
        </w:rPr>
      </w:pPr>
      <w:r>
        <w:rPr>
          <w:sz w:val="24"/>
          <w:szCs w:val="24"/>
        </w:rPr>
        <w:lastRenderedPageBreak/>
        <w:tab/>
      </w:r>
      <w:r>
        <w:rPr>
          <w:sz w:val="24"/>
          <w:szCs w:val="24"/>
        </w:rPr>
        <w:tab/>
      </w:r>
      <w:r w:rsidR="00903400">
        <w:rPr>
          <w:sz w:val="24"/>
          <w:szCs w:val="24"/>
        </w:rPr>
        <w:t xml:space="preserve">Mrs. Karen Domingue for first </w:t>
      </w:r>
      <w:bookmarkStart w:id="8" w:name="Dropdown12"/>
      <w:r w:rsidR="00B916AC">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B916AC">
        <w:rPr>
          <w:sz w:val="24"/>
          <w:szCs w:val="24"/>
        </w:rPr>
      </w:r>
      <w:r w:rsidR="00B916AC">
        <w:rPr>
          <w:sz w:val="24"/>
          <w:szCs w:val="24"/>
        </w:rPr>
        <w:fldChar w:fldCharType="end"/>
      </w:r>
      <w:bookmarkEnd w:id="8"/>
    </w:p>
    <w:p w:rsidR="00865D0B" w:rsidRDefault="00865D0B" w:rsidP="00865D0B">
      <w:pPr>
        <w:ind w:left="720" w:firstLine="720"/>
        <w:rPr>
          <w:sz w:val="24"/>
          <w:szCs w:val="24"/>
        </w:rPr>
        <w:sectPr w:rsidR="00865D0B" w:rsidSect="00EF2051">
          <w:type w:val="continuous"/>
          <w:pgSz w:w="12240" w:h="15840"/>
          <w:pgMar w:top="1440" w:right="1440" w:bottom="1440" w:left="1440" w:header="720" w:footer="720" w:gutter="0"/>
          <w:cols w:space="720"/>
          <w:docGrid w:linePitch="360"/>
        </w:sectPr>
      </w:pPr>
      <w:r>
        <w:rPr>
          <w:sz w:val="24"/>
          <w:szCs w:val="24"/>
        </w:rPr>
        <w:t xml:space="preserve">Mr. </w:t>
      </w:r>
      <w:r w:rsidR="00C82FC2">
        <w:rPr>
          <w:sz w:val="24"/>
          <w:szCs w:val="24"/>
        </w:rPr>
        <w:t xml:space="preserve">George </w:t>
      </w:r>
      <w:proofErr w:type="spellStart"/>
      <w:r w:rsidR="00C82FC2">
        <w:rPr>
          <w:sz w:val="24"/>
          <w:szCs w:val="24"/>
        </w:rPr>
        <w:t>T</w:t>
      </w:r>
      <w:r w:rsidR="00E61DF6">
        <w:rPr>
          <w:sz w:val="24"/>
          <w:szCs w:val="24"/>
        </w:rPr>
        <w:t>a</w:t>
      </w:r>
      <w:r w:rsidR="00C82FC2">
        <w:rPr>
          <w:sz w:val="24"/>
          <w:szCs w:val="24"/>
        </w:rPr>
        <w:t>chet</w:t>
      </w:r>
      <w:proofErr w:type="spellEnd"/>
      <w:r w:rsidR="00C82FC2">
        <w:rPr>
          <w:sz w:val="24"/>
          <w:szCs w:val="24"/>
        </w:rPr>
        <w:t xml:space="preserve"> for second defendant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916AC">
        <w:rPr>
          <w:sz w:val="24"/>
          <w:szCs w:val="24"/>
        </w:rPr>
        <w:fldChar w:fldCharType="begin">
          <w:ffData>
            <w:name w:val="Text37"/>
            <w:enabled/>
            <w:calcOnExit w:val="0"/>
            <w:textInput/>
          </w:ffData>
        </w:fldChar>
      </w:r>
      <w:bookmarkStart w:id="9" w:name="Text37"/>
      <w:r>
        <w:rPr>
          <w:sz w:val="24"/>
          <w:szCs w:val="24"/>
        </w:rPr>
        <w:instrText xml:space="preserve"> FORMTEXT </w:instrText>
      </w:r>
      <w:r w:rsidR="00B916AC">
        <w:rPr>
          <w:sz w:val="24"/>
          <w:szCs w:val="24"/>
        </w:rPr>
      </w:r>
      <w:r w:rsidR="00B916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916AC">
        <w:rPr>
          <w:sz w:val="24"/>
          <w:szCs w:val="24"/>
        </w:rPr>
        <w:fldChar w:fldCharType="end"/>
      </w:r>
      <w:bookmarkEnd w:id="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C82FC2">
        <w:rPr>
          <w:sz w:val="24"/>
          <w:szCs w:val="24"/>
        </w:rPr>
        <w:t>31 March 2017</w:t>
      </w:r>
      <w:r w:rsidR="00E0467F">
        <w:rPr>
          <w:sz w:val="24"/>
          <w:szCs w:val="24"/>
        </w:rPr>
        <w:tab/>
      </w:r>
      <w:bookmarkStart w:id="10" w:name="Text26"/>
      <w:r w:rsidR="00B916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B916AC">
        <w:rPr>
          <w:sz w:val="24"/>
          <w:szCs w:val="24"/>
        </w:rPr>
      </w:r>
      <w:r w:rsidR="00B916AC">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B916AC">
        <w:rPr>
          <w:sz w:val="24"/>
          <w:szCs w:val="24"/>
        </w:rPr>
        <w:fldChar w:fldCharType="end"/>
      </w:r>
      <w:bookmarkEnd w:id="10"/>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B916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D5055A" w:rsidRDefault="00C82FC2" w:rsidP="00EA0BA6">
      <w:pPr>
        <w:pStyle w:val="JudgmentText"/>
      </w:pPr>
      <w:r>
        <w:lastRenderedPageBreak/>
        <w:t xml:space="preserve">The Plaintiffs and First Defendant are adjoining land owners at </w:t>
      </w:r>
      <w:proofErr w:type="spellStart"/>
      <w:r>
        <w:t>Anse</w:t>
      </w:r>
      <w:proofErr w:type="spellEnd"/>
      <w:r>
        <w:t xml:space="preserve"> Aux Pins, </w:t>
      </w:r>
      <w:proofErr w:type="spellStart"/>
      <w:r>
        <w:t>Mahé</w:t>
      </w:r>
      <w:proofErr w:type="spellEnd"/>
      <w:r>
        <w:t xml:space="preserve">, </w:t>
      </w:r>
      <w:r w:rsidR="00A76748">
        <w:t xml:space="preserve">with </w:t>
      </w:r>
      <w:r w:rsidR="001910AC">
        <w:t>their</w:t>
      </w:r>
      <w:r>
        <w:t xml:space="preserve"> respective properties being adjacent to </w:t>
      </w:r>
      <w:proofErr w:type="spellStart"/>
      <w:r>
        <w:t>Chetty</w:t>
      </w:r>
      <w:proofErr w:type="spellEnd"/>
      <w:r>
        <w:t xml:space="preserve"> Flats.  </w:t>
      </w:r>
    </w:p>
    <w:p w:rsidR="00C82FC2" w:rsidRDefault="00C82FC2" w:rsidP="00EA0BA6">
      <w:pPr>
        <w:pStyle w:val="JudgmentText"/>
      </w:pPr>
      <w:r>
        <w:t>They are als</w:t>
      </w:r>
      <w:r w:rsidR="007E78E3">
        <w:t>o</w:t>
      </w:r>
      <w:r>
        <w:t xml:space="preserve"> co-</w:t>
      </w:r>
      <w:r w:rsidR="007E78E3">
        <w:t>o</w:t>
      </w:r>
      <w:r>
        <w:t xml:space="preserve">wners of Parcel S71 on which </w:t>
      </w:r>
      <w:r w:rsidR="00A76748">
        <w:t xml:space="preserve">there </w:t>
      </w:r>
      <w:r>
        <w:t xml:space="preserve">is a private right of way </w:t>
      </w:r>
      <w:r w:rsidR="007E78E3">
        <w:t xml:space="preserve">giving access to all their respective properties.  </w:t>
      </w:r>
    </w:p>
    <w:p w:rsidR="001910AC" w:rsidRDefault="001910AC" w:rsidP="00EA0BA6">
      <w:pPr>
        <w:pStyle w:val="JudgmentText"/>
      </w:pPr>
      <w:r>
        <w:lastRenderedPageBreak/>
        <w:t>The Second Defendant is joined as it ha</w:t>
      </w:r>
      <w:r w:rsidR="00A76748">
        <w:t xml:space="preserve">s </w:t>
      </w:r>
      <w:r>
        <w:t xml:space="preserve">granted a separate right of way to the Plaintiffs and </w:t>
      </w:r>
      <w:r w:rsidR="00A76748">
        <w:t xml:space="preserve">the </w:t>
      </w:r>
      <w:r>
        <w:t xml:space="preserve">Second Defendant’s properties from the main road at </w:t>
      </w:r>
      <w:proofErr w:type="spellStart"/>
      <w:r>
        <w:t>Anse</w:t>
      </w:r>
      <w:proofErr w:type="spellEnd"/>
      <w:r>
        <w:t xml:space="preserve"> Aux Pins. </w:t>
      </w:r>
    </w:p>
    <w:p w:rsidR="007E78E3" w:rsidRDefault="007E78E3" w:rsidP="00EA0BA6">
      <w:pPr>
        <w:pStyle w:val="JudgmentText"/>
      </w:pPr>
      <w:r>
        <w:t xml:space="preserve">The Plaintiffs claim that the existing </w:t>
      </w:r>
      <w:r w:rsidR="001910AC">
        <w:t xml:space="preserve">right of way </w:t>
      </w:r>
      <w:r>
        <w:t>being literally on their doorstep (the north wall of the Fourth Plaintiff’s house is actually situated astride the right of way – see Exhibit P. 5) is unsafe and causes disturbance</w:t>
      </w:r>
      <w:r w:rsidR="00A76748">
        <w:t xml:space="preserve"> to them</w:t>
      </w:r>
      <w:r>
        <w:t xml:space="preserve"> daily and nightly and is often accessed by public vehicles. </w:t>
      </w:r>
      <w:r w:rsidR="004E4D91">
        <w:t xml:space="preserve">The First Defendant’s house at the end of the </w:t>
      </w:r>
      <w:proofErr w:type="spellStart"/>
      <w:r w:rsidR="004E4D91" w:rsidRPr="003F715C">
        <w:rPr>
          <w:i/>
        </w:rPr>
        <w:t>cul</w:t>
      </w:r>
      <w:proofErr w:type="spellEnd"/>
      <w:r w:rsidR="004E4D91" w:rsidRPr="003F715C">
        <w:rPr>
          <w:i/>
        </w:rPr>
        <w:t xml:space="preserve"> de sac</w:t>
      </w:r>
      <w:r w:rsidR="004E4D91">
        <w:t xml:space="preserve"> is not so </w:t>
      </w:r>
      <w:r w:rsidR="003F715C">
        <w:t>inconvenienced</w:t>
      </w:r>
      <w:r w:rsidR="004E4D91">
        <w:t xml:space="preserve">. </w:t>
      </w:r>
    </w:p>
    <w:p w:rsidR="007E78E3" w:rsidRDefault="007E78E3" w:rsidP="00EA0BA6">
      <w:pPr>
        <w:pStyle w:val="JudgmentText"/>
      </w:pPr>
      <w:r>
        <w:t>The</w:t>
      </w:r>
      <w:r w:rsidR="003F715C">
        <w:t xml:space="preserve"> Plaintiffs</w:t>
      </w:r>
      <w:r>
        <w:t xml:space="preserve"> have approached the Second Defendant </w:t>
      </w:r>
      <w:r w:rsidR="003F715C">
        <w:t xml:space="preserve">for the grant of an alternative </w:t>
      </w:r>
      <w:proofErr w:type="spellStart"/>
      <w:r w:rsidR="003F715C">
        <w:t>motorable</w:t>
      </w:r>
      <w:proofErr w:type="spellEnd"/>
      <w:r w:rsidR="003F715C">
        <w:t xml:space="preserve"> access </w:t>
      </w:r>
      <w:r w:rsidR="00A76748">
        <w:t>and it has</w:t>
      </w:r>
      <w:r>
        <w:t xml:space="preserve"> pro</w:t>
      </w:r>
      <w:r w:rsidR="003F715C">
        <w:t xml:space="preserve">posed and made available </w:t>
      </w:r>
      <w:r>
        <w:t>an access reserve to the north of the existing right of way (</w:t>
      </w:r>
      <w:r w:rsidR="00A76748">
        <w:t xml:space="preserve">on </w:t>
      </w:r>
      <w:r>
        <w:t xml:space="preserve">Parcel S4986) for substitution with the right of way on Parcel S71. </w:t>
      </w:r>
    </w:p>
    <w:p w:rsidR="007E78E3" w:rsidRDefault="007E78E3" w:rsidP="00EA0BA6">
      <w:pPr>
        <w:pStyle w:val="JudgmentText"/>
      </w:pPr>
      <w:r>
        <w:t xml:space="preserve">The First Defendant despite repeated requests and the intervention of a mediator appointed by the </w:t>
      </w:r>
      <w:r w:rsidR="003F715C">
        <w:t>C</w:t>
      </w:r>
      <w:r>
        <w:t xml:space="preserve">ourt has refused to entertain </w:t>
      </w:r>
      <w:r w:rsidR="00A76748">
        <w:t>the</w:t>
      </w:r>
      <w:r w:rsidR="00E61DF6">
        <w:t xml:space="preserve"> </w:t>
      </w:r>
      <w:r w:rsidR="00FB0298">
        <w:t xml:space="preserve">alternative </w:t>
      </w:r>
      <w:proofErr w:type="spellStart"/>
      <w:r w:rsidR="00FB0298">
        <w:t>motorable</w:t>
      </w:r>
      <w:proofErr w:type="spellEnd"/>
      <w:r w:rsidR="00FB0298">
        <w:t xml:space="preserve"> right of way to the parties’ properties.  </w:t>
      </w:r>
    </w:p>
    <w:p w:rsidR="004E4D91" w:rsidRDefault="007E78E3" w:rsidP="00EA0BA6">
      <w:pPr>
        <w:pStyle w:val="JudgmentText"/>
      </w:pPr>
      <w:r>
        <w:t>He has after a question f</w:t>
      </w:r>
      <w:r w:rsidR="004E4D91">
        <w:t>r</w:t>
      </w:r>
      <w:r>
        <w:t xml:space="preserve">om the </w:t>
      </w:r>
      <w:r w:rsidR="00A76748">
        <w:t>C</w:t>
      </w:r>
      <w:r>
        <w:t>ourt stated that he would be prepared to acce</w:t>
      </w:r>
      <w:r w:rsidR="004E4D91">
        <w:t>p</w:t>
      </w:r>
      <w:r>
        <w:t xml:space="preserve">t the </w:t>
      </w:r>
      <w:r w:rsidR="004E4D91">
        <w:t>proposed</w:t>
      </w:r>
      <w:r>
        <w:t xml:space="preserve"> alternative right of way </w:t>
      </w:r>
      <w:r w:rsidR="00A76748">
        <w:t xml:space="preserve">only </w:t>
      </w:r>
      <w:r>
        <w:t xml:space="preserve">if the </w:t>
      </w:r>
      <w:r w:rsidR="004E4D91">
        <w:t>Second</w:t>
      </w:r>
      <w:r>
        <w:t xml:space="preserve"> Defenda</w:t>
      </w:r>
      <w:r w:rsidR="004E4D91">
        <w:t>n</w:t>
      </w:r>
      <w:r>
        <w:t xml:space="preserve">t was to designate </w:t>
      </w:r>
      <w:r w:rsidR="00FB0298">
        <w:t>the same</w:t>
      </w:r>
      <w:r>
        <w:t xml:space="preserve"> as private. </w:t>
      </w:r>
    </w:p>
    <w:p w:rsidR="007E78E3" w:rsidRDefault="007E78E3" w:rsidP="00EA0BA6">
      <w:pPr>
        <w:pStyle w:val="JudgmentText"/>
      </w:pPr>
      <w:r>
        <w:t>The Secon</w:t>
      </w:r>
      <w:r w:rsidR="004E4D91">
        <w:t>d</w:t>
      </w:r>
      <w:r w:rsidR="00E61DF6">
        <w:t xml:space="preserve"> </w:t>
      </w:r>
      <w:r w:rsidR="004E4D91">
        <w:t>Defendant</w:t>
      </w:r>
      <w:r>
        <w:t xml:space="preserve"> has </w:t>
      </w:r>
      <w:r w:rsidR="004E4D91">
        <w:t xml:space="preserve">stated that it cannot accede to the First Defendant’s request as it is not government policy to designate access reserves as private access. </w:t>
      </w:r>
    </w:p>
    <w:p w:rsidR="004E4D91" w:rsidRPr="00D51171" w:rsidRDefault="004E4D91" w:rsidP="004E4D91">
      <w:pPr>
        <w:pStyle w:val="JudgmentText"/>
        <w:rPr>
          <w:i/>
        </w:rPr>
      </w:pPr>
      <w:r>
        <w:t xml:space="preserve">Learned Counsel for the Plaintiffs, Mr. Camille has submitted that the First Plaintiff’s refusal is </w:t>
      </w:r>
      <w:r w:rsidRPr="00AF6D70">
        <w:rPr>
          <w:i/>
        </w:rPr>
        <w:t>male fides</w:t>
      </w:r>
      <w:r>
        <w:t xml:space="preserve"> and amounts to an </w:t>
      </w:r>
      <w:proofErr w:type="spellStart"/>
      <w:r w:rsidRPr="00AF6D70">
        <w:rPr>
          <w:i/>
        </w:rPr>
        <w:t>abus</w:t>
      </w:r>
      <w:proofErr w:type="spellEnd"/>
      <w:r w:rsidRPr="00AF6D70">
        <w:rPr>
          <w:i/>
        </w:rPr>
        <w:t xml:space="preserve"> de </w:t>
      </w:r>
      <w:proofErr w:type="spellStart"/>
      <w:r w:rsidRPr="00AF6D70">
        <w:rPr>
          <w:i/>
        </w:rPr>
        <w:t>droit</w:t>
      </w:r>
      <w:proofErr w:type="spellEnd"/>
      <w:r w:rsidRPr="00AF6D70">
        <w:rPr>
          <w:i/>
        </w:rPr>
        <w:t xml:space="preserve">. </w:t>
      </w:r>
      <w:r w:rsidRPr="004E4D91">
        <w:t>He has relied on the a</w:t>
      </w:r>
      <w:r>
        <w:t xml:space="preserve">uthorities of </w:t>
      </w:r>
      <w:proofErr w:type="spellStart"/>
      <w:r w:rsidRPr="00AF6D70">
        <w:rPr>
          <w:i/>
        </w:rPr>
        <w:t>Mancienne</w:t>
      </w:r>
      <w:proofErr w:type="spellEnd"/>
      <w:r w:rsidRPr="00AF6D70">
        <w:rPr>
          <w:i/>
        </w:rPr>
        <w:t xml:space="preserve"> and </w:t>
      </w:r>
      <w:proofErr w:type="spellStart"/>
      <w:r w:rsidR="00D51171" w:rsidRPr="00AF6D70">
        <w:rPr>
          <w:i/>
        </w:rPr>
        <w:t>anor</w:t>
      </w:r>
      <w:proofErr w:type="spellEnd"/>
      <w:r w:rsidR="00D51171" w:rsidRPr="00AF6D70">
        <w:rPr>
          <w:i/>
        </w:rPr>
        <w:t xml:space="preserve"> v</w:t>
      </w:r>
      <w:r w:rsidRPr="00AF6D70">
        <w:rPr>
          <w:i/>
        </w:rPr>
        <w:t xml:space="preserve"> Ah-Time and </w:t>
      </w:r>
      <w:proofErr w:type="spellStart"/>
      <w:r w:rsidRPr="00AF6D70">
        <w:rPr>
          <w:i/>
        </w:rPr>
        <w:t>anor</w:t>
      </w:r>
      <w:proofErr w:type="spellEnd"/>
      <w:r w:rsidR="00E61DF6">
        <w:rPr>
          <w:i/>
        </w:rPr>
        <w:t xml:space="preserve"> </w:t>
      </w:r>
      <w:r w:rsidRPr="004E4D91">
        <w:t>(2013) SLR 165</w:t>
      </w:r>
      <w:r>
        <w:t xml:space="preserve"> and </w:t>
      </w:r>
      <w:proofErr w:type="spellStart"/>
      <w:r w:rsidRPr="00AF6D70">
        <w:rPr>
          <w:i/>
        </w:rPr>
        <w:t>Nanon</w:t>
      </w:r>
      <w:proofErr w:type="spellEnd"/>
      <w:r w:rsidRPr="00AF6D70">
        <w:rPr>
          <w:i/>
        </w:rPr>
        <w:t xml:space="preserve"> v </w:t>
      </w:r>
      <w:proofErr w:type="spellStart"/>
      <w:r w:rsidRPr="00AF6D70">
        <w:rPr>
          <w:i/>
        </w:rPr>
        <w:t>Thyroomoody</w:t>
      </w:r>
      <w:proofErr w:type="spellEnd"/>
      <w:r w:rsidR="00E61DF6">
        <w:rPr>
          <w:i/>
        </w:rPr>
        <w:t xml:space="preserve"> </w:t>
      </w:r>
      <w:r w:rsidR="00AA6409" w:rsidRPr="00AA6409">
        <w:rPr>
          <w:color w:val="000000"/>
        </w:rPr>
        <w:t>(2011) SLR 92</w:t>
      </w:r>
      <w:r w:rsidR="00AF6D70" w:rsidRPr="00AA6409">
        <w:t>for</w:t>
      </w:r>
      <w:r w:rsidR="00AF6D70">
        <w:t xml:space="preserve"> this proposition. </w:t>
      </w:r>
    </w:p>
    <w:p w:rsidR="00D51171" w:rsidRPr="00AF6D70" w:rsidRDefault="00D51171" w:rsidP="004E4D91">
      <w:pPr>
        <w:pStyle w:val="JudgmentText"/>
        <w:rPr>
          <w:i/>
        </w:rPr>
      </w:pPr>
      <w:r>
        <w:t>Mrs. Karen Domingue, Learned Counsel for the First Defendant has submitted that the right to property is sacrosanct both because of the prov</w:t>
      </w:r>
      <w:r w:rsidR="00F36055">
        <w:t>i</w:t>
      </w:r>
      <w:r>
        <w:t>sions of Art</w:t>
      </w:r>
      <w:r w:rsidR="00F36055">
        <w:t>i</w:t>
      </w:r>
      <w:r>
        <w:t xml:space="preserve">cle 26(1) of the </w:t>
      </w:r>
      <w:r w:rsidR="00F36055">
        <w:t>Constitution</w:t>
      </w:r>
      <w:r>
        <w:t xml:space="preserve"> and </w:t>
      </w:r>
      <w:r w:rsidR="00F36055">
        <w:t>A</w:t>
      </w:r>
      <w:r>
        <w:t>rticle 5</w:t>
      </w:r>
      <w:r w:rsidR="00F36055">
        <w:t xml:space="preserve">45 of the Civil Code, </w:t>
      </w:r>
      <w:r>
        <w:t xml:space="preserve">save where the exceptions laid down </w:t>
      </w:r>
      <w:r>
        <w:lastRenderedPageBreak/>
        <w:t xml:space="preserve">under Article 26(2) </w:t>
      </w:r>
      <w:r w:rsidR="00F36055">
        <w:t xml:space="preserve">of the Constitution </w:t>
      </w:r>
      <w:r>
        <w:t>are made out. It is her view that the</w:t>
      </w:r>
      <w:r w:rsidR="00F36055">
        <w:t>se exceptions</w:t>
      </w:r>
      <w:r>
        <w:t xml:space="preserve"> are not met in the present case</w:t>
      </w:r>
      <w:r w:rsidR="001910AC">
        <w:t xml:space="preserve"> and that the existing right of way should be maintained. </w:t>
      </w:r>
    </w:p>
    <w:p w:rsidR="00F36055" w:rsidRDefault="00F36055" w:rsidP="004E4D91">
      <w:pPr>
        <w:pStyle w:val="JudgmentText"/>
      </w:pPr>
      <w:r>
        <w:t>Learned Counsel for the Second Defend</w:t>
      </w:r>
      <w:r w:rsidR="00E61DF6">
        <w:t xml:space="preserve">ant, Mr. </w:t>
      </w:r>
      <w:proofErr w:type="spellStart"/>
      <w:r w:rsidR="00E61DF6">
        <w:t>Tache</w:t>
      </w:r>
      <w:r>
        <w:t>t</w:t>
      </w:r>
      <w:proofErr w:type="spellEnd"/>
      <w:r>
        <w:t xml:space="preserve"> has submitted that although the Government is willing to grant the right of way as requested by the Plaintiffs</w:t>
      </w:r>
      <w:r w:rsidR="00944D53">
        <w:t>,</w:t>
      </w:r>
      <w:r>
        <w:t xml:space="preserve"> it is one of the conditions of the grant that the parties must </w:t>
      </w:r>
      <w:r w:rsidR="001910AC">
        <w:t xml:space="preserve">all </w:t>
      </w:r>
      <w:r>
        <w:t>consent to it</w:t>
      </w:r>
      <w:r w:rsidR="00944D53">
        <w:t xml:space="preserve">. Since the First Defendant </w:t>
      </w:r>
      <w:r w:rsidR="001910AC">
        <w:t>withholds such consent</w:t>
      </w:r>
      <w:r w:rsidR="00944D53">
        <w:t xml:space="preserve"> he submits that the application by the Plaintiffs cannot therefore be sustained. It is also his submission that if the right of way as prayed for by the Plaintiffs was granted</w:t>
      </w:r>
      <w:r w:rsidR="001910AC">
        <w:t>,</w:t>
      </w:r>
      <w:r w:rsidR="00944D53">
        <w:t xml:space="preserve"> it would only result in an enlargement of the present right of way of way as it is adjacent to </w:t>
      </w:r>
      <w:r w:rsidR="001910AC">
        <w:t>the proposed alternative</w:t>
      </w:r>
      <w:r w:rsidR="00944D53">
        <w:t xml:space="preserve"> and therefore the First Defendant could not be prevented from continuing using the present right of way. </w:t>
      </w:r>
    </w:p>
    <w:p w:rsidR="00944D53" w:rsidRDefault="00944D53" w:rsidP="004E4D91">
      <w:pPr>
        <w:pStyle w:val="JudgmentText"/>
      </w:pPr>
      <w:r>
        <w:t xml:space="preserve">The </w:t>
      </w:r>
      <w:r w:rsidR="001910AC">
        <w:t>C</w:t>
      </w:r>
      <w:r>
        <w:t xml:space="preserve">ourt has gained much insight in the issues raised by visiting the </w:t>
      </w:r>
      <w:r w:rsidRPr="00944D53">
        <w:rPr>
          <w:i/>
        </w:rPr>
        <w:t>locus in quo</w:t>
      </w:r>
      <w:r>
        <w:t>. It is obvious that the existing right of way is impractica</w:t>
      </w:r>
      <w:r w:rsidR="00A76748">
        <w:t>l</w:t>
      </w:r>
      <w:r>
        <w:t xml:space="preserve"> and dangerous given the fact that it is a </w:t>
      </w:r>
      <w:proofErr w:type="spellStart"/>
      <w:r>
        <w:t>motorable</w:t>
      </w:r>
      <w:proofErr w:type="spellEnd"/>
      <w:r>
        <w:t xml:space="preserve"> access and one of the Plaintiff’s houses is positioned astride it, others abut it or are sited closely to it. </w:t>
      </w:r>
    </w:p>
    <w:p w:rsidR="001910AC" w:rsidRDefault="009E7EAB" w:rsidP="004E4D91">
      <w:pPr>
        <w:pStyle w:val="JudgmentText"/>
      </w:pPr>
      <w:r>
        <w:t>It is also obvious that the new right of way proposed</w:t>
      </w:r>
      <w:r w:rsidR="001910AC">
        <w:t>,</w:t>
      </w:r>
      <w:r>
        <w:t xml:space="preserve"> although running parallel to the existing one and adjacent to it would give some added security and safety to the inhabitants of the Plaintiffs houses. </w:t>
      </w:r>
    </w:p>
    <w:p w:rsidR="009E7EAB" w:rsidRDefault="009E7EAB" w:rsidP="004E4D91">
      <w:pPr>
        <w:pStyle w:val="JudgmentText"/>
      </w:pPr>
      <w:r>
        <w:t>It</w:t>
      </w:r>
      <w:r w:rsidR="00E61DF6">
        <w:t xml:space="preserve"> </w:t>
      </w:r>
      <w:r w:rsidR="00A76748">
        <w:t>is</w:t>
      </w:r>
      <w:r w:rsidR="001910AC">
        <w:t xml:space="preserve"> also clear </w:t>
      </w:r>
      <w:r w:rsidR="00A76748">
        <w:t xml:space="preserve">that </w:t>
      </w:r>
      <w:r w:rsidR="001910AC">
        <w:t xml:space="preserve">despite the First Defendant’s protests that he will be </w:t>
      </w:r>
      <w:r>
        <w:t>inconvenience</w:t>
      </w:r>
      <w:r w:rsidR="001910AC">
        <w:t>d</w:t>
      </w:r>
      <w:r>
        <w:t xml:space="preserve"> very slightly</w:t>
      </w:r>
      <w:r w:rsidR="00A76748">
        <w:t>,</w:t>
      </w:r>
      <w:r w:rsidR="00E61DF6">
        <w:t xml:space="preserve"> </w:t>
      </w:r>
      <w:r w:rsidR="001910AC">
        <w:t>if at all</w:t>
      </w:r>
      <w:r w:rsidR="00A76748">
        <w:t>,</w:t>
      </w:r>
      <w:r w:rsidR="00E61DF6">
        <w:t xml:space="preserve"> </w:t>
      </w:r>
      <w:r>
        <w:t xml:space="preserve">in that </w:t>
      </w:r>
      <w:r w:rsidR="00AA6409">
        <w:t xml:space="preserve">only </w:t>
      </w:r>
      <w:r>
        <w:t xml:space="preserve">some small adjustment would have to be made to the entrance of his property. It </w:t>
      </w:r>
      <w:r w:rsidR="00AA6409">
        <w:t>is also</w:t>
      </w:r>
      <w:r>
        <w:t xml:space="preserve"> plainly obvious that the First Defendant </w:t>
      </w:r>
      <w:r w:rsidR="001910AC">
        <w:t xml:space="preserve">is </w:t>
      </w:r>
      <w:r>
        <w:t xml:space="preserve">uncooperative. At the </w:t>
      </w:r>
      <w:r w:rsidRPr="009E7EAB">
        <w:rPr>
          <w:i/>
        </w:rPr>
        <w:t>locus</w:t>
      </w:r>
      <w:r>
        <w:t xml:space="preserve"> he was unreasonable and became irascible when propositions were made to him, promising to emigrate if any change to the right of way was made. </w:t>
      </w:r>
    </w:p>
    <w:p w:rsidR="001910AC" w:rsidRDefault="009E7EAB" w:rsidP="004E4D91">
      <w:pPr>
        <w:pStyle w:val="JudgmentText"/>
      </w:pPr>
      <w:r>
        <w:t>Admittedly a right of wa</w:t>
      </w:r>
      <w:r w:rsidR="001910AC">
        <w:t>y</w:t>
      </w:r>
      <w:r>
        <w:t xml:space="preserve"> is a property right. As all rights, </w:t>
      </w:r>
      <w:r w:rsidR="00674FFA">
        <w:t xml:space="preserve">it is subject to </w:t>
      </w:r>
      <w:r w:rsidR="00782F39">
        <w:t>limitations</w:t>
      </w:r>
      <w:r w:rsidR="00674FFA">
        <w:t>. The First Defendant’s right to p</w:t>
      </w:r>
      <w:r w:rsidR="00782F39">
        <w:t>roperty</w:t>
      </w:r>
      <w:r w:rsidR="00E61DF6">
        <w:t xml:space="preserve"> </w:t>
      </w:r>
      <w:r w:rsidR="00782F39">
        <w:t>must</w:t>
      </w:r>
      <w:r w:rsidR="00674FFA">
        <w:t xml:space="preserve"> not be </w:t>
      </w:r>
      <w:r w:rsidR="00782F39">
        <w:t>exercised</w:t>
      </w:r>
      <w:r w:rsidR="00674FFA">
        <w:t xml:space="preserve"> to the detriment of the </w:t>
      </w:r>
      <w:r w:rsidR="00782F39">
        <w:t>Plaintiffs</w:t>
      </w:r>
      <w:r w:rsidR="001910AC">
        <w:t>’</w:t>
      </w:r>
      <w:r w:rsidR="00674FFA">
        <w:t xml:space="preserve"> right </w:t>
      </w:r>
      <w:r w:rsidR="00782F39">
        <w:t>to</w:t>
      </w:r>
      <w:r w:rsidR="00E61DF6">
        <w:t xml:space="preserve"> </w:t>
      </w:r>
      <w:r w:rsidR="001910AC">
        <w:t xml:space="preserve">enjoy </w:t>
      </w:r>
      <w:r w:rsidR="00674FFA">
        <w:t>property</w:t>
      </w:r>
      <w:r w:rsidR="00782F39">
        <w:t>.</w:t>
      </w:r>
      <w:r w:rsidR="00E61DF6">
        <w:t xml:space="preserve">  </w:t>
      </w:r>
      <w:r w:rsidR="00AA6409">
        <w:t>In the circumstances</w:t>
      </w:r>
      <w:r w:rsidR="00E61DF6">
        <w:t xml:space="preserve"> </w:t>
      </w:r>
      <w:r w:rsidR="00AA6409">
        <w:t xml:space="preserve">I am of the view that there is a clear abuse by the First Defendant of his property right and that the authorities of </w:t>
      </w:r>
      <w:proofErr w:type="spellStart"/>
      <w:r w:rsidR="00AA6409" w:rsidRPr="00AA6409">
        <w:rPr>
          <w:i/>
        </w:rPr>
        <w:t>Mancie</w:t>
      </w:r>
      <w:r w:rsidR="00AA6409">
        <w:rPr>
          <w:i/>
        </w:rPr>
        <w:t>n</w:t>
      </w:r>
      <w:r w:rsidR="00AA6409" w:rsidRPr="00AA6409">
        <w:rPr>
          <w:i/>
        </w:rPr>
        <w:t>ne</w:t>
      </w:r>
      <w:proofErr w:type="spellEnd"/>
      <w:r w:rsidR="00AA6409">
        <w:t xml:space="preserve"> and </w:t>
      </w:r>
      <w:proofErr w:type="spellStart"/>
      <w:r w:rsidR="00AA6409" w:rsidRPr="00AA6409">
        <w:rPr>
          <w:i/>
        </w:rPr>
        <w:t>Nanon</w:t>
      </w:r>
      <w:proofErr w:type="spellEnd"/>
      <w:r w:rsidR="00AA6409" w:rsidRPr="00AA6409">
        <w:rPr>
          <w:i/>
        </w:rPr>
        <w:t xml:space="preserve"> </w:t>
      </w:r>
      <w:r w:rsidR="00AA6409">
        <w:t>are applicable</w:t>
      </w:r>
      <w:bookmarkStart w:id="13" w:name="_GoBack"/>
      <w:bookmarkEnd w:id="13"/>
      <w:r w:rsidR="00AA6409">
        <w:t xml:space="preserve"> to this case. </w:t>
      </w:r>
    </w:p>
    <w:p w:rsidR="001910AC" w:rsidRDefault="001910AC" w:rsidP="004E4D91">
      <w:pPr>
        <w:pStyle w:val="JudgmentText"/>
      </w:pPr>
      <w:r>
        <w:lastRenderedPageBreak/>
        <w:t xml:space="preserve">This case is unusual in the sense that all the parties concerned with the right of way </w:t>
      </w:r>
      <w:r w:rsidR="00A76748">
        <w:t>over P</w:t>
      </w:r>
      <w:r>
        <w:t>arcel S71</w:t>
      </w:r>
      <w:r w:rsidR="00E61DF6">
        <w:t xml:space="preserve"> </w:t>
      </w:r>
      <w:r>
        <w:t>are</w:t>
      </w:r>
      <w:r w:rsidR="00A76748">
        <w:t xml:space="preserve"> also </w:t>
      </w:r>
      <w:r>
        <w:t xml:space="preserve">the owners of the dominant tenement and </w:t>
      </w:r>
      <w:proofErr w:type="spellStart"/>
      <w:r>
        <w:t>servient</w:t>
      </w:r>
      <w:proofErr w:type="spellEnd"/>
      <w:r>
        <w:t xml:space="preserve"> tenement simultaneously</w:t>
      </w:r>
      <w:r w:rsidR="001943C0">
        <w:t xml:space="preserve"> since t</w:t>
      </w:r>
      <w:r>
        <w:t xml:space="preserve">hey all co-own Parcel S71. </w:t>
      </w:r>
    </w:p>
    <w:p w:rsidR="009E3F4C" w:rsidRDefault="001943C0" w:rsidP="004E4D91">
      <w:pPr>
        <w:pStyle w:val="JudgmentText"/>
      </w:pPr>
      <w:r>
        <w:t xml:space="preserve">A </w:t>
      </w:r>
      <w:r w:rsidR="00AF6D70">
        <w:t>c</w:t>
      </w:r>
      <w:r w:rsidR="00577F04">
        <w:t>h</w:t>
      </w:r>
      <w:r w:rsidR="00AF6D70">
        <w:t xml:space="preserve">ange </w:t>
      </w:r>
      <w:r w:rsidR="00577F04">
        <w:t xml:space="preserve">in a right of </w:t>
      </w:r>
      <w:r w:rsidR="00AF6D70">
        <w:t>way</w:t>
      </w:r>
      <w:r w:rsidR="00E61DF6">
        <w:t xml:space="preserve"> </w:t>
      </w:r>
      <w:r w:rsidR="00AF6D70">
        <w:t xml:space="preserve">is permitted by French jurisprudence. The authors </w:t>
      </w:r>
      <w:proofErr w:type="spellStart"/>
      <w:r w:rsidR="00AF6D70">
        <w:t>Terr</w:t>
      </w:r>
      <w:r w:rsidR="00577F04">
        <w:t>é</w:t>
      </w:r>
      <w:proofErr w:type="spellEnd"/>
      <w:r w:rsidR="00AF6D70">
        <w:t xml:space="preserve"> and </w:t>
      </w:r>
      <w:proofErr w:type="spellStart"/>
      <w:r w:rsidR="00577F04">
        <w:t>Simler</w:t>
      </w:r>
      <w:proofErr w:type="spellEnd"/>
      <w:r w:rsidR="00577F04">
        <w:t xml:space="preserve"> s</w:t>
      </w:r>
      <w:r w:rsidR="00AF6D70">
        <w:t>ta</w:t>
      </w:r>
      <w:r w:rsidR="00577F04">
        <w:t>t</w:t>
      </w:r>
      <w:r w:rsidR="00AF6D70">
        <w:t xml:space="preserve">e: </w:t>
      </w:r>
    </w:p>
    <w:p w:rsidR="00577F04" w:rsidRPr="008D7959" w:rsidRDefault="00577F04" w:rsidP="00577F04">
      <w:pPr>
        <w:pStyle w:val="JudgmentText"/>
        <w:numPr>
          <w:ilvl w:val="0"/>
          <w:numId w:val="0"/>
        </w:numPr>
        <w:ind w:left="1440"/>
        <w:rPr>
          <w:i/>
          <w:lang w:val="fr-FR"/>
        </w:rPr>
      </w:pPr>
      <w:r w:rsidRPr="008D7959">
        <w:rPr>
          <w:i/>
          <w:lang w:val="fr-FR"/>
        </w:rPr>
        <w:t xml:space="preserve">L’assiette et les </w:t>
      </w:r>
      <w:proofErr w:type="spellStart"/>
      <w:r w:rsidRPr="008D7959">
        <w:rPr>
          <w:i/>
          <w:lang w:val="fr-FR"/>
        </w:rPr>
        <w:t>modalities</w:t>
      </w:r>
      <w:proofErr w:type="spellEnd"/>
      <w:r w:rsidRPr="008D7959">
        <w:rPr>
          <w:i/>
          <w:lang w:val="fr-FR"/>
        </w:rPr>
        <w:t xml:space="preserve"> du passage peuvent </w:t>
      </w:r>
      <w:proofErr w:type="spellStart"/>
      <w:r w:rsidRPr="008D7959">
        <w:rPr>
          <w:i/>
          <w:lang w:val="fr-FR"/>
        </w:rPr>
        <w:t>etre</w:t>
      </w:r>
      <w:proofErr w:type="spellEnd"/>
      <w:r w:rsidRPr="008D7959">
        <w:rPr>
          <w:i/>
          <w:lang w:val="fr-FR"/>
        </w:rPr>
        <w:t xml:space="preserve"> modifi</w:t>
      </w:r>
      <w:r w:rsidR="00C33299" w:rsidRPr="008D7959">
        <w:rPr>
          <w:i/>
          <w:lang w:val="fr-FR"/>
        </w:rPr>
        <w:t>é</w:t>
      </w:r>
      <w:r w:rsidRPr="008D7959">
        <w:rPr>
          <w:i/>
          <w:lang w:val="fr-FR"/>
        </w:rPr>
        <w:t xml:space="preserve">es, </w:t>
      </w:r>
      <w:r w:rsidR="00EE2516" w:rsidRPr="008D7959">
        <w:rPr>
          <w:i/>
          <w:lang w:val="fr-FR"/>
        </w:rPr>
        <w:t>à</w:t>
      </w:r>
      <w:r w:rsidRPr="008D7959">
        <w:rPr>
          <w:i/>
          <w:lang w:val="fr-FR"/>
        </w:rPr>
        <w:t xml:space="preserve"> la demande d’un changement de la destination de l</w:t>
      </w:r>
      <w:r w:rsidR="00EE2516" w:rsidRPr="008D7959">
        <w:rPr>
          <w:i/>
          <w:lang w:val="fr-FR"/>
        </w:rPr>
        <w:t>’</w:t>
      </w:r>
      <w:r w:rsidRPr="008D7959">
        <w:rPr>
          <w:i/>
          <w:lang w:val="fr-FR"/>
        </w:rPr>
        <w:t>exploitation de ce fonds</w:t>
      </w:r>
      <w:r w:rsidR="00EE2516" w:rsidRPr="008D7959">
        <w:rPr>
          <w:i/>
          <w:lang w:val="fr-FR"/>
        </w:rPr>
        <w:t>.</w:t>
      </w:r>
      <w:r w:rsidRPr="008D7959">
        <w:rPr>
          <w:i/>
          <w:lang w:val="fr-FR"/>
        </w:rPr>
        <w:t xml:space="preserve"> Les besoins de l’exploitation qui motivent le droit de passage </w:t>
      </w:r>
      <w:r w:rsidR="00EE2516" w:rsidRPr="008D7959">
        <w:rPr>
          <w:i/>
          <w:lang w:val="fr-FR"/>
        </w:rPr>
        <w:t>s’appr</w:t>
      </w:r>
      <w:r w:rsidR="00C33299" w:rsidRPr="008D7959">
        <w:rPr>
          <w:i/>
          <w:lang w:val="fr-FR"/>
        </w:rPr>
        <w:t>é</w:t>
      </w:r>
      <w:r w:rsidR="00EE2516" w:rsidRPr="008D7959">
        <w:rPr>
          <w:i/>
          <w:lang w:val="fr-FR"/>
        </w:rPr>
        <w:t>cient au</w:t>
      </w:r>
      <w:r w:rsidRPr="008D7959">
        <w:rPr>
          <w:i/>
          <w:lang w:val="fr-FR"/>
        </w:rPr>
        <w:t xml:space="preserve"> moment </w:t>
      </w:r>
      <w:r w:rsidR="00C33299" w:rsidRPr="008D7959">
        <w:rPr>
          <w:i/>
          <w:lang w:val="fr-FR"/>
        </w:rPr>
        <w:t>où</w:t>
      </w:r>
      <w:r w:rsidRPr="008D7959">
        <w:rPr>
          <w:i/>
          <w:lang w:val="fr-FR"/>
        </w:rPr>
        <w:t xml:space="preserve"> la pr</w:t>
      </w:r>
      <w:r w:rsidR="00EE2516" w:rsidRPr="008D7959">
        <w:rPr>
          <w:i/>
          <w:lang w:val="fr-FR"/>
        </w:rPr>
        <w:t>é</w:t>
      </w:r>
      <w:r w:rsidRPr="008D7959">
        <w:rPr>
          <w:i/>
          <w:lang w:val="fr-FR"/>
        </w:rPr>
        <w:t xml:space="preserve">tention </w:t>
      </w:r>
      <w:r w:rsidR="00EE2516" w:rsidRPr="008D7959">
        <w:rPr>
          <w:i/>
          <w:lang w:val="fr-FR"/>
        </w:rPr>
        <w:t>à</w:t>
      </w:r>
      <w:r w:rsidRPr="008D7959">
        <w:rPr>
          <w:i/>
          <w:lang w:val="fr-FR"/>
        </w:rPr>
        <w:t xml:space="preserve"> la </w:t>
      </w:r>
      <w:r w:rsidR="00EE2516" w:rsidRPr="008D7959">
        <w:rPr>
          <w:i/>
          <w:lang w:val="fr-FR"/>
        </w:rPr>
        <w:t>modification</w:t>
      </w:r>
      <w:r w:rsidRPr="008D7959">
        <w:rPr>
          <w:i/>
          <w:lang w:val="fr-FR"/>
        </w:rPr>
        <w:t xml:space="preserve"> est </w:t>
      </w:r>
      <w:r w:rsidR="00EE2516" w:rsidRPr="008D7959">
        <w:rPr>
          <w:i/>
          <w:lang w:val="fr-FR"/>
        </w:rPr>
        <w:t>é</w:t>
      </w:r>
      <w:r w:rsidRPr="008D7959">
        <w:rPr>
          <w:i/>
          <w:lang w:val="fr-FR"/>
        </w:rPr>
        <w:t xml:space="preserve">mise. La servitude peut </w:t>
      </w:r>
      <w:r w:rsidR="00EE2516" w:rsidRPr="008D7959">
        <w:rPr>
          <w:i/>
          <w:lang w:val="fr-FR"/>
        </w:rPr>
        <w:t>ê</w:t>
      </w:r>
      <w:r w:rsidRPr="008D7959">
        <w:rPr>
          <w:i/>
          <w:lang w:val="fr-FR"/>
        </w:rPr>
        <w:t>tre lors non</w:t>
      </w:r>
      <w:r w:rsidR="00E61DF6">
        <w:rPr>
          <w:i/>
          <w:lang w:val="fr-FR"/>
        </w:rPr>
        <w:t xml:space="preserve"> </w:t>
      </w:r>
      <w:r w:rsidRPr="008D7959">
        <w:rPr>
          <w:i/>
          <w:lang w:val="fr-FR"/>
        </w:rPr>
        <w:t>se</w:t>
      </w:r>
      <w:r w:rsidR="00EE2516" w:rsidRPr="008D7959">
        <w:rPr>
          <w:i/>
          <w:lang w:val="fr-FR"/>
        </w:rPr>
        <w:t>u</w:t>
      </w:r>
      <w:r w:rsidRPr="008D7959">
        <w:rPr>
          <w:i/>
          <w:lang w:val="fr-FR"/>
        </w:rPr>
        <w:t>lem</w:t>
      </w:r>
      <w:r w:rsidR="00EE2516" w:rsidRPr="008D7959">
        <w:rPr>
          <w:i/>
          <w:lang w:val="fr-FR"/>
        </w:rPr>
        <w:t>e</w:t>
      </w:r>
      <w:r w:rsidRPr="008D7959">
        <w:rPr>
          <w:i/>
          <w:lang w:val="fr-FR"/>
        </w:rPr>
        <w:t>nt modifi</w:t>
      </w:r>
      <w:r w:rsidR="00EE2516" w:rsidRPr="008D7959">
        <w:rPr>
          <w:i/>
          <w:lang w:val="fr-FR"/>
        </w:rPr>
        <w:t>é</w:t>
      </w:r>
      <w:r w:rsidRPr="008D7959">
        <w:rPr>
          <w:i/>
          <w:lang w:val="fr-FR"/>
        </w:rPr>
        <w:t>,</w:t>
      </w:r>
      <w:r w:rsidR="00E61DF6">
        <w:rPr>
          <w:i/>
          <w:lang w:val="fr-FR"/>
        </w:rPr>
        <w:t xml:space="preserve"> </w:t>
      </w:r>
      <w:r w:rsidRPr="008D7959">
        <w:rPr>
          <w:i/>
          <w:lang w:val="fr-FR"/>
        </w:rPr>
        <w:t xml:space="preserve">mais </w:t>
      </w:r>
      <w:proofErr w:type="spellStart"/>
      <w:r w:rsidRPr="008D7959">
        <w:rPr>
          <w:i/>
          <w:lang w:val="fr-FR"/>
        </w:rPr>
        <w:t>deplac</w:t>
      </w:r>
      <w:r w:rsidR="00EE2516" w:rsidRPr="008D7959">
        <w:rPr>
          <w:i/>
          <w:lang w:val="fr-FR"/>
        </w:rPr>
        <w:t>é</w:t>
      </w:r>
      <w:r w:rsidRPr="008D7959">
        <w:rPr>
          <w:i/>
          <w:lang w:val="fr-FR"/>
        </w:rPr>
        <w:t>e</w:t>
      </w:r>
      <w:proofErr w:type="spellEnd"/>
      <w:r w:rsidRPr="008D7959">
        <w:rPr>
          <w:i/>
          <w:lang w:val="fr-FR"/>
        </w:rPr>
        <w:t xml:space="preserve"> et trans</w:t>
      </w:r>
      <w:r w:rsidR="006F00D5" w:rsidRPr="008D7959">
        <w:rPr>
          <w:i/>
          <w:lang w:val="fr-FR"/>
        </w:rPr>
        <w:t>p</w:t>
      </w:r>
      <w:r w:rsidRPr="008D7959">
        <w:rPr>
          <w:i/>
          <w:lang w:val="fr-FR"/>
        </w:rPr>
        <w:t>ort</w:t>
      </w:r>
      <w:r w:rsidR="00EE2516" w:rsidRPr="008D7959">
        <w:rPr>
          <w:i/>
          <w:lang w:val="fr-FR"/>
        </w:rPr>
        <w:t>é</w:t>
      </w:r>
      <w:r w:rsidR="00B76EC8" w:rsidRPr="008D7959">
        <w:rPr>
          <w:i/>
          <w:lang w:val="fr-FR"/>
        </w:rPr>
        <w:t xml:space="preserve">e </w:t>
      </w:r>
      <w:r w:rsidRPr="008D7959">
        <w:rPr>
          <w:i/>
          <w:lang w:val="fr-FR"/>
        </w:rPr>
        <w:t>d’un fonds sur un autre.</w:t>
      </w:r>
    </w:p>
    <w:p w:rsidR="00782F39" w:rsidRPr="008D7959" w:rsidRDefault="00782F39" w:rsidP="00782F39">
      <w:pPr>
        <w:pStyle w:val="JudgmentText"/>
        <w:numPr>
          <w:ilvl w:val="0"/>
          <w:numId w:val="0"/>
        </w:numPr>
        <w:ind w:left="1440"/>
        <w:jc w:val="left"/>
        <w:rPr>
          <w:i/>
          <w:lang w:val="fr-FR"/>
        </w:rPr>
      </w:pPr>
      <w:r w:rsidRPr="008D7959">
        <w:rPr>
          <w:i/>
          <w:lang w:val="fr-FR"/>
        </w:rPr>
        <w:t>Le changement peut aussi être décidé à la demande du propriétaire du fonds servant, à condition que le passage primitive soit devenu pour lui incommode… (</w:t>
      </w:r>
      <w:proofErr w:type="spellStart"/>
      <w:r w:rsidRPr="008D7959">
        <w:rPr>
          <w:i/>
          <w:lang w:val="fr-FR"/>
        </w:rPr>
        <w:t>Francois</w:t>
      </w:r>
      <w:proofErr w:type="spellEnd"/>
      <w:r w:rsidRPr="008D7959">
        <w:rPr>
          <w:i/>
          <w:lang w:val="fr-FR"/>
        </w:rPr>
        <w:t xml:space="preserve"> </w:t>
      </w:r>
      <w:proofErr w:type="spellStart"/>
      <w:r w:rsidRPr="008D7959">
        <w:rPr>
          <w:i/>
          <w:lang w:val="fr-FR"/>
        </w:rPr>
        <w:t>Térré</w:t>
      </w:r>
      <w:proofErr w:type="spellEnd"/>
      <w:r w:rsidRPr="008D7959">
        <w:rPr>
          <w:i/>
          <w:lang w:val="fr-FR"/>
        </w:rPr>
        <w:t xml:space="preserve"> et Philippe Simler, Droit civil – Les biens, 8</w:t>
      </w:r>
      <w:r w:rsidRPr="008D7959">
        <w:rPr>
          <w:i/>
          <w:vertAlign w:val="superscript"/>
          <w:lang w:val="fr-FR"/>
        </w:rPr>
        <w:t xml:space="preserve">e </w:t>
      </w:r>
      <w:proofErr w:type="spellStart"/>
      <w:r w:rsidRPr="008D7959">
        <w:rPr>
          <w:i/>
          <w:lang w:val="fr-FR"/>
        </w:rPr>
        <w:t>edn</w:t>
      </w:r>
      <w:proofErr w:type="spellEnd"/>
      <w:r w:rsidRPr="008D7959">
        <w:rPr>
          <w:i/>
          <w:lang w:val="fr-FR"/>
        </w:rPr>
        <w:t>,</w:t>
      </w:r>
      <w:r w:rsidR="00E61DF6">
        <w:rPr>
          <w:i/>
          <w:lang w:val="fr-FR"/>
        </w:rPr>
        <w:t xml:space="preserve"> </w:t>
      </w:r>
      <w:r w:rsidRPr="008D7959">
        <w:rPr>
          <w:i/>
          <w:lang w:val="fr-FR"/>
        </w:rPr>
        <w:t>Dalloz p. 256).</w:t>
      </w:r>
    </w:p>
    <w:p w:rsidR="00577F04" w:rsidRDefault="00EE2516" w:rsidP="004E4D91">
      <w:pPr>
        <w:pStyle w:val="JudgmentText"/>
      </w:pPr>
      <w:r>
        <w:t>The authorit</w:t>
      </w:r>
      <w:r w:rsidR="00782F39">
        <w:t>y</w:t>
      </w:r>
      <w:r>
        <w:t xml:space="preserve"> above </w:t>
      </w:r>
      <w:r w:rsidR="00782F39">
        <w:t>is</w:t>
      </w:r>
      <w:r>
        <w:t xml:space="preserve"> to the effect that both the proprietors of a </w:t>
      </w:r>
      <w:proofErr w:type="spellStart"/>
      <w:r>
        <w:t>servient</w:t>
      </w:r>
      <w:proofErr w:type="spellEnd"/>
      <w:r>
        <w:t xml:space="preserve"> </w:t>
      </w:r>
      <w:r w:rsidR="00AA6409">
        <w:t>and</w:t>
      </w:r>
      <w:r>
        <w:t xml:space="preserve"> a dominant tenement may demand a variation in the posit</w:t>
      </w:r>
      <w:r w:rsidR="001760B0">
        <w:t>i</w:t>
      </w:r>
      <w:r>
        <w:t xml:space="preserve">on </w:t>
      </w:r>
      <w:r w:rsidR="005A3CA9">
        <w:t xml:space="preserve">of </w:t>
      </w:r>
      <w:r w:rsidR="00AA6409">
        <w:t xml:space="preserve">a </w:t>
      </w:r>
      <w:r w:rsidR="005A3CA9">
        <w:t>right</w:t>
      </w:r>
      <w:r>
        <w:t xml:space="preserve"> of way in circumstances when the existing </w:t>
      </w:r>
      <w:r w:rsidR="00A362D2">
        <w:t xml:space="preserve">position of </w:t>
      </w:r>
      <w:r w:rsidR="005A3CA9">
        <w:t>ri</w:t>
      </w:r>
      <w:r>
        <w:t>ght of way become</w:t>
      </w:r>
      <w:r w:rsidR="00AA6409">
        <w:t>s</w:t>
      </w:r>
      <w:r>
        <w:t xml:space="preserve"> too </w:t>
      </w:r>
      <w:r w:rsidR="005A3CA9">
        <w:t>inconvenient</w:t>
      </w:r>
      <w:r w:rsidR="00782F39">
        <w:t xml:space="preserve"> for the </w:t>
      </w:r>
      <w:proofErr w:type="spellStart"/>
      <w:r w:rsidR="00782F39">
        <w:t>servient</w:t>
      </w:r>
      <w:proofErr w:type="spellEnd"/>
      <w:r w:rsidR="00782F39">
        <w:t xml:space="preserve"> tenement.</w:t>
      </w:r>
      <w:r w:rsidR="00E61DF6">
        <w:t xml:space="preserve">  </w:t>
      </w:r>
      <w:r w:rsidR="00C33299">
        <w:t xml:space="preserve">The </w:t>
      </w:r>
      <w:r w:rsidR="00A76748">
        <w:t>existing</w:t>
      </w:r>
      <w:r w:rsidR="00C33299">
        <w:t xml:space="preserve"> right of way can be displace</w:t>
      </w:r>
      <w:r w:rsidR="00AA6409">
        <w:t>d</w:t>
      </w:r>
      <w:r w:rsidR="00C33299">
        <w:t xml:space="preserve"> or transported to other property. </w:t>
      </w:r>
    </w:p>
    <w:p w:rsidR="00590F79" w:rsidRDefault="005A3CA9" w:rsidP="00D8679A">
      <w:pPr>
        <w:pStyle w:val="JudgmentText"/>
      </w:pPr>
      <w:r>
        <w:t xml:space="preserve">This </w:t>
      </w:r>
      <w:r w:rsidR="00D51171">
        <w:t xml:space="preserve">principle </w:t>
      </w:r>
      <w:r>
        <w:t xml:space="preserve">however </w:t>
      </w:r>
      <w:r w:rsidR="00A76748">
        <w:t>is limited by the provisions of</w:t>
      </w:r>
      <w:r>
        <w:t xml:space="preserve"> Article 685 (1) which prescribe the extinction of the position and the form of a right of way</w:t>
      </w:r>
      <w:r w:rsidR="000C410A">
        <w:t xml:space="preserve"> after twenty years.</w:t>
      </w:r>
      <w:r w:rsidR="00E61DF6">
        <w:t xml:space="preserve">  </w:t>
      </w:r>
      <w:r w:rsidR="00A362D2">
        <w:t xml:space="preserve">However, as no one </w:t>
      </w:r>
      <w:r w:rsidR="00C33299">
        <w:t xml:space="preserve">has </w:t>
      </w:r>
      <w:r w:rsidR="00A362D2">
        <w:t>raised the issue of p</w:t>
      </w:r>
      <w:r w:rsidR="00D8679A">
        <w:t xml:space="preserve">rescription </w:t>
      </w:r>
      <w:r w:rsidR="00A362D2">
        <w:t xml:space="preserve">and since the court cannot on its own take judicial notice </w:t>
      </w:r>
      <w:r w:rsidR="00590F79">
        <w:t>of prescription</w:t>
      </w:r>
      <w:r w:rsidR="00A362D2">
        <w:t xml:space="preserve"> the issue doesn’t arise (</w:t>
      </w:r>
      <w:proofErr w:type="spellStart"/>
      <w:r w:rsidR="00A362D2" w:rsidRPr="00C33299">
        <w:rPr>
          <w:i/>
        </w:rPr>
        <w:t>viz</w:t>
      </w:r>
      <w:proofErr w:type="spellEnd"/>
      <w:r w:rsidR="00A362D2">
        <w:t xml:space="preserve"> article 2224 of the </w:t>
      </w:r>
      <w:r w:rsidR="00590F79">
        <w:t>C</w:t>
      </w:r>
      <w:r w:rsidR="00A362D2">
        <w:t xml:space="preserve">ivil </w:t>
      </w:r>
      <w:r w:rsidR="00590F79">
        <w:t>C</w:t>
      </w:r>
      <w:r w:rsidR="00A362D2">
        <w:t>ode of Seych</w:t>
      </w:r>
      <w:r w:rsidR="00590F79">
        <w:t>e</w:t>
      </w:r>
      <w:r w:rsidR="00A362D2">
        <w:t>lles</w:t>
      </w:r>
      <w:r w:rsidR="00590F79">
        <w:t xml:space="preserve">). </w:t>
      </w:r>
    </w:p>
    <w:p w:rsidR="00590F79" w:rsidRDefault="00D8679A" w:rsidP="00590F79">
      <w:pPr>
        <w:pStyle w:val="JudgmentText"/>
      </w:pPr>
      <w:r>
        <w:t>Further</w:t>
      </w:r>
      <w:r w:rsidR="005A3CA9">
        <w:t xml:space="preserve">, what must be borne in mind is the </w:t>
      </w:r>
      <w:r w:rsidR="005A3CA9" w:rsidRPr="00590F79">
        <w:rPr>
          <w:i/>
        </w:rPr>
        <w:t>raison d’</w:t>
      </w:r>
      <w:r w:rsidR="000C410A" w:rsidRPr="00590F79">
        <w:rPr>
          <w:i/>
        </w:rPr>
        <w:t>ê</w:t>
      </w:r>
      <w:r w:rsidR="005A3CA9" w:rsidRPr="00590F79">
        <w:rPr>
          <w:i/>
        </w:rPr>
        <w:t>tre</w:t>
      </w:r>
      <w:r w:rsidR="005A3CA9">
        <w:t xml:space="preserve"> o</w:t>
      </w:r>
      <w:r w:rsidR="000C410A">
        <w:t>f</w:t>
      </w:r>
      <w:r w:rsidR="005A3CA9">
        <w:t xml:space="preserve"> t</w:t>
      </w:r>
      <w:r w:rsidR="000C410A">
        <w:t>h</w:t>
      </w:r>
      <w:r w:rsidR="005A3CA9">
        <w:t xml:space="preserve">e right of way </w:t>
      </w:r>
      <w:r w:rsidR="000C410A">
        <w:t xml:space="preserve">in </w:t>
      </w:r>
      <w:r w:rsidR="005A3CA9">
        <w:t xml:space="preserve">the </w:t>
      </w:r>
      <w:r w:rsidR="000C410A">
        <w:t>first</w:t>
      </w:r>
      <w:r w:rsidR="005A3CA9">
        <w:t xml:space="preserve"> p</w:t>
      </w:r>
      <w:r w:rsidR="000C410A">
        <w:t>lace.</w:t>
      </w:r>
      <w:r w:rsidR="005A3CA9">
        <w:t xml:space="preserve"> Rights of ways are </w:t>
      </w:r>
      <w:r w:rsidR="000C410A">
        <w:t>created</w:t>
      </w:r>
      <w:r w:rsidR="005A3CA9">
        <w:t xml:space="preserve"> to</w:t>
      </w:r>
      <w:r w:rsidR="00E61DF6">
        <w:t xml:space="preserve"> </w:t>
      </w:r>
      <w:r w:rsidR="005A3CA9">
        <w:t xml:space="preserve">permit </w:t>
      </w:r>
      <w:r w:rsidR="000C410A">
        <w:t xml:space="preserve">access to </w:t>
      </w:r>
      <w:proofErr w:type="spellStart"/>
      <w:r w:rsidR="005A3CA9">
        <w:t>enclaved</w:t>
      </w:r>
      <w:proofErr w:type="spellEnd"/>
      <w:r w:rsidR="005A3CA9">
        <w:t xml:space="preserve"> </w:t>
      </w:r>
      <w:r w:rsidR="000C410A">
        <w:t xml:space="preserve">land. </w:t>
      </w:r>
      <w:r w:rsidR="00590F79">
        <w:t xml:space="preserve">Article 682 </w:t>
      </w:r>
      <w:r w:rsidR="00C33299">
        <w:t>provides</w:t>
      </w:r>
      <w:r w:rsidR="00E61DF6">
        <w:t xml:space="preserve"> </w:t>
      </w:r>
      <w:r w:rsidR="00C33299">
        <w:t xml:space="preserve">in </w:t>
      </w:r>
      <w:r w:rsidR="00590F79">
        <w:t>relevant part that :</w:t>
      </w:r>
    </w:p>
    <w:p w:rsidR="00590F79" w:rsidRPr="00590F79" w:rsidRDefault="00590F79" w:rsidP="00590F79">
      <w:pPr>
        <w:pStyle w:val="JudgmentText"/>
        <w:numPr>
          <w:ilvl w:val="0"/>
          <w:numId w:val="0"/>
        </w:numPr>
        <w:ind w:left="1440"/>
        <w:rPr>
          <w:i/>
        </w:rPr>
      </w:pPr>
      <w:r w:rsidRPr="00590F79">
        <w:rPr>
          <w:i/>
        </w:rPr>
        <w:lastRenderedPageBreak/>
        <w:t xml:space="preserve">“The owner whose property is enclosed on all sides and has no access or inadequate access onto the public highway shall be entitled to claim from his </w:t>
      </w:r>
      <w:r w:rsidR="00A4274D" w:rsidRPr="00590F79">
        <w:rPr>
          <w:i/>
        </w:rPr>
        <w:t>neighbours a</w:t>
      </w:r>
      <w:r w:rsidRPr="00590F79">
        <w:rPr>
          <w:i/>
        </w:rPr>
        <w:t xml:space="preserve"> sufficient right of way to ensure the full use of such property…</w:t>
      </w:r>
      <w:r>
        <w:rPr>
          <w:i/>
        </w:rPr>
        <w:t>”</w:t>
      </w:r>
    </w:p>
    <w:p w:rsidR="00590F79" w:rsidRDefault="00590F79" w:rsidP="00590F79">
      <w:pPr>
        <w:pStyle w:val="JudgmentText"/>
      </w:pPr>
      <w:r>
        <w:t xml:space="preserve">The Plaintiffs and Defendant’s </w:t>
      </w:r>
      <w:r w:rsidR="00A76748">
        <w:t>properties are</w:t>
      </w:r>
      <w:r>
        <w:t xml:space="preserve"> not </w:t>
      </w:r>
      <w:proofErr w:type="spellStart"/>
      <w:r>
        <w:t>enclaved</w:t>
      </w:r>
      <w:proofErr w:type="spellEnd"/>
      <w:r>
        <w:t xml:space="preserve"> and ha</w:t>
      </w:r>
      <w:r w:rsidR="00A76748">
        <w:t>ve</w:t>
      </w:r>
      <w:r>
        <w:t xml:space="preserve"> not been for some time given the grant by the Second Defendant of the alternative access. </w:t>
      </w:r>
      <w:proofErr w:type="spellStart"/>
      <w:r w:rsidRPr="00D8679A">
        <w:t>Terré</w:t>
      </w:r>
      <w:proofErr w:type="spellEnd"/>
      <w:r w:rsidRPr="00D8679A">
        <w:t xml:space="preserve"> and </w:t>
      </w:r>
      <w:proofErr w:type="spellStart"/>
      <w:r w:rsidRPr="00D8679A">
        <w:t>Simler</w:t>
      </w:r>
      <w:proofErr w:type="spellEnd"/>
      <w:r w:rsidRPr="00D8679A">
        <w:t xml:space="preserve"> </w:t>
      </w:r>
      <w:r>
        <w:t xml:space="preserve">state that a right of way can be extinguished when land is no longer </w:t>
      </w:r>
      <w:proofErr w:type="spellStart"/>
      <w:r>
        <w:t>enclaved</w:t>
      </w:r>
      <w:proofErr w:type="spellEnd"/>
      <w:r w:rsidR="00A4274D">
        <w:t xml:space="preserve"> and such extinction can be declared by </w:t>
      </w:r>
      <w:r w:rsidR="00A76748">
        <w:t xml:space="preserve">the </w:t>
      </w:r>
      <w:r w:rsidR="00A4274D">
        <w:t>court</w:t>
      </w:r>
      <w:r>
        <w:t>:</w:t>
      </w:r>
    </w:p>
    <w:p w:rsidR="00A4274D" w:rsidRPr="008D7959" w:rsidRDefault="00A4274D" w:rsidP="00A4274D">
      <w:pPr>
        <w:pStyle w:val="JudgmentText"/>
        <w:numPr>
          <w:ilvl w:val="0"/>
          <w:numId w:val="0"/>
        </w:numPr>
        <w:ind w:left="1440"/>
        <w:rPr>
          <w:i/>
          <w:lang w:val="fr-FR"/>
        </w:rPr>
      </w:pPr>
      <w:r w:rsidRPr="008D7959">
        <w:rPr>
          <w:i/>
          <w:lang w:val="fr-FR"/>
        </w:rPr>
        <w:t xml:space="preserve">“La </w:t>
      </w:r>
      <w:proofErr w:type="spellStart"/>
      <w:r w:rsidRPr="008D7959">
        <w:rPr>
          <w:i/>
          <w:lang w:val="fr-FR"/>
        </w:rPr>
        <w:t>creation</w:t>
      </w:r>
      <w:proofErr w:type="spellEnd"/>
      <w:r w:rsidRPr="008D7959">
        <w:rPr>
          <w:i/>
          <w:lang w:val="fr-FR"/>
        </w:rPr>
        <w:t xml:space="preserve"> d’une nouvelle voie publique directement accessible ou l’acquisition par le titulaire de la servitude légale, ou encore, à l’inverse l’</w:t>
      </w:r>
      <w:proofErr w:type="spellStart"/>
      <w:r w:rsidRPr="008D7959">
        <w:rPr>
          <w:i/>
          <w:lang w:val="fr-FR"/>
        </w:rPr>
        <w:t>acqusit</w:t>
      </w:r>
      <w:r w:rsidR="00C33299" w:rsidRPr="008D7959">
        <w:rPr>
          <w:i/>
          <w:lang w:val="fr-FR"/>
        </w:rPr>
        <w:t>i</w:t>
      </w:r>
      <w:r w:rsidRPr="008D7959">
        <w:rPr>
          <w:i/>
          <w:lang w:val="fr-FR"/>
        </w:rPr>
        <w:t>on</w:t>
      </w:r>
      <w:proofErr w:type="spellEnd"/>
      <w:r w:rsidRPr="008D7959">
        <w:rPr>
          <w:i/>
          <w:lang w:val="fr-FR"/>
        </w:rPr>
        <w:t xml:space="preserve">  du fonds enclavé  par le propriétaire </w:t>
      </w:r>
      <w:proofErr w:type="spellStart"/>
      <w:r w:rsidRPr="008D7959">
        <w:rPr>
          <w:i/>
          <w:lang w:val="fr-FR"/>
        </w:rPr>
        <w:t>dufonds</w:t>
      </w:r>
      <w:proofErr w:type="spellEnd"/>
      <w:r w:rsidRPr="008D7959">
        <w:rPr>
          <w:i/>
          <w:lang w:val="fr-FR"/>
        </w:rPr>
        <w:t xml:space="preserve"> servant, sont des événements qui suppr</w:t>
      </w:r>
      <w:r w:rsidR="00C33299" w:rsidRPr="008D7959">
        <w:rPr>
          <w:i/>
          <w:lang w:val="fr-FR"/>
        </w:rPr>
        <w:t>iment</w:t>
      </w:r>
      <w:r w:rsidRPr="008D7959">
        <w:rPr>
          <w:i/>
          <w:lang w:val="fr-FR"/>
        </w:rPr>
        <w:t xml:space="preserve"> l’état d’enclave…</w:t>
      </w:r>
    </w:p>
    <w:p w:rsidR="00A4274D" w:rsidRPr="00A4274D" w:rsidRDefault="00A4274D" w:rsidP="00A4274D">
      <w:pPr>
        <w:pStyle w:val="JudgmentText"/>
        <w:numPr>
          <w:ilvl w:val="0"/>
          <w:numId w:val="0"/>
        </w:numPr>
        <w:ind w:left="1440"/>
        <w:rPr>
          <w:i/>
        </w:rPr>
      </w:pPr>
      <w:r w:rsidRPr="008D7959">
        <w:rPr>
          <w:i/>
          <w:lang w:val="fr-FR"/>
        </w:rPr>
        <w:t xml:space="preserve">…si celui dont le fonds a cessé, par une autre voie, d’être enclavée, n’accepte pas à l’amiable </w:t>
      </w:r>
      <w:r w:rsidR="00E53B67" w:rsidRPr="008D7959">
        <w:rPr>
          <w:i/>
          <w:lang w:val="fr-FR"/>
        </w:rPr>
        <w:t>l’</w:t>
      </w:r>
      <w:proofErr w:type="spellStart"/>
      <w:r w:rsidR="00E53B67" w:rsidRPr="008D7959">
        <w:rPr>
          <w:i/>
          <w:lang w:val="fr-FR"/>
        </w:rPr>
        <w:t>exteintion</w:t>
      </w:r>
      <w:proofErr w:type="spellEnd"/>
      <w:r w:rsidR="00E53B67" w:rsidRPr="008D7959">
        <w:rPr>
          <w:i/>
          <w:lang w:val="fr-FR"/>
        </w:rPr>
        <w:t xml:space="preserve"> de la servitude de passage née </w:t>
      </w:r>
      <w:r w:rsidR="0026104D" w:rsidRPr="008D7959">
        <w:rPr>
          <w:i/>
          <w:lang w:val="fr-FR"/>
        </w:rPr>
        <w:t xml:space="preserve">de l‘état d’enclave qui n’existe plus , celui qui subit la servitude pourra s’adresser au tribunal d’instance </w:t>
      </w:r>
      <w:proofErr w:type="spellStart"/>
      <w:r w:rsidR="0026104D" w:rsidRPr="008D7959">
        <w:rPr>
          <w:i/>
          <w:lang w:val="fr-FR"/>
        </w:rPr>
        <w:t>mêmesile</w:t>
      </w:r>
      <w:proofErr w:type="spellEnd"/>
      <w:r w:rsidR="0026104D" w:rsidRPr="008D7959">
        <w:rPr>
          <w:i/>
          <w:lang w:val="fr-FR"/>
        </w:rPr>
        <w:t xml:space="preserve"> passage acquis par suite d’enclave a fait l’objet de [vingt] ans d’usage.   </w:t>
      </w:r>
      <w:proofErr w:type="gramStart"/>
      <w:r w:rsidR="00C33299">
        <w:rPr>
          <w:i/>
        </w:rPr>
        <w:t>(</w:t>
      </w:r>
      <w:proofErr w:type="spellStart"/>
      <w:r w:rsidR="00C33299">
        <w:rPr>
          <w:i/>
        </w:rPr>
        <w:t>Terré</w:t>
      </w:r>
      <w:proofErr w:type="spellEnd"/>
      <w:r w:rsidR="00C33299">
        <w:rPr>
          <w:i/>
        </w:rPr>
        <w:t xml:space="preserve"> et </w:t>
      </w:r>
      <w:proofErr w:type="spellStart"/>
      <w:r w:rsidR="00C33299">
        <w:rPr>
          <w:i/>
        </w:rPr>
        <w:t>Simler</w:t>
      </w:r>
      <w:proofErr w:type="spellEnd"/>
      <w:r w:rsidR="00C33299">
        <w:rPr>
          <w:i/>
        </w:rPr>
        <w:t xml:space="preserve"> (supra) p. 257-258).</w:t>
      </w:r>
      <w:proofErr w:type="gramEnd"/>
    </w:p>
    <w:p w:rsidR="00A4274D" w:rsidRDefault="00C33299" w:rsidP="00590F79">
      <w:pPr>
        <w:pStyle w:val="JudgmentText"/>
      </w:pPr>
      <w:r>
        <w:t xml:space="preserve">Hence the creation of an alternative right of way which results in the property not being </w:t>
      </w:r>
      <w:proofErr w:type="spellStart"/>
      <w:r>
        <w:t>enclaved</w:t>
      </w:r>
      <w:proofErr w:type="spellEnd"/>
      <w:r>
        <w:t xml:space="preserve"> results </w:t>
      </w:r>
      <w:r w:rsidR="0026104D">
        <w:t>in</w:t>
      </w:r>
      <w:r>
        <w:t xml:space="preserve"> the </w:t>
      </w:r>
      <w:r w:rsidR="0026104D">
        <w:t>original</w:t>
      </w:r>
      <w:r>
        <w:t xml:space="preserve"> right of way being extinguished</w:t>
      </w:r>
      <w:r w:rsidR="0026104D">
        <w:t xml:space="preserve"> even if the limitation period has expired.</w:t>
      </w:r>
      <w:r w:rsidR="00E61DF6">
        <w:t xml:space="preserve">  </w:t>
      </w:r>
      <w:r w:rsidR="0026104D">
        <w:t xml:space="preserve">There is Seychellois authority to that effect as well. </w:t>
      </w:r>
      <w:r w:rsidR="0026104D" w:rsidRPr="00590F79">
        <w:rPr>
          <w:i/>
        </w:rPr>
        <w:t xml:space="preserve">Tall v </w:t>
      </w:r>
      <w:proofErr w:type="spellStart"/>
      <w:r w:rsidR="0026104D" w:rsidRPr="00590F79">
        <w:rPr>
          <w:i/>
        </w:rPr>
        <w:t>Lefevre</w:t>
      </w:r>
      <w:proofErr w:type="spellEnd"/>
      <w:r w:rsidR="0026104D" w:rsidRPr="006F00D5">
        <w:t xml:space="preserve"> (1980) SLR 199</w:t>
      </w:r>
      <w:r w:rsidR="0026104D">
        <w:t xml:space="preserve"> decided that where</w:t>
      </w:r>
      <w:r w:rsidR="0026104D" w:rsidRPr="006F00D5">
        <w:t xml:space="preserve"> land is not </w:t>
      </w:r>
      <w:proofErr w:type="spellStart"/>
      <w:r w:rsidR="0026104D" w:rsidRPr="006F00D5">
        <w:t>enclaved</w:t>
      </w:r>
      <w:proofErr w:type="spellEnd"/>
      <w:r w:rsidR="0026104D">
        <w:t xml:space="preserve"> and there is no necessity to a right of way as claimed</w:t>
      </w:r>
      <w:r w:rsidR="00A76748">
        <w:t>,</w:t>
      </w:r>
      <w:r w:rsidR="00E61DF6">
        <w:t xml:space="preserve"> </w:t>
      </w:r>
      <w:r w:rsidR="0026104D" w:rsidRPr="006F00D5">
        <w:t xml:space="preserve">the owner is not entitled to </w:t>
      </w:r>
      <w:r w:rsidR="0026104D">
        <w:t>it. Further</w:t>
      </w:r>
      <w:r w:rsidR="00A76748">
        <w:t>,</w:t>
      </w:r>
      <w:r w:rsidR="0026104D">
        <w:t xml:space="preserve"> as the French authorities point out</w:t>
      </w:r>
      <w:r w:rsidR="00A76748">
        <w:t>,</w:t>
      </w:r>
      <w:r w:rsidR="0026104D">
        <w:t xml:space="preserve"> where the</w:t>
      </w:r>
      <w:r>
        <w:t xml:space="preserve"> owner of the </w:t>
      </w:r>
      <w:proofErr w:type="spellStart"/>
      <w:r>
        <w:t>servient</w:t>
      </w:r>
      <w:proofErr w:type="spellEnd"/>
      <w:r>
        <w:t xml:space="preserve"> t</w:t>
      </w:r>
      <w:r w:rsidR="0026104D">
        <w:t>e</w:t>
      </w:r>
      <w:r>
        <w:t>nem</w:t>
      </w:r>
      <w:r w:rsidR="0026104D">
        <w:t>ent does not acquiesce to the extinction of the right of way</w:t>
      </w:r>
      <w:r w:rsidR="00A76748">
        <w:t>,</w:t>
      </w:r>
      <w:r w:rsidR="0026104D">
        <w:t xml:space="preserve"> a court can make such a declaration.</w:t>
      </w:r>
    </w:p>
    <w:p w:rsidR="00590F79" w:rsidRDefault="0026104D" w:rsidP="00590F79">
      <w:pPr>
        <w:pStyle w:val="JudgmentText"/>
      </w:pPr>
      <w:r>
        <w:t>I am of the view that given the evidence in this case and the ci</w:t>
      </w:r>
      <w:r w:rsidR="00BA4401">
        <w:t>rcum</w:t>
      </w:r>
      <w:r>
        <w:t>stances surrou</w:t>
      </w:r>
      <w:r w:rsidR="00BA4401">
        <w:t xml:space="preserve">nding </w:t>
      </w:r>
      <w:r>
        <w:t xml:space="preserve">the grant of an </w:t>
      </w:r>
      <w:r w:rsidR="00BA4401">
        <w:t>a</w:t>
      </w:r>
      <w:r>
        <w:t>lte</w:t>
      </w:r>
      <w:r w:rsidR="00BA4401">
        <w:t>r</w:t>
      </w:r>
      <w:r>
        <w:t>native r</w:t>
      </w:r>
      <w:r w:rsidR="00BA4401">
        <w:t>i</w:t>
      </w:r>
      <w:r>
        <w:t>ght of way</w:t>
      </w:r>
      <w:r w:rsidR="00BA4401">
        <w:t xml:space="preserve"> by the second Defendant</w:t>
      </w:r>
      <w:r>
        <w:t xml:space="preserve">, the danger posed to the </w:t>
      </w:r>
      <w:r w:rsidR="00BA4401">
        <w:t>Plaintiffs</w:t>
      </w:r>
      <w:r>
        <w:t xml:space="preserve"> and their </w:t>
      </w:r>
      <w:r w:rsidR="00BA4401">
        <w:t>properties,</w:t>
      </w:r>
      <w:r>
        <w:t xml:space="preserve"> that the </w:t>
      </w:r>
      <w:r w:rsidR="00BA4401">
        <w:t xml:space="preserve">existing </w:t>
      </w:r>
      <w:r>
        <w:t xml:space="preserve">right of way on Parcel S71 </w:t>
      </w:r>
      <w:r w:rsidR="00BA4401">
        <w:t>should</w:t>
      </w:r>
      <w:r>
        <w:t xml:space="preserve"> be extingu</w:t>
      </w:r>
      <w:r w:rsidR="00BA4401">
        <w:t>ished</w:t>
      </w:r>
      <w:r>
        <w:t xml:space="preserve"> and I so order. </w:t>
      </w:r>
    </w:p>
    <w:p w:rsidR="009E7EAB" w:rsidRDefault="00BA4401" w:rsidP="00D8679A">
      <w:pPr>
        <w:pStyle w:val="JudgmentText"/>
      </w:pPr>
      <w:r>
        <w:lastRenderedPageBreak/>
        <w:t xml:space="preserve">The Plaintiffs and the Second Defendant are ordered to make the public </w:t>
      </w:r>
      <w:proofErr w:type="spellStart"/>
      <w:r>
        <w:t>motorable</w:t>
      </w:r>
      <w:proofErr w:type="spellEnd"/>
      <w:r>
        <w:t xml:space="preserve"> access granted usable within three months of this order and to substitute the same for the existing right of way. A permanent bollard is then to be placed at the entrance of Parcel S71 making it impassable to motor vehicles. The Plaintiffs and the First Defendant remain in ownership of Parcel S71 and their property rights </w:t>
      </w:r>
      <w:r w:rsidR="00A76748">
        <w:t xml:space="preserve">therein </w:t>
      </w:r>
      <w:r>
        <w:t xml:space="preserve">are not otherwise affected. </w:t>
      </w:r>
    </w:p>
    <w:p w:rsidR="00BA4401" w:rsidRDefault="00BA4401" w:rsidP="00BA4401">
      <w:pPr>
        <w:pStyle w:val="JudgmentText"/>
        <w:numPr>
          <w:ilvl w:val="0"/>
          <w:numId w:val="0"/>
        </w:numPr>
        <w:ind w:left="720" w:hanging="720"/>
      </w:pPr>
    </w:p>
    <w:p w:rsidR="000C410A" w:rsidRDefault="00BA4401" w:rsidP="004E4D91">
      <w:pPr>
        <w:pStyle w:val="JudgmentText"/>
      </w:pPr>
      <w:r>
        <w:t xml:space="preserve">For the avoidance of doubt the costs of making the alternative access </w:t>
      </w:r>
      <w:proofErr w:type="spellStart"/>
      <w:r>
        <w:t>motorable</w:t>
      </w:r>
      <w:proofErr w:type="spellEnd"/>
      <w:r>
        <w:t xml:space="preserve"> is to be borne by the Plaintiffs. The first Defendant is at his own costs to demolish that part of his wall which would hinder access by him and his tenants to his property. </w:t>
      </w:r>
    </w:p>
    <w:p w:rsidR="00865788" w:rsidRDefault="00865788" w:rsidP="001E4ED8">
      <w:pPr>
        <w:pStyle w:val="ListParagraph"/>
        <w:widowControl/>
        <w:autoSpaceDE/>
        <w:autoSpaceDN/>
        <w:adjustRightInd/>
        <w:spacing w:after="240" w:line="360" w:lineRule="auto"/>
        <w:ind w:left="0"/>
        <w:contextualSpacing w:val="0"/>
        <w:jc w:val="both"/>
        <w:rPr>
          <w:sz w:val="24"/>
          <w:szCs w:val="24"/>
        </w:rPr>
        <w:sectPr w:rsidR="00865788" w:rsidSect="00EF2051">
          <w:type w:val="continuous"/>
          <w:pgSz w:w="12240" w:h="15840"/>
          <w:pgMar w:top="1440" w:right="1440" w:bottom="1440" w:left="1440" w:header="720" w:footer="720" w:gutter="0"/>
          <w:cols w:space="720"/>
          <w:formProt w:val="0"/>
          <w:docGrid w:linePitch="360"/>
        </w:sectPr>
      </w:pPr>
    </w:p>
    <w:p w:rsidR="00E61DF6" w:rsidRDefault="00E61DF6" w:rsidP="001E4ED8">
      <w:pPr>
        <w:pStyle w:val="ListParagraph"/>
        <w:widowControl/>
        <w:autoSpaceDE/>
        <w:autoSpaceDN/>
        <w:adjustRightInd/>
        <w:spacing w:after="240" w:line="360" w:lineRule="auto"/>
        <w:ind w:left="0"/>
        <w:contextualSpacing w:val="0"/>
        <w:jc w:val="both"/>
        <w:rPr>
          <w:sz w:val="24"/>
          <w:szCs w:val="24"/>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r w:rsidR="00B76EC8">
        <w:rPr>
          <w:sz w:val="24"/>
          <w:szCs w:val="24"/>
        </w:rPr>
        <w:t>31March 2017.</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5C5493" w:rsidRDefault="005C5493" w:rsidP="0006489F">
      <w:pPr>
        <w:pStyle w:val="ListParagraph"/>
        <w:widowControl/>
        <w:autoSpaceDE/>
        <w:autoSpaceDN/>
        <w:adjustRightInd/>
        <w:spacing w:after="120"/>
        <w:ind w:left="0"/>
        <w:contextualSpacing w:val="0"/>
        <w:jc w:val="both"/>
        <w:rPr>
          <w:sz w:val="24"/>
          <w:szCs w:val="24"/>
        </w:rPr>
      </w:pPr>
    </w:p>
    <w:p w:rsidR="00BA4401" w:rsidRDefault="00BA4401" w:rsidP="0006489F">
      <w:pPr>
        <w:pStyle w:val="ListParagraph"/>
        <w:widowControl/>
        <w:autoSpaceDE/>
        <w:autoSpaceDN/>
        <w:adjustRightInd/>
        <w:spacing w:after="120"/>
        <w:ind w:left="0"/>
        <w:contextualSpacing w:val="0"/>
        <w:jc w:val="both"/>
        <w:rPr>
          <w:sz w:val="24"/>
          <w:szCs w:val="24"/>
        </w:rPr>
        <w:sectPr w:rsidR="00BA44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4" w:name="Dropdown7"/>
    <w:p w:rsidR="009E05E5" w:rsidRPr="00E33F35" w:rsidRDefault="00B916AC"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4"/>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8EF" w:rsidRDefault="00E468EF" w:rsidP="00DB6D34">
      <w:r>
        <w:separator/>
      </w:r>
    </w:p>
  </w:endnote>
  <w:endnote w:type="continuationSeparator" w:id="1">
    <w:p w:rsidR="00E468EF" w:rsidRDefault="00E468E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B916AC">
    <w:pPr>
      <w:pStyle w:val="Footer"/>
      <w:jc w:val="center"/>
    </w:pPr>
    <w:r>
      <w:fldChar w:fldCharType="begin"/>
    </w:r>
    <w:r w:rsidR="00792EEC">
      <w:instrText xml:space="preserve"> PAGE   \* MERGEFORMAT </w:instrText>
    </w:r>
    <w:r>
      <w:fldChar w:fldCharType="separate"/>
    </w:r>
    <w:r w:rsidR="0027400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8EF" w:rsidRDefault="00E468EF" w:rsidP="00DB6D34">
      <w:r>
        <w:separator/>
      </w:r>
    </w:p>
  </w:footnote>
  <w:footnote w:type="continuationSeparator" w:id="1">
    <w:p w:rsidR="00E468EF" w:rsidRDefault="00E468E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B1B4289"/>
    <w:multiLevelType w:val="hybridMultilevel"/>
    <w:tmpl w:val="FC144D32"/>
    <w:lvl w:ilvl="0" w:tplc="E3E8E5F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C0C6752"/>
    <w:multiLevelType w:val="hybridMultilevel"/>
    <w:tmpl w:val="E536E2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D6419"/>
    <w:multiLevelType w:val="hybridMultilevel"/>
    <w:tmpl w:val="70CCB5A4"/>
    <w:lvl w:ilvl="0" w:tplc="0528475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5E74820"/>
    <w:multiLevelType w:val="multilevel"/>
    <w:tmpl w:val="1CC89892"/>
    <w:numStyleLink w:val="Judgments"/>
  </w:abstractNum>
  <w:abstractNum w:abstractNumId="8">
    <w:nsid w:val="5CA90BBC"/>
    <w:multiLevelType w:val="hybridMultilevel"/>
    <w:tmpl w:val="77B6F44C"/>
    <w:lvl w:ilvl="0" w:tplc="97FAFE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3"/>
  </w:num>
  <w:num w:numId="5">
    <w:abstractNumId w:val="7"/>
  </w:num>
  <w:num w:numId="6">
    <w:abstractNumId w:val="2"/>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1"/>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5BEF"/>
    <w:rsid w:val="00030C81"/>
    <w:rsid w:val="00047DAA"/>
    <w:rsid w:val="000514E3"/>
    <w:rsid w:val="0006489F"/>
    <w:rsid w:val="00067B0A"/>
    <w:rsid w:val="00075573"/>
    <w:rsid w:val="00091036"/>
    <w:rsid w:val="00094849"/>
    <w:rsid w:val="000A10B8"/>
    <w:rsid w:val="000C410A"/>
    <w:rsid w:val="000D19C0"/>
    <w:rsid w:val="000D1DD3"/>
    <w:rsid w:val="000E39A5"/>
    <w:rsid w:val="000E7400"/>
    <w:rsid w:val="001008BC"/>
    <w:rsid w:val="00101D12"/>
    <w:rsid w:val="00104284"/>
    <w:rsid w:val="00117CBF"/>
    <w:rsid w:val="00126A10"/>
    <w:rsid w:val="001376AB"/>
    <w:rsid w:val="001439BF"/>
    <w:rsid w:val="00144612"/>
    <w:rsid w:val="001529B0"/>
    <w:rsid w:val="001643DF"/>
    <w:rsid w:val="0016510C"/>
    <w:rsid w:val="001760B0"/>
    <w:rsid w:val="00180158"/>
    <w:rsid w:val="001910AC"/>
    <w:rsid w:val="001943C0"/>
    <w:rsid w:val="001D30F7"/>
    <w:rsid w:val="001E0BA2"/>
    <w:rsid w:val="001E4ED8"/>
    <w:rsid w:val="0020244B"/>
    <w:rsid w:val="00231C17"/>
    <w:rsid w:val="00236AAC"/>
    <w:rsid w:val="00242DF4"/>
    <w:rsid w:val="0024353F"/>
    <w:rsid w:val="002474D4"/>
    <w:rsid w:val="0026104D"/>
    <w:rsid w:val="00265DE9"/>
    <w:rsid w:val="0027400A"/>
    <w:rsid w:val="00290E14"/>
    <w:rsid w:val="002A7376"/>
    <w:rsid w:val="002B2255"/>
    <w:rsid w:val="002B4478"/>
    <w:rsid w:val="002C7560"/>
    <w:rsid w:val="002D06AA"/>
    <w:rsid w:val="002D67FC"/>
    <w:rsid w:val="002E6963"/>
    <w:rsid w:val="002F40A1"/>
    <w:rsid w:val="002F4A1B"/>
    <w:rsid w:val="00301D88"/>
    <w:rsid w:val="00302CBE"/>
    <w:rsid w:val="00304E76"/>
    <w:rsid w:val="0031329C"/>
    <w:rsid w:val="003647E7"/>
    <w:rsid w:val="003651F4"/>
    <w:rsid w:val="0037270D"/>
    <w:rsid w:val="00372E63"/>
    <w:rsid w:val="00377341"/>
    <w:rsid w:val="003820A5"/>
    <w:rsid w:val="003838CC"/>
    <w:rsid w:val="003862CB"/>
    <w:rsid w:val="0038700C"/>
    <w:rsid w:val="003B461C"/>
    <w:rsid w:val="003B4C19"/>
    <w:rsid w:val="003D58AA"/>
    <w:rsid w:val="003D7B97"/>
    <w:rsid w:val="003E2ABC"/>
    <w:rsid w:val="003F0F8D"/>
    <w:rsid w:val="003F715C"/>
    <w:rsid w:val="004156B9"/>
    <w:rsid w:val="00445BFA"/>
    <w:rsid w:val="00452BB6"/>
    <w:rsid w:val="00453A09"/>
    <w:rsid w:val="0046133B"/>
    <w:rsid w:val="00493B4F"/>
    <w:rsid w:val="004A00A5"/>
    <w:rsid w:val="004C119C"/>
    <w:rsid w:val="004C3D80"/>
    <w:rsid w:val="004E4D91"/>
    <w:rsid w:val="004F3823"/>
    <w:rsid w:val="005207C8"/>
    <w:rsid w:val="00524E8F"/>
    <w:rsid w:val="00530663"/>
    <w:rsid w:val="0055036F"/>
    <w:rsid w:val="005514D6"/>
    <w:rsid w:val="00552704"/>
    <w:rsid w:val="00554577"/>
    <w:rsid w:val="00572AB3"/>
    <w:rsid w:val="00577F04"/>
    <w:rsid w:val="00580531"/>
    <w:rsid w:val="005836AC"/>
    <w:rsid w:val="00584583"/>
    <w:rsid w:val="00584E91"/>
    <w:rsid w:val="00590F79"/>
    <w:rsid w:val="00594FAC"/>
    <w:rsid w:val="005A3CA9"/>
    <w:rsid w:val="005A78CC"/>
    <w:rsid w:val="005C5493"/>
    <w:rsid w:val="005C684B"/>
    <w:rsid w:val="005F5FB0"/>
    <w:rsid w:val="00606587"/>
    <w:rsid w:val="00606EEA"/>
    <w:rsid w:val="006174DB"/>
    <w:rsid w:val="0064023C"/>
    <w:rsid w:val="00641290"/>
    <w:rsid w:val="00654CAA"/>
    <w:rsid w:val="006578C2"/>
    <w:rsid w:val="00666D33"/>
    <w:rsid w:val="00674FFA"/>
    <w:rsid w:val="0068598F"/>
    <w:rsid w:val="00695110"/>
    <w:rsid w:val="006A58E4"/>
    <w:rsid w:val="006D0171"/>
    <w:rsid w:val="006D36C9"/>
    <w:rsid w:val="006F00D5"/>
    <w:rsid w:val="0070785D"/>
    <w:rsid w:val="007175A6"/>
    <w:rsid w:val="00744508"/>
    <w:rsid w:val="007728D0"/>
    <w:rsid w:val="00782F39"/>
    <w:rsid w:val="00785812"/>
    <w:rsid w:val="00792EEC"/>
    <w:rsid w:val="007A47DC"/>
    <w:rsid w:val="007B6178"/>
    <w:rsid w:val="007C2809"/>
    <w:rsid w:val="007C5C50"/>
    <w:rsid w:val="007D416E"/>
    <w:rsid w:val="007E592C"/>
    <w:rsid w:val="007E78E3"/>
    <w:rsid w:val="00807411"/>
    <w:rsid w:val="00814CF5"/>
    <w:rsid w:val="00816425"/>
    <w:rsid w:val="00821758"/>
    <w:rsid w:val="00823079"/>
    <w:rsid w:val="0083298A"/>
    <w:rsid w:val="008354C3"/>
    <w:rsid w:val="00841387"/>
    <w:rsid w:val="0084196B"/>
    <w:rsid w:val="008472B3"/>
    <w:rsid w:val="008478D6"/>
    <w:rsid w:val="00857A7F"/>
    <w:rsid w:val="00865788"/>
    <w:rsid w:val="00865D0B"/>
    <w:rsid w:val="00881540"/>
    <w:rsid w:val="008A5208"/>
    <w:rsid w:val="008B75CE"/>
    <w:rsid w:val="008B7D40"/>
    <w:rsid w:val="008C0FD6"/>
    <w:rsid w:val="008D7959"/>
    <w:rsid w:val="008E1DB1"/>
    <w:rsid w:val="008E512C"/>
    <w:rsid w:val="008E7749"/>
    <w:rsid w:val="008E7F92"/>
    <w:rsid w:val="008F0C10"/>
    <w:rsid w:val="008F38F7"/>
    <w:rsid w:val="00902D3C"/>
    <w:rsid w:val="00903400"/>
    <w:rsid w:val="009167AD"/>
    <w:rsid w:val="009226D4"/>
    <w:rsid w:val="00926D09"/>
    <w:rsid w:val="00927982"/>
    <w:rsid w:val="009336BA"/>
    <w:rsid w:val="00937FB4"/>
    <w:rsid w:val="0094087C"/>
    <w:rsid w:val="00944D53"/>
    <w:rsid w:val="00951EC0"/>
    <w:rsid w:val="0096041D"/>
    <w:rsid w:val="00981287"/>
    <w:rsid w:val="00983045"/>
    <w:rsid w:val="009B0A90"/>
    <w:rsid w:val="009E05E5"/>
    <w:rsid w:val="009E3F4C"/>
    <w:rsid w:val="009E7EAB"/>
    <w:rsid w:val="009F1B68"/>
    <w:rsid w:val="009F4DC4"/>
    <w:rsid w:val="00A11166"/>
    <w:rsid w:val="00A14038"/>
    <w:rsid w:val="00A362D2"/>
    <w:rsid w:val="00A4274D"/>
    <w:rsid w:val="00A42850"/>
    <w:rsid w:val="00A53837"/>
    <w:rsid w:val="00A544D0"/>
    <w:rsid w:val="00A76748"/>
    <w:rsid w:val="00A80E4E"/>
    <w:rsid w:val="00AA6409"/>
    <w:rsid w:val="00AC3885"/>
    <w:rsid w:val="00AD0BF3"/>
    <w:rsid w:val="00AD75CD"/>
    <w:rsid w:val="00AD7CA3"/>
    <w:rsid w:val="00AF6D70"/>
    <w:rsid w:val="00B05D6E"/>
    <w:rsid w:val="00B119B1"/>
    <w:rsid w:val="00B14612"/>
    <w:rsid w:val="00B238B0"/>
    <w:rsid w:val="00B23E73"/>
    <w:rsid w:val="00B40898"/>
    <w:rsid w:val="00B4124C"/>
    <w:rsid w:val="00B4625E"/>
    <w:rsid w:val="00B75AE2"/>
    <w:rsid w:val="00B76EC8"/>
    <w:rsid w:val="00B9148E"/>
    <w:rsid w:val="00B916AC"/>
    <w:rsid w:val="00B94805"/>
    <w:rsid w:val="00BA4401"/>
    <w:rsid w:val="00BA6027"/>
    <w:rsid w:val="00BC03EE"/>
    <w:rsid w:val="00BC1D95"/>
    <w:rsid w:val="00BD4287"/>
    <w:rsid w:val="00BD60D5"/>
    <w:rsid w:val="00BE1D00"/>
    <w:rsid w:val="00BE3628"/>
    <w:rsid w:val="00BE424C"/>
    <w:rsid w:val="00BF5CC9"/>
    <w:rsid w:val="00C036A5"/>
    <w:rsid w:val="00C0634C"/>
    <w:rsid w:val="00C065A3"/>
    <w:rsid w:val="00C14327"/>
    <w:rsid w:val="00C212FB"/>
    <w:rsid w:val="00C22967"/>
    <w:rsid w:val="00C33299"/>
    <w:rsid w:val="00C35333"/>
    <w:rsid w:val="00C41821"/>
    <w:rsid w:val="00C55FDF"/>
    <w:rsid w:val="00C5739F"/>
    <w:rsid w:val="00C82FC2"/>
    <w:rsid w:val="00C87FCA"/>
    <w:rsid w:val="00C91D48"/>
    <w:rsid w:val="00CA1B0C"/>
    <w:rsid w:val="00CA7795"/>
    <w:rsid w:val="00CA7F40"/>
    <w:rsid w:val="00CB3C7E"/>
    <w:rsid w:val="00CC2A46"/>
    <w:rsid w:val="00CF041D"/>
    <w:rsid w:val="00D03314"/>
    <w:rsid w:val="00D06A0F"/>
    <w:rsid w:val="00D5055A"/>
    <w:rsid w:val="00D51171"/>
    <w:rsid w:val="00D82047"/>
    <w:rsid w:val="00D8679A"/>
    <w:rsid w:val="00DA351C"/>
    <w:rsid w:val="00DB6D34"/>
    <w:rsid w:val="00DD4E02"/>
    <w:rsid w:val="00DD637F"/>
    <w:rsid w:val="00DE08C1"/>
    <w:rsid w:val="00DE2BE8"/>
    <w:rsid w:val="00DF2970"/>
    <w:rsid w:val="00DF303A"/>
    <w:rsid w:val="00E00FFC"/>
    <w:rsid w:val="00E0467F"/>
    <w:rsid w:val="00E0505F"/>
    <w:rsid w:val="00E07F07"/>
    <w:rsid w:val="00E30B60"/>
    <w:rsid w:val="00E33F35"/>
    <w:rsid w:val="00E35862"/>
    <w:rsid w:val="00E41E94"/>
    <w:rsid w:val="00E468EF"/>
    <w:rsid w:val="00E53B67"/>
    <w:rsid w:val="00E55C69"/>
    <w:rsid w:val="00E57D4D"/>
    <w:rsid w:val="00E61DF6"/>
    <w:rsid w:val="00E6492F"/>
    <w:rsid w:val="00E65691"/>
    <w:rsid w:val="00E91FA1"/>
    <w:rsid w:val="00E944E2"/>
    <w:rsid w:val="00EA6F17"/>
    <w:rsid w:val="00EC12D0"/>
    <w:rsid w:val="00EC2355"/>
    <w:rsid w:val="00EC6290"/>
    <w:rsid w:val="00ED044B"/>
    <w:rsid w:val="00ED76D9"/>
    <w:rsid w:val="00EE0DAA"/>
    <w:rsid w:val="00EE2516"/>
    <w:rsid w:val="00EF2051"/>
    <w:rsid w:val="00F00A19"/>
    <w:rsid w:val="00F3243F"/>
    <w:rsid w:val="00F34FB5"/>
    <w:rsid w:val="00F36055"/>
    <w:rsid w:val="00F3644F"/>
    <w:rsid w:val="00F804CC"/>
    <w:rsid w:val="00F81DF9"/>
    <w:rsid w:val="00F82A83"/>
    <w:rsid w:val="00F83B3D"/>
    <w:rsid w:val="00F910F6"/>
    <w:rsid w:val="00FA28F7"/>
    <w:rsid w:val="00FB0298"/>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8B86-43FD-46A2-AF4F-4E845EA4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r.barbe</cp:lastModifiedBy>
  <cp:revision>2</cp:revision>
  <cp:lastPrinted>2013-08-26T11:27:00Z</cp:lastPrinted>
  <dcterms:created xsi:type="dcterms:W3CDTF">2017-04-03T11:37:00Z</dcterms:created>
  <dcterms:modified xsi:type="dcterms:W3CDTF">2017-04-03T11:37:00Z</dcterms:modified>
</cp:coreProperties>
</file>