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0A63FB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0" w:name="Dropdown15"/>
      <w:r w:rsidR="00F912FC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F912FC">
        <w:rPr>
          <w:b/>
          <w:sz w:val="28"/>
          <w:szCs w:val="28"/>
        </w:rPr>
      </w:r>
      <w:r w:rsidR="00F912FC">
        <w:rPr>
          <w:b/>
          <w:sz w:val="28"/>
          <w:szCs w:val="28"/>
        </w:rPr>
        <w:fldChar w:fldCharType="end"/>
      </w:r>
      <w:bookmarkEnd w:id="0"/>
      <w:r w:rsidR="000A63FB">
        <w:rPr>
          <w:b/>
          <w:sz w:val="28"/>
          <w:szCs w:val="28"/>
        </w:rPr>
        <w:t>51</w:t>
      </w:r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0A63FB">
        <w:rPr>
          <w:b/>
          <w:sz w:val="28"/>
          <w:szCs w:val="28"/>
        </w:rPr>
        <w:t>13</w:t>
      </w:r>
    </w:p>
    <w:p w:rsidR="00A53837" w:rsidRPr="00606EEA" w:rsidRDefault="00F912FC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DB6D34" w:rsidP="00A64EF1">
      <w:pPr>
        <w:spacing w:before="240" w:after="160"/>
        <w:ind w:left="6480"/>
        <w:rPr>
          <w:b/>
          <w:sz w:val="24"/>
          <w:szCs w:val="24"/>
        </w:rPr>
      </w:pPr>
      <w:r w:rsidRPr="00606EEA">
        <w:rPr>
          <w:b/>
          <w:sz w:val="24"/>
          <w:szCs w:val="24"/>
        </w:rPr>
        <w:t>[201</w:t>
      </w:r>
      <w:r w:rsidR="000A63FB">
        <w:rPr>
          <w:b/>
          <w:sz w:val="24"/>
          <w:szCs w:val="24"/>
        </w:rPr>
        <w:t>7</w:t>
      </w:r>
      <w:r w:rsidR="00F912FC">
        <w:rPr>
          <w:b/>
          <w:sz w:val="24"/>
          <w:szCs w:val="24"/>
        </w:rPr>
        <w:fldChar w:fldCharType="begin"/>
      </w:r>
      <w:r w:rsidR="00F912FC">
        <w:rPr>
          <w:b/>
          <w:sz w:val="24"/>
          <w:szCs w:val="24"/>
        </w:rPr>
        <w:fldChar w:fldCharType="end"/>
      </w:r>
      <w:r w:rsidRPr="00606EEA">
        <w:rPr>
          <w:b/>
          <w:sz w:val="24"/>
          <w:szCs w:val="24"/>
        </w:rPr>
        <w:t>] SCSC</w:t>
      </w:r>
      <w:r w:rsidR="002F125A">
        <w:rPr>
          <w:b/>
          <w:sz w:val="24"/>
          <w:szCs w:val="24"/>
        </w:rPr>
        <w:t xml:space="preserve"> 33</w:t>
      </w:r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1" w:name="Text40"/>
      <w:bookmarkStart w:id="2" w:name="Text22"/>
      <w:r w:rsidRPr="0096251D">
        <w:rPr>
          <w:b/>
          <w:sz w:val="24"/>
          <w:szCs w:val="24"/>
        </w:rPr>
        <w:t>THE REPUBLIC</w:t>
      </w:r>
      <w:bookmarkEnd w:id="1"/>
      <w:bookmarkEnd w:id="2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Default="007779A2" w:rsidP="00B40898">
      <w:pPr>
        <w:spacing w:before="120"/>
        <w:jc w:val="center"/>
        <w:rPr>
          <w:sz w:val="24"/>
          <w:szCs w:val="24"/>
        </w:r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B119B1" w:rsidP="00951EC0">
      <w:pPr>
        <w:jc w:val="center"/>
        <w:rPr>
          <w:sz w:val="24"/>
          <w:szCs w:val="24"/>
        </w:rPr>
      </w:pPr>
    </w:p>
    <w:p w:rsidR="007779A2" w:rsidRPr="000827FA" w:rsidRDefault="000A63FB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HANSEL LESPERANCE &amp; ORS</w:t>
      </w:r>
    </w:p>
    <w:bookmarkStart w:id="3" w:name="Dropdown16"/>
    <w:p w:rsidR="007779A2" w:rsidRDefault="00F912FC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="000A63FB">
        <w:rPr>
          <w:sz w:val="24"/>
          <w:szCs w:val="24"/>
        </w:rPr>
        <w:t>23 January 2017</w:t>
      </w:r>
      <w:r w:rsidR="00F912FC">
        <w:rPr>
          <w:sz w:val="24"/>
          <w:szCs w:val="24"/>
        </w:rPr>
        <w:fldChar w:fldCharType="begin"/>
      </w:r>
      <w:r w:rsidR="00F912FC">
        <w:rPr>
          <w:sz w:val="24"/>
          <w:szCs w:val="24"/>
        </w:rPr>
        <w:fldChar w:fldCharType="end"/>
      </w:r>
    </w:p>
    <w:p w:rsidR="000A63FB" w:rsidRDefault="00E0467F" w:rsidP="000A63FB">
      <w:pPr>
        <w:rPr>
          <w:sz w:val="24"/>
          <w:szCs w:val="24"/>
        </w:r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63FB">
        <w:rPr>
          <w:sz w:val="24"/>
          <w:szCs w:val="24"/>
        </w:rPr>
        <w:t>Mr. D. Esparon</w:t>
      </w:r>
      <w:r w:rsidR="00F912FC">
        <w:rPr>
          <w:sz w:val="24"/>
          <w:szCs w:val="24"/>
        </w:rPr>
        <w:fldChar w:fldCharType="begin"/>
      </w:r>
      <w:r w:rsidR="000A63FB">
        <w:rPr>
          <w:sz w:val="24"/>
          <w:szCs w:val="24"/>
        </w:rPr>
        <w:instrText xml:space="preserve"> ASK  "Enter Respondent Lawyer Full Name"  \* MERGEFORMAT </w:instrText>
      </w:r>
      <w:r w:rsidR="00F912FC">
        <w:rPr>
          <w:sz w:val="24"/>
          <w:szCs w:val="24"/>
        </w:rPr>
        <w:fldChar w:fldCharType="end"/>
      </w:r>
      <w:r w:rsidR="00F912FC">
        <w:rPr>
          <w:sz w:val="24"/>
          <w:szCs w:val="24"/>
        </w:rPr>
        <w:fldChar w:fldCharType="begin"/>
      </w:r>
      <w:r w:rsidR="00F912FC">
        <w:rPr>
          <w:sz w:val="24"/>
          <w:szCs w:val="24"/>
        </w:rPr>
        <w:fldChar w:fldCharType="end"/>
      </w:r>
      <w:r w:rsidR="000A63FB">
        <w:rPr>
          <w:sz w:val="24"/>
          <w:szCs w:val="24"/>
        </w:rPr>
        <w:t xml:space="preserve"> for the Republic</w:t>
      </w:r>
    </w:p>
    <w:p w:rsidR="000A63FB" w:rsidRDefault="000A63FB" w:rsidP="000A63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Mr. E. Chetty for the 1</w:t>
      </w:r>
      <w:r w:rsidRPr="0025665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Accused</w:t>
      </w:r>
    </w:p>
    <w:p w:rsidR="000A63FB" w:rsidRDefault="000A63FB" w:rsidP="000A63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Mr. N. Gabriel for the 2</w:t>
      </w:r>
      <w:r w:rsidRPr="0025665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Accused</w:t>
      </w:r>
    </w:p>
    <w:p w:rsidR="000A63FB" w:rsidRDefault="000A63FB" w:rsidP="000A63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Mr. J. Camille for the 3</w:t>
      </w:r>
      <w:r w:rsidRPr="0025665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Accused</w:t>
      </w:r>
    </w:p>
    <w:p w:rsidR="000A63FB" w:rsidRDefault="000A63FB" w:rsidP="000A63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Mrs. A. Amesbury for the 4</w:t>
      </w:r>
      <w:r w:rsidRPr="0025665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Accused</w:t>
      </w:r>
    </w:p>
    <w:p w:rsidR="000A63FB" w:rsidRDefault="000A63FB" w:rsidP="000A63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Ms. K. Domingue for the 5</w:t>
      </w:r>
      <w:r w:rsidRPr="0025665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Accused</w:t>
      </w:r>
      <w:r w:rsidR="00F912FC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ASK  "Enter Appellant Lawyer full name"  \* MERGEFORMAT </w:instrText>
      </w:r>
      <w:r w:rsidR="00F912FC">
        <w:rPr>
          <w:sz w:val="24"/>
          <w:szCs w:val="24"/>
        </w:rPr>
        <w:fldChar w:fldCharType="end"/>
      </w:r>
      <w:r w:rsidR="00F912FC">
        <w:rPr>
          <w:sz w:val="24"/>
          <w:szCs w:val="24"/>
        </w:rPr>
        <w:fldChar w:fldCharType="begin"/>
      </w:r>
      <w:r w:rsidR="00F912FC">
        <w:rPr>
          <w:sz w:val="24"/>
          <w:szCs w:val="24"/>
        </w:rPr>
        <w:fldChar w:fldCharType="end"/>
      </w:r>
    </w:p>
    <w:p w:rsidR="007779A2" w:rsidRDefault="007779A2" w:rsidP="000A63FB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r w:rsidR="000A63FB">
        <w:rPr>
          <w:sz w:val="24"/>
          <w:szCs w:val="24"/>
        </w:rPr>
        <w:t>23 January 2017</w:t>
      </w:r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4" w:name="Dropdown2"/>
    </w:p>
    <w:bookmarkStart w:id="5" w:name="Dropdown8"/>
    <w:bookmarkEnd w:id="4"/>
    <w:p w:rsidR="00C87FCA" w:rsidRDefault="00F912F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RULING"/>
              <w:listEntry w:val="JUDGMENT"/>
              <w:listEntry w:val="SENTENCE"/>
              <w:listEntry w:val="JUDGMENT AND SENTENCE"/>
              <w:listEntry w:val="ORDER"/>
              <w:listEntry w:val="JUDGMENT BY CONSENT"/>
            </w:ddList>
          </w:ffData>
        </w:fldChar>
      </w:r>
      <w:r w:rsidR="000A63FB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5"/>
      <w:r w:rsidR="000A63FB">
        <w:rPr>
          <w:b/>
          <w:sz w:val="24"/>
          <w:szCs w:val="24"/>
        </w:rPr>
        <w:t xml:space="preserve"> Number II</w:t>
      </w:r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bookmarkStart w:id="6" w:name="Dropdown9"/>
    <w:p w:rsidR="00C87FCA" w:rsidRDefault="00F912F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listEntry w:val="Akiiki-Kiiza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Twomey CJ"/>
              <w:listEntry w:val="Govinden J"/>
              <w:listEntry w:val="Nunkoo J"/>
              <w:listEntry w:val="Vidot J"/>
            </w:ddList>
          </w:ffData>
        </w:fldChar>
      </w:r>
      <w:r w:rsidR="000A63FB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6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A63FB" w:rsidRDefault="000A63FB" w:rsidP="00DA3E9F">
      <w:pPr>
        <w:pStyle w:val="JudgmentText"/>
        <w:spacing w:after="0"/>
      </w:pPr>
      <w:r>
        <w:lastRenderedPageBreak/>
        <w:t>The prosecution is seeking to admit in evidence the charge and caution statement made by A4 to Police Officer Fred Malbrook on the 19</w:t>
      </w:r>
      <w:r w:rsidRPr="000A63FB">
        <w:rPr>
          <w:vertAlign w:val="superscript"/>
        </w:rPr>
        <w:t>th</w:t>
      </w:r>
      <w:r>
        <w:t xml:space="preserve"> August 2013 at CID Police Head </w:t>
      </w:r>
      <w:r w:rsidR="00D20D0B">
        <w:t>Quarters</w:t>
      </w:r>
      <w:r>
        <w:t xml:space="preserve">. </w:t>
      </w:r>
    </w:p>
    <w:p w:rsidR="00DA3E9F" w:rsidRDefault="00DA3E9F" w:rsidP="00DA3E9F">
      <w:pPr>
        <w:pStyle w:val="JudgmentText"/>
        <w:numPr>
          <w:ilvl w:val="0"/>
          <w:numId w:val="0"/>
        </w:numPr>
        <w:spacing w:after="0"/>
        <w:ind w:left="720"/>
      </w:pPr>
    </w:p>
    <w:p w:rsidR="000A63FB" w:rsidRPr="00D20D0B" w:rsidRDefault="000A63FB" w:rsidP="00DA3E9F">
      <w:pPr>
        <w:pStyle w:val="JudgmentText"/>
        <w:spacing w:after="0"/>
        <w:rPr>
          <w:i/>
        </w:rPr>
      </w:pPr>
      <w:r>
        <w:t xml:space="preserve">The defence objected to its admission </w:t>
      </w:r>
      <w:r w:rsidR="00D20D0B">
        <w:t>on</w:t>
      </w:r>
      <w:r>
        <w:t xml:space="preserve"> the grounds that A4 was denied legal counsel, and that the statement at </w:t>
      </w:r>
      <w:r w:rsidR="00D20D0B">
        <w:t>hand</w:t>
      </w:r>
      <w:r>
        <w:t xml:space="preserve"> was not a confession </w:t>
      </w:r>
      <w:r w:rsidRPr="00D20D0B">
        <w:rPr>
          <w:i/>
        </w:rPr>
        <w:t xml:space="preserve">under Section 14  (3) of the Evidence Act. </w:t>
      </w:r>
    </w:p>
    <w:p w:rsidR="000A63FB" w:rsidRDefault="000A63FB" w:rsidP="00DA3E9F">
      <w:pPr>
        <w:pStyle w:val="JudgmentText"/>
        <w:spacing w:after="0"/>
      </w:pPr>
      <w:r>
        <w:lastRenderedPageBreak/>
        <w:t xml:space="preserve">Consequently I had to </w:t>
      </w:r>
      <w:r w:rsidR="00D20D0B">
        <w:t>hold a</w:t>
      </w:r>
      <w:r>
        <w:t xml:space="preserve"> trial within a trial </w:t>
      </w:r>
      <w:r w:rsidRPr="00D20D0B">
        <w:rPr>
          <w:i/>
        </w:rPr>
        <w:t>(Voir Dire).</w:t>
      </w:r>
      <w:r>
        <w:t xml:space="preserve"> </w:t>
      </w:r>
    </w:p>
    <w:p w:rsidR="000A63FB" w:rsidRDefault="000A63FB" w:rsidP="00DA3E9F">
      <w:pPr>
        <w:pStyle w:val="JudgmentText"/>
        <w:numPr>
          <w:ilvl w:val="0"/>
          <w:numId w:val="0"/>
        </w:numPr>
        <w:spacing w:after="0"/>
        <w:ind w:left="720"/>
      </w:pPr>
      <w:r>
        <w:t xml:space="preserve">The prosecution called Mr. Malbrook as the person who had recorded the statement </w:t>
      </w:r>
      <w:r w:rsidR="00D20D0B">
        <w:t>from</w:t>
      </w:r>
      <w:r>
        <w:t xml:space="preserve"> A4</w:t>
      </w:r>
      <w:r w:rsidR="007D12F2">
        <w:t xml:space="preserve">. He told Court that he </w:t>
      </w:r>
      <w:r>
        <w:t xml:space="preserve"> was with M</w:t>
      </w:r>
      <w:r w:rsidR="001632D6">
        <w:t xml:space="preserve">r. Jean Baptist at the time. </w:t>
      </w:r>
      <w:r w:rsidR="007D12F2">
        <w:t>That</w:t>
      </w:r>
      <w:r>
        <w:t xml:space="preserve"> he had complied with the provision of the law, by explaining A4's Constitutional Rights including the rights to counsel, but that A4 did not request for services of counsel. That after </w:t>
      </w:r>
      <w:r w:rsidR="00D20D0B">
        <w:t>recording</w:t>
      </w:r>
      <w:r>
        <w:t xml:space="preserve"> A4's statement he had read it back to him who agreed with its content and he signed and </w:t>
      </w:r>
      <w:r w:rsidR="007D12F2">
        <w:t xml:space="preserve">he </w:t>
      </w:r>
      <w:r>
        <w:t xml:space="preserve">also counter signed it. </w:t>
      </w:r>
    </w:p>
    <w:p w:rsidR="000A63FB" w:rsidRDefault="000A63FB" w:rsidP="00DA3E9F">
      <w:pPr>
        <w:pStyle w:val="JudgmentText"/>
        <w:numPr>
          <w:ilvl w:val="0"/>
          <w:numId w:val="0"/>
        </w:numPr>
        <w:spacing w:after="0"/>
        <w:ind w:left="720"/>
      </w:pPr>
      <w:r>
        <w:t xml:space="preserve">This version was more or less supported by Mr. John Baptiste as a witness </w:t>
      </w:r>
      <w:r w:rsidR="00D20D0B">
        <w:t>to the</w:t>
      </w:r>
      <w:r>
        <w:t xml:space="preserve"> recording of A4's charge and caution statement. That all this had taken place after Mr. Malbrook had cautioned A4 though both differed whether it was once or twice.</w:t>
      </w:r>
    </w:p>
    <w:p w:rsidR="000A63FB" w:rsidRDefault="000A63FB" w:rsidP="00DA3E9F">
      <w:pPr>
        <w:pStyle w:val="JudgmentText"/>
        <w:numPr>
          <w:ilvl w:val="0"/>
          <w:numId w:val="0"/>
        </w:numPr>
        <w:spacing w:after="0"/>
        <w:ind w:left="720"/>
      </w:pPr>
    </w:p>
    <w:p w:rsidR="0006489F" w:rsidRDefault="000A63FB" w:rsidP="00DA3E9F">
      <w:pPr>
        <w:pStyle w:val="JudgmentText"/>
        <w:numPr>
          <w:ilvl w:val="0"/>
          <w:numId w:val="0"/>
        </w:numPr>
        <w:spacing w:after="0"/>
      </w:pPr>
      <w:r>
        <w:t>[4]</w:t>
      </w:r>
      <w:r>
        <w:tab/>
        <w:t xml:space="preserve">The defence  </w:t>
      </w:r>
      <w:r w:rsidR="006D7BFE">
        <w:t xml:space="preserve">decided not to call A4 or any witness during the </w:t>
      </w:r>
      <w:r w:rsidR="006D7BFE" w:rsidRPr="00D20D0B">
        <w:rPr>
          <w:i/>
        </w:rPr>
        <w:t>Voir dire</w:t>
      </w:r>
      <w:r w:rsidR="006D7BFE">
        <w:t xml:space="preserve"> hearing, which </w:t>
      </w:r>
      <w:r w:rsidR="00DA3E9F">
        <w:tab/>
      </w:r>
      <w:r w:rsidR="006D7BFE">
        <w:t>or course was within their rights.</w:t>
      </w:r>
    </w:p>
    <w:p w:rsidR="006D7BFE" w:rsidRDefault="006D7BFE" w:rsidP="00DA3E9F">
      <w:pPr>
        <w:pStyle w:val="JudgmentText"/>
        <w:numPr>
          <w:ilvl w:val="0"/>
          <w:numId w:val="0"/>
        </w:numPr>
        <w:spacing w:after="0"/>
        <w:ind w:left="720"/>
      </w:pPr>
    </w:p>
    <w:p w:rsidR="006D7BFE" w:rsidRDefault="006D7BFE" w:rsidP="00DA3E9F">
      <w:pPr>
        <w:pStyle w:val="JudgmentText"/>
        <w:numPr>
          <w:ilvl w:val="0"/>
          <w:numId w:val="0"/>
        </w:numPr>
        <w:spacing w:after="0"/>
      </w:pPr>
      <w:r>
        <w:t>[5]</w:t>
      </w:r>
      <w:r>
        <w:tab/>
        <w:t xml:space="preserve">I have carefully reviewed the evidence during </w:t>
      </w:r>
      <w:r w:rsidR="00D20D0B">
        <w:t>the</w:t>
      </w:r>
      <w:r>
        <w:t xml:space="preserve"> trial within a trial and find the two </w:t>
      </w:r>
      <w:r w:rsidR="00DA3E9F">
        <w:tab/>
      </w:r>
      <w:r>
        <w:t>prosecution witness</w:t>
      </w:r>
      <w:r w:rsidR="00D20D0B">
        <w:t>es</w:t>
      </w:r>
      <w:r>
        <w:t xml:space="preserve"> largely co</w:t>
      </w:r>
      <w:r w:rsidR="007D12F2">
        <w:t xml:space="preserve">nsistent and truthful regarding </w:t>
      </w:r>
      <w:r>
        <w:t xml:space="preserve">what had transpired </w:t>
      </w:r>
      <w:r w:rsidR="00DA3E9F">
        <w:tab/>
      </w:r>
      <w:r>
        <w:t xml:space="preserve">during the recording of the charge and caution statement from A4. </w:t>
      </w:r>
    </w:p>
    <w:p w:rsidR="00DA3E9F" w:rsidRDefault="00DA3E9F" w:rsidP="00DA3E9F">
      <w:pPr>
        <w:pStyle w:val="JudgmentText"/>
        <w:numPr>
          <w:ilvl w:val="0"/>
          <w:numId w:val="0"/>
        </w:numPr>
        <w:spacing w:after="0"/>
        <w:ind w:left="720"/>
      </w:pPr>
    </w:p>
    <w:p w:rsidR="006D7BFE" w:rsidRDefault="00D20D0B" w:rsidP="00DA3E9F">
      <w:pPr>
        <w:pStyle w:val="JudgmentText"/>
        <w:numPr>
          <w:ilvl w:val="0"/>
          <w:numId w:val="0"/>
        </w:numPr>
        <w:spacing w:after="0"/>
      </w:pPr>
      <w:r>
        <w:t>[6]</w:t>
      </w:r>
      <w:r>
        <w:tab/>
      </w:r>
      <w:r w:rsidR="006D7BFE">
        <w:t>The only inconsistency is with</w:t>
      </w:r>
      <w:r w:rsidR="007D12F2">
        <w:t xml:space="preserve"> regard the number of times Mr. </w:t>
      </w:r>
      <w:r w:rsidR="006D7BFE">
        <w:t>Malbrook had</w:t>
      </w:r>
      <w:r>
        <w:t xml:space="preserve"> </w:t>
      </w:r>
      <w:r w:rsidR="00DA3E9F">
        <w:tab/>
      </w:r>
      <w:r>
        <w:t xml:space="preserve">administered </w:t>
      </w:r>
      <w:r w:rsidR="006D7BFE">
        <w:t xml:space="preserve">the caution. This in my Judgment is a </w:t>
      </w:r>
      <w:r>
        <w:t xml:space="preserve">minor </w:t>
      </w:r>
      <w:r w:rsidR="006D7BFE">
        <w:t xml:space="preserve">detail. </w:t>
      </w:r>
    </w:p>
    <w:p w:rsidR="006D7BFE" w:rsidRDefault="00DA3E9F" w:rsidP="00DA3E9F">
      <w:pPr>
        <w:pStyle w:val="JudgmentText"/>
        <w:numPr>
          <w:ilvl w:val="0"/>
          <w:numId w:val="0"/>
        </w:numPr>
        <w:spacing w:after="0"/>
        <w:ind w:left="720" w:hanging="90"/>
        <w:jc w:val="left"/>
      </w:pPr>
      <w:r>
        <w:tab/>
      </w:r>
      <w:r w:rsidR="006D7BFE">
        <w:t xml:space="preserve">Mr. Malbrook told Court that he had cautioned the accused after telling him that </w:t>
      </w:r>
      <w:r>
        <w:tab/>
      </w:r>
      <w:r w:rsidR="006D7BFE">
        <w:t xml:space="preserve">he was a </w:t>
      </w:r>
      <w:r w:rsidR="00D20D0B">
        <w:t>robbery suspect</w:t>
      </w:r>
      <w:r w:rsidR="006D7BFE">
        <w:t xml:space="preserve">. This I believe would be in line with </w:t>
      </w:r>
      <w:r w:rsidR="00D20D0B">
        <w:t>'</w:t>
      </w:r>
      <w:r w:rsidR="006D7BFE">
        <w:t xml:space="preserve">Rule Number 1 of </w:t>
      </w:r>
      <w:r>
        <w:tab/>
        <w:t xml:space="preserve">the </w:t>
      </w:r>
      <w:r w:rsidR="006D7BFE">
        <w:t>Judges Rules</w:t>
      </w:r>
      <w:r w:rsidR="00D20D0B">
        <w:t>'</w:t>
      </w:r>
      <w:r w:rsidR="007D12F2">
        <w:t xml:space="preserve">. </w:t>
      </w:r>
    </w:p>
    <w:p w:rsidR="00DA3E9F" w:rsidRDefault="00DA3E9F" w:rsidP="00DA3E9F">
      <w:pPr>
        <w:pStyle w:val="JudgmentText"/>
        <w:numPr>
          <w:ilvl w:val="0"/>
          <w:numId w:val="0"/>
        </w:numPr>
        <w:spacing w:after="0"/>
        <w:ind w:left="720"/>
      </w:pPr>
    </w:p>
    <w:p w:rsidR="00AC7E7A" w:rsidRDefault="00D20D0B" w:rsidP="00DA3E9F">
      <w:pPr>
        <w:pStyle w:val="JudgmentText"/>
        <w:numPr>
          <w:ilvl w:val="0"/>
          <w:numId w:val="0"/>
        </w:numPr>
        <w:spacing w:after="0"/>
      </w:pPr>
      <w:r>
        <w:t>[7]</w:t>
      </w:r>
      <w:r>
        <w:tab/>
      </w:r>
      <w:r w:rsidR="006D7BFE">
        <w:t>After the evidence</w:t>
      </w:r>
      <w:r w:rsidR="00AC7E7A">
        <w:t xml:space="preserve"> tending to implication an accused is got, then the officer must </w:t>
      </w:r>
      <w:r w:rsidR="00DA3E9F">
        <w:tab/>
      </w:r>
      <w:r w:rsidR="00AC7E7A">
        <w:t xml:space="preserve">caution </w:t>
      </w:r>
      <w:r w:rsidR="00DA3E9F">
        <w:tab/>
      </w:r>
      <w:r w:rsidR="00AC7E7A">
        <w:t xml:space="preserve">that suspect before putting anymore questions to him in relation to the offence. This </w:t>
      </w:r>
      <w:r w:rsidR="00DA3E9F">
        <w:tab/>
      </w:r>
      <w:r w:rsidR="00AC7E7A">
        <w:t xml:space="preserve">is in accordance with Rule Number 2 of the Judges Rules. </w:t>
      </w:r>
    </w:p>
    <w:p w:rsidR="00DA3E9F" w:rsidRDefault="00DA3E9F" w:rsidP="00DA3E9F">
      <w:pPr>
        <w:pStyle w:val="JudgmentText"/>
        <w:numPr>
          <w:ilvl w:val="0"/>
          <w:numId w:val="0"/>
        </w:numPr>
        <w:spacing w:after="0"/>
      </w:pPr>
    </w:p>
    <w:p w:rsidR="00AC7E7A" w:rsidRPr="00DA3E9F" w:rsidRDefault="00DA3E9F" w:rsidP="00DA3E9F">
      <w:pPr>
        <w:pStyle w:val="JudgmentText"/>
        <w:numPr>
          <w:ilvl w:val="0"/>
          <w:numId w:val="0"/>
        </w:numPr>
        <w:spacing w:after="0"/>
      </w:pPr>
      <w:r>
        <w:t>[8]</w:t>
      </w:r>
      <w:r>
        <w:tab/>
      </w:r>
      <w:r w:rsidR="00AC7E7A">
        <w:t xml:space="preserve">The judges rules are meant for </w:t>
      </w:r>
      <w:r w:rsidR="007D12F2">
        <w:t xml:space="preserve">administrative </w:t>
      </w:r>
      <w:r w:rsidR="00AC7E7A">
        <w:t xml:space="preserve">purposes, they are not </w:t>
      </w:r>
      <w:r>
        <w:t>legal</w:t>
      </w:r>
      <w:r w:rsidR="00AC7E7A">
        <w:t xml:space="preserve"> provisions. </w:t>
      </w:r>
      <w:r>
        <w:tab/>
      </w:r>
      <w:r w:rsidR="00AC7E7A">
        <w:t>Failure to str</w:t>
      </w:r>
      <w:r>
        <w:t xml:space="preserve">ictly abide by them is usually </w:t>
      </w:r>
      <w:r w:rsidR="00AC7E7A">
        <w:t xml:space="preserve">not fatal. ( See </w:t>
      </w:r>
      <w:r w:rsidR="00AC7E7A" w:rsidRPr="00DA3E9F">
        <w:rPr>
          <w:b/>
          <w:u w:val="single"/>
        </w:rPr>
        <w:t xml:space="preserve">R Vs Steward [1970] 1 </w:t>
      </w:r>
      <w:r w:rsidRPr="00DA3E9F">
        <w:rPr>
          <w:b/>
        </w:rPr>
        <w:tab/>
      </w:r>
      <w:r w:rsidR="007D12F2">
        <w:rPr>
          <w:b/>
          <w:u w:val="single"/>
        </w:rPr>
        <w:t>A.</w:t>
      </w:r>
      <w:r w:rsidR="00AC7E7A" w:rsidRPr="00DA3E9F">
        <w:rPr>
          <w:b/>
          <w:u w:val="single"/>
        </w:rPr>
        <w:t xml:space="preserve">E. R </w:t>
      </w:r>
      <w:r w:rsidR="007D12F2" w:rsidRPr="007D12F2">
        <w:rPr>
          <w:b/>
        </w:rPr>
        <w:tab/>
      </w:r>
      <w:r w:rsidR="00AC7E7A" w:rsidRPr="00DA3E9F">
        <w:rPr>
          <w:b/>
          <w:u w:val="single"/>
        </w:rPr>
        <w:t>689)</w:t>
      </w:r>
    </w:p>
    <w:p w:rsidR="00DA3E9F" w:rsidRDefault="00DA3E9F" w:rsidP="00DA3E9F">
      <w:pPr>
        <w:pStyle w:val="JudgmentText"/>
        <w:numPr>
          <w:ilvl w:val="0"/>
          <w:numId w:val="0"/>
        </w:numPr>
        <w:spacing w:after="0"/>
        <w:ind w:left="720"/>
      </w:pPr>
    </w:p>
    <w:p w:rsidR="00AC7E7A" w:rsidRDefault="00DA3E9F" w:rsidP="00DA3E9F">
      <w:pPr>
        <w:pStyle w:val="JudgmentText"/>
        <w:numPr>
          <w:ilvl w:val="0"/>
          <w:numId w:val="0"/>
        </w:numPr>
        <w:spacing w:after="0"/>
      </w:pPr>
      <w:r>
        <w:t>[9]</w:t>
      </w:r>
      <w:r>
        <w:tab/>
      </w:r>
      <w:r w:rsidR="00AC7E7A">
        <w:t xml:space="preserve">In any case no question of voluntariness was raised by the defence. </w:t>
      </w:r>
    </w:p>
    <w:p w:rsidR="00AC7E7A" w:rsidRDefault="00AC7E7A" w:rsidP="00DA3E9F">
      <w:pPr>
        <w:pStyle w:val="JudgmentText"/>
        <w:numPr>
          <w:ilvl w:val="0"/>
          <w:numId w:val="0"/>
        </w:numPr>
        <w:spacing w:after="0"/>
        <w:ind w:left="720"/>
      </w:pPr>
      <w:r>
        <w:t xml:space="preserve">To my mind what is </w:t>
      </w:r>
      <w:r w:rsidR="00DA3E9F">
        <w:t xml:space="preserve">important </w:t>
      </w:r>
      <w:r>
        <w:t>is that the accused was cautioned after he had been told that he</w:t>
      </w:r>
      <w:r w:rsidR="00DA3E9F">
        <w:t xml:space="preserve"> was arrested due</w:t>
      </w:r>
      <w:r>
        <w:t xml:space="preserve"> to having taken part of the robbery. Mr. Malbrook told Court that he </w:t>
      </w:r>
      <w:r w:rsidR="00DA3E9F">
        <w:t>conformed</w:t>
      </w:r>
      <w:r>
        <w:t xml:space="preserve"> with 'Rule number 2 of the Judges Rules'</w:t>
      </w:r>
    </w:p>
    <w:p w:rsidR="00AC7E7A" w:rsidRDefault="00AC7E7A" w:rsidP="00DA3E9F">
      <w:pPr>
        <w:pStyle w:val="JudgmentText"/>
        <w:numPr>
          <w:ilvl w:val="0"/>
          <w:numId w:val="0"/>
        </w:numPr>
        <w:spacing w:after="0"/>
        <w:ind w:left="720"/>
      </w:pPr>
    </w:p>
    <w:p w:rsidR="00AC7E7A" w:rsidRDefault="00DA3E9F" w:rsidP="00DA3E9F">
      <w:pPr>
        <w:pStyle w:val="JudgmentText"/>
        <w:numPr>
          <w:ilvl w:val="0"/>
          <w:numId w:val="0"/>
        </w:numPr>
        <w:spacing w:after="0"/>
      </w:pPr>
      <w:r>
        <w:t>[10]</w:t>
      </w:r>
      <w:r>
        <w:tab/>
      </w:r>
      <w:r w:rsidR="00AC7E7A">
        <w:t>As to whether the accused was told of his right to counsel both Mr.</w:t>
      </w:r>
      <w:r>
        <w:t xml:space="preserve"> </w:t>
      </w:r>
      <w:r w:rsidR="00AC7E7A">
        <w:t xml:space="preserve">Malbrook </w:t>
      </w:r>
      <w:r>
        <w:t>and</w:t>
      </w:r>
      <w:r w:rsidR="00AC7E7A">
        <w:t xml:space="preserve"> </w:t>
      </w:r>
      <w:r>
        <w:tab/>
      </w:r>
      <w:r w:rsidR="00AC7E7A">
        <w:t xml:space="preserve">Mr.  </w:t>
      </w:r>
      <w:r>
        <w:tab/>
      </w:r>
      <w:r w:rsidR="00AC7E7A">
        <w:t xml:space="preserve">Jean Baptiste </w:t>
      </w:r>
      <w:r>
        <w:t>told</w:t>
      </w:r>
      <w:r w:rsidR="00AC7E7A">
        <w:t xml:space="preserve"> Court that he was told but decided to </w:t>
      </w:r>
      <w:r>
        <w:t xml:space="preserve">waive </w:t>
      </w:r>
      <w:r w:rsidR="00AC7E7A">
        <w:t xml:space="preserve">that right as he never </w:t>
      </w:r>
      <w:r>
        <w:tab/>
      </w:r>
      <w:r w:rsidR="00AC7E7A">
        <w:t>requested for on it.</w:t>
      </w:r>
    </w:p>
    <w:p w:rsidR="00DA3E9F" w:rsidRDefault="00DA3E9F" w:rsidP="00DA3E9F">
      <w:pPr>
        <w:pStyle w:val="JudgmentText"/>
        <w:numPr>
          <w:ilvl w:val="0"/>
          <w:numId w:val="0"/>
        </w:numPr>
        <w:spacing w:after="0"/>
        <w:ind w:left="720"/>
      </w:pPr>
    </w:p>
    <w:p w:rsidR="00D20D0B" w:rsidRDefault="00DA3E9F" w:rsidP="00DA3E9F">
      <w:pPr>
        <w:pStyle w:val="JudgmentText"/>
        <w:numPr>
          <w:ilvl w:val="0"/>
          <w:numId w:val="0"/>
        </w:numPr>
        <w:spacing w:after="0"/>
      </w:pPr>
      <w:r>
        <w:t>[11]</w:t>
      </w:r>
      <w:r>
        <w:tab/>
      </w:r>
      <w:r w:rsidR="00D20D0B">
        <w:t xml:space="preserve">As to whether A4 had specifically requested for Mr. Derjaques to attend to him as </w:t>
      </w:r>
      <w:r>
        <w:tab/>
      </w:r>
      <w:r w:rsidR="00D20D0B">
        <w:t xml:space="preserve">his personal attorney, there is no evidence to that effect before me. </w:t>
      </w:r>
      <w:r>
        <w:t>I</w:t>
      </w:r>
      <w:r w:rsidR="00D20D0B">
        <w:t>t was</w:t>
      </w:r>
      <w:r>
        <w:t xml:space="preserve"> </w:t>
      </w:r>
      <w:r w:rsidR="007D12F2">
        <w:t xml:space="preserve">merely a </w:t>
      </w:r>
      <w:r w:rsidR="007D12F2">
        <w:tab/>
        <w:t>statement from</w:t>
      </w:r>
      <w:r>
        <w:t xml:space="preserve"> the bar</w:t>
      </w:r>
      <w:r w:rsidR="00D20D0B">
        <w:t xml:space="preserve"> which is not evidence. </w:t>
      </w:r>
    </w:p>
    <w:p w:rsidR="00D20D0B" w:rsidRDefault="00D20D0B" w:rsidP="00DA3E9F">
      <w:pPr>
        <w:pStyle w:val="JudgmentText"/>
        <w:numPr>
          <w:ilvl w:val="0"/>
          <w:numId w:val="0"/>
        </w:numPr>
        <w:spacing w:after="0"/>
        <w:ind w:left="720"/>
      </w:pPr>
    </w:p>
    <w:p w:rsidR="00DA3E9F" w:rsidRDefault="00DA3E9F" w:rsidP="00DA3E9F">
      <w:pPr>
        <w:pStyle w:val="JudgmentText"/>
        <w:numPr>
          <w:ilvl w:val="0"/>
          <w:numId w:val="0"/>
        </w:numPr>
        <w:spacing w:after="0"/>
      </w:pPr>
      <w:r>
        <w:t>[12]</w:t>
      </w:r>
      <w:r>
        <w:tab/>
      </w:r>
      <w:r w:rsidR="00D20D0B">
        <w:t xml:space="preserve">All in all I overrule the objection to </w:t>
      </w:r>
      <w:r>
        <w:t xml:space="preserve">admit </w:t>
      </w:r>
      <w:r w:rsidR="00D20D0B">
        <w:t xml:space="preserve">A4's statement under caution </w:t>
      </w:r>
      <w:r>
        <w:t>and I</w:t>
      </w:r>
      <w:r w:rsidR="00D20D0B">
        <w:t xml:space="preserve"> find</w:t>
      </w:r>
      <w:r>
        <w:t xml:space="preserve"> </w:t>
      </w:r>
      <w:r>
        <w:tab/>
        <w:t xml:space="preserve">the </w:t>
      </w:r>
      <w:r>
        <w:tab/>
        <w:t>Prosecution ha</w:t>
      </w:r>
      <w:r w:rsidR="00D20D0B">
        <w:t xml:space="preserve">s proved beyond reasonable doubt that the provision of law had been </w:t>
      </w:r>
      <w:r>
        <w:tab/>
      </w:r>
      <w:r w:rsidR="00D20D0B">
        <w:t xml:space="preserve">complied with by Mr. Malbrook and Mr. Baptiste. </w:t>
      </w:r>
    </w:p>
    <w:p w:rsidR="00D20D0B" w:rsidRDefault="00D20D0B" w:rsidP="00DA3E9F">
      <w:pPr>
        <w:pStyle w:val="JudgmentText"/>
        <w:numPr>
          <w:ilvl w:val="0"/>
          <w:numId w:val="0"/>
        </w:numPr>
        <w:spacing w:after="0"/>
        <w:ind w:left="720"/>
      </w:pPr>
      <w:r>
        <w:t xml:space="preserve">It was a voluntary statement and hence admissible in evidence for prosecution. </w:t>
      </w:r>
    </w:p>
    <w:p w:rsidR="00E6492F" w:rsidRDefault="00F912FC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r w:rsidR="00D20D0B">
        <w:rPr>
          <w:sz w:val="24"/>
          <w:szCs w:val="24"/>
        </w:rPr>
        <w:t>23 January 2017</w:t>
      </w:r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7" w:name="Dropdown6"/>
    <w:p w:rsidR="00E33F35" w:rsidRPr="002A7376" w:rsidRDefault="00F912FC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listEntry w:val="D Akiiki-Kiiza"/>
              <w:listEntry w:val="B Renaud"/>
              <w:listEntry w:val="M Burhan"/>
              <w:listEntry w:val="G Dodin"/>
              <w:listEntry w:val="F Robinson"/>
              <w:listEntry w:val="C McKee"/>
              <w:listEntry w:val="M Twomey"/>
              <w:listEntry w:val="S Govinden"/>
              <w:listEntry w:val="S Nunkoo"/>
              <w:listEntry w:val="M Vidot"/>
            </w:ddList>
          </w:ffData>
        </w:fldChar>
      </w:r>
      <w:r w:rsidR="00D20D0B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7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F912FC" w:rsidRPr="00E33F35">
        <w:rPr>
          <w:b/>
          <w:sz w:val="24"/>
          <w:szCs w:val="24"/>
        </w:rPr>
        <w:fldChar w:fldCharType="begin"/>
      </w:r>
      <w:r w:rsidR="00F912FC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BA9" w:rsidRDefault="009D1BA9" w:rsidP="00DB6D34">
      <w:r>
        <w:separator/>
      </w:r>
    </w:p>
  </w:endnote>
  <w:endnote w:type="continuationSeparator" w:id="1">
    <w:p w:rsidR="009D1BA9" w:rsidRDefault="009D1BA9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F912FC">
    <w:pPr>
      <w:pStyle w:val="Footer"/>
      <w:jc w:val="center"/>
    </w:pPr>
    <w:r>
      <w:fldChar w:fldCharType="begin"/>
    </w:r>
    <w:r w:rsidR="00CD4F50">
      <w:instrText xml:space="preserve"> PAGE   \* MERGEFORMAT </w:instrText>
    </w:r>
    <w:r>
      <w:fldChar w:fldCharType="separate"/>
    </w:r>
    <w:r w:rsidR="002F125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BA9" w:rsidRDefault="009D1BA9" w:rsidP="00DB6D34">
      <w:r>
        <w:separator/>
      </w:r>
    </w:p>
  </w:footnote>
  <w:footnote w:type="continuationSeparator" w:id="1">
    <w:p w:rsidR="009D1BA9" w:rsidRDefault="009D1BA9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i w:val="0"/>
          <w:sz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rA0tjA0NjWwNDI2trRQ0lEKTi0uzszPAykwrQUAjDQPGiwAAAA="/>
  </w:docVars>
  <w:rsids>
    <w:rsidRoot w:val="008C13F0"/>
    <w:rsid w:val="00005BEF"/>
    <w:rsid w:val="00030C81"/>
    <w:rsid w:val="00036B28"/>
    <w:rsid w:val="0006489F"/>
    <w:rsid w:val="00070A36"/>
    <w:rsid w:val="00075573"/>
    <w:rsid w:val="000827FA"/>
    <w:rsid w:val="00091036"/>
    <w:rsid w:val="000A10B8"/>
    <w:rsid w:val="000A63FB"/>
    <w:rsid w:val="000B0E14"/>
    <w:rsid w:val="000D1645"/>
    <w:rsid w:val="000D1DD3"/>
    <w:rsid w:val="000E39A5"/>
    <w:rsid w:val="000E7400"/>
    <w:rsid w:val="001008BC"/>
    <w:rsid w:val="00101D12"/>
    <w:rsid w:val="00117CBF"/>
    <w:rsid w:val="001255AE"/>
    <w:rsid w:val="00126A10"/>
    <w:rsid w:val="001376AB"/>
    <w:rsid w:val="00144612"/>
    <w:rsid w:val="001529B0"/>
    <w:rsid w:val="001632D6"/>
    <w:rsid w:val="0016510C"/>
    <w:rsid w:val="00180158"/>
    <w:rsid w:val="00180C60"/>
    <w:rsid w:val="001D30F7"/>
    <w:rsid w:val="001E4ED8"/>
    <w:rsid w:val="0020244B"/>
    <w:rsid w:val="00231C17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61AC"/>
    <w:rsid w:val="002E6963"/>
    <w:rsid w:val="002F125A"/>
    <w:rsid w:val="002F40A1"/>
    <w:rsid w:val="00301D88"/>
    <w:rsid w:val="00304E76"/>
    <w:rsid w:val="00325FA4"/>
    <w:rsid w:val="00362044"/>
    <w:rsid w:val="003647E7"/>
    <w:rsid w:val="0037270D"/>
    <w:rsid w:val="00377341"/>
    <w:rsid w:val="003838CC"/>
    <w:rsid w:val="003862CB"/>
    <w:rsid w:val="0038700C"/>
    <w:rsid w:val="00397F09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6133B"/>
    <w:rsid w:val="004C3D80"/>
    <w:rsid w:val="004D30C6"/>
    <w:rsid w:val="004E275C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A507F"/>
    <w:rsid w:val="005B7F60"/>
    <w:rsid w:val="005F5FB0"/>
    <w:rsid w:val="00606587"/>
    <w:rsid w:val="00606EEA"/>
    <w:rsid w:val="006174DB"/>
    <w:rsid w:val="0064023C"/>
    <w:rsid w:val="006578C2"/>
    <w:rsid w:val="00666D33"/>
    <w:rsid w:val="00695110"/>
    <w:rsid w:val="006A58E4"/>
    <w:rsid w:val="006D36C9"/>
    <w:rsid w:val="006D7BFE"/>
    <w:rsid w:val="007175A6"/>
    <w:rsid w:val="00744508"/>
    <w:rsid w:val="007779A2"/>
    <w:rsid w:val="007A47DC"/>
    <w:rsid w:val="007B6178"/>
    <w:rsid w:val="007C2809"/>
    <w:rsid w:val="007D12F2"/>
    <w:rsid w:val="007D416E"/>
    <w:rsid w:val="00804251"/>
    <w:rsid w:val="00807411"/>
    <w:rsid w:val="00811847"/>
    <w:rsid w:val="00814CF5"/>
    <w:rsid w:val="00816425"/>
    <w:rsid w:val="00821758"/>
    <w:rsid w:val="00823079"/>
    <w:rsid w:val="0083298A"/>
    <w:rsid w:val="00841387"/>
    <w:rsid w:val="008472B3"/>
    <w:rsid w:val="008478D6"/>
    <w:rsid w:val="00861092"/>
    <w:rsid w:val="008A5208"/>
    <w:rsid w:val="008C0FD6"/>
    <w:rsid w:val="008C13F0"/>
    <w:rsid w:val="008E1DB1"/>
    <w:rsid w:val="008E512C"/>
    <w:rsid w:val="008E7749"/>
    <w:rsid w:val="008E7F92"/>
    <w:rsid w:val="008F0C10"/>
    <w:rsid w:val="008F38F7"/>
    <w:rsid w:val="00902D3C"/>
    <w:rsid w:val="00914679"/>
    <w:rsid w:val="00926D09"/>
    <w:rsid w:val="009336BA"/>
    <w:rsid w:val="00937FB4"/>
    <w:rsid w:val="0094087C"/>
    <w:rsid w:val="00951EC0"/>
    <w:rsid w:val="0096041D"/>
    <w:rsid w:val="0096251D"/>
    <w:rsid w:val="00981287"/>
    <w:rsid w:val="00983045"/>
    <w:rsid w:val="009C02C9"/>
    <w:rsid w:val="009D1BA9"/>
    <w:rsid w:val="009E05E5"/>
    <w:rsid w:val="009F1B68"/>
    <w:rsid w:val="009F4DC4"/>
    <w:rsid w:val="00A11166"/>
    <w:rsid w:val="00A14038"/>
    <w:rsid w:val="00A26E91"/>
    <w:rsid w:val="00A42850"/>
    <w:rsid w:val="00A53837"/>
    <w:rsid w:val="00A57954"/>
    <w:rsid w:val="00A64EF1"/>
    <w:rsid w:val="00A80E4E"/>
    <w:rsid w:val="00AB352B"/>
    <w:rsid w:val="00AB4A4F"/>
    <w:rsid w:val="00AB552D"/>
    <w:rsid w:val="00AC3885"/>
    <w:rsid w:val="00AC7E7A"/>
    <w:rsid w:val="00AD0BF3"/>
    <w:rsid w:val="00AD75CD"/>
    <w:rsid w:val="00B05D6E"/>
    <w:rsid w:val="00B119B1"/>
    <w:rsid w:val="00B14612"/>
    <w:rsid w:val="00B23E73"/>
    <w:rsid w:val="00B260C7"/>
    <w:rsid w:val="00B40898"/>
    <w:rsid w:val="00B4124C"/>
    <w:rsid w:val="00B4625E"/>
    <w:rsid w:val="00B75AE2"/>
    <w:rsid w:val="00B9148E"/>
    <w:rsid w:val="00B938BB"/>
    <w:rsid w:val="00B94805"/>
    <w:rsid w:val="00BA6027"/>
    <w:rsid w:val="00BA70E6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411C9"/>
    <w:rsid w:val="00C50B8B"/>
    <w:rsid w:val="00C55FDF"/>
    <w:rsid w:val="00C5739F"/>
    <w:rsid w:val="00C80F58"/>
    <w:rsid w:val="00C87FCA"/>
    <w:rsid w:val="00CA1B0C"/>
    <w:rsid w:val="00CA7795"/>
    <w:rsid w:val="00CA7F40"/>
    <w:rsid w:val="00CB3C7E"/>
    <w:rsid w:val="00CD4F50"/>
    <w:rsid w:val="00D03314"/>
    <w:rsid w:val="00D06A0F"/>
    <w:rsid w:val="00D20D0B"/>
    <w:rsid w:val="00D8003D"/>
    <w:rsid w:val="00D82047"/>
    <w:rsid w:val="00D92EFD"/>
    <w:rsid w:val="00DA3E9F"/>
    <w:rsid w:val="00DB3886"/>
    <w:rsid w:val="00DB6D34"/>
    <w:rsid w:val="00DD4E02"/>
    <w:rsid w:val="00DE08C1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512E"/>
    <w:rsid w:val="00EA6F17"/>
    <w:rsid w:val="00EB0712"/>
    <w:rsid w:val="00EC12D0"/>
    <w:rsid w:val="00EC2355"/>
    <w:rsid w:val="00EC6290"/>
    <w:rsid w:val="00ED76D9"/>
    <w:rsid w:val="00EF2051"/>
    <w:rsid w:val="00F00A19"/>
    <w:rsid w:val="00F444A5"/>
    <w:rsid w:val="00F804CC"/>
    <w:rsid w:val="00F82A83"/>
    <w:rsid w:val="00F83B3D"/>
    <w:rsid w:val="00F912FC"/>
    <w:rsid w:val="00FB0AFB"/>
    <w:rsid w:val="00FB2453"/>
    <w:rsid w:val="00FB39BA"/>
    <w:rsid w:val="00FC6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payet\AppData\Local\Microsoft\Windows\INetCache\Content.MSO\CA589FD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93734-F812-499C-8F5E-5F06D112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CA589FD1</Template>
  <TotalTime>52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s.payet</dc:creator>
  <cp:lastModifiedBy>s.payet</cp:lastModifiedBy>
  <cp:revision>5</cp:revision>
  <cp:lastPrinted>2013-08-26T11:27:00Z</cp:lastPrinted>
  <dcterms:created xsi:type="dcterms:W3CDTF">2017-02-07T10:48:00Z</dcterms:created>
  <dcterms:modified xsi:type="dcterms:W3CDTF">2017-02-16T11:10:00Z</dcterms:modified>
</cp:coreProperties>
</file>