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Default="002C77E2" w:rsidP="00CA7795">
      <w:pPr>
        <w:jc w:val="center"/>
        <w:rPr>
          <w:b/>
          <w:sz w:val="28"/>
          <w:szCs w:val="28"/>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3E56B8">
        <w:rPr>
          <w:b/>
          <w:sz w:val="24"/>
          <w:szCs w:val="24"/>
        </w:rPr>
        <w:t> </w:t>
      </w:r>
      <w:r w:rsidR="003E56B8">
        <w:rPr>
          <w:b/>
          <w:sz w:val="24"/>
          <w:szCs w:val="24"/>
        </w:rPr>
        <w:t> </w:t>
      </w:r>
      <w:r w:rsidR="003E56B8">
        <w:rPr>
          <w:b/>
          <w:sz w:val="24"/>
          <w:szCs w:val="24"/>
        </w:rPr>
        <w:t> </w:t>
      </w:r>
      <w:r w:rsidRPr="0096251D">
        <w:rPr>
          <w:b/>
          <w:sz w:val="24"/>
          <w:szCs w:val="24"/>
        </w:rPr>
        <w:fldChar w:fldCharType="end"/>
      </w:r>
      <w:bookmarkStart w:id="1" w:name="Text42"/>
      <w:bookmarkEnd w:id="0"/>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8E46BC">
        <w:rPr>
          <w:i/>
          <w:sz w:val="24"/>
          <w:szCs w:val="24"/>
        </w:rPr>
        <w:t> </w:t>
      </w:r>
      <w:r w:rsidR="008E46BC">
        <w:rPr>
          <w:i/>
          <w:sz w:val="24"/>
          <w:szCs w:val="24"/>
        </w:rPr>
        <w:t> </w:t>
      </w:r>
      <w:r w:rsidR="008E46BC">
        <w:rPr>
          <w:i/>
          <w:sz w:val="24"/>
          <w:szCs w:val="24"/>
        </w:rPr>
        <w:t> </w:t>
      </w:r>
      <w:r w:rsidR="008E46BC">
        <w:rPr>
          <w:i/>
          <w:sz w:val="24"/>
          <w:szCs w:val="24"/>
        </w:rPr>
        <w:t> </w:t>
      </w:r>
      <w:r w:rsidR="008E46BC">
        <w:rPr>
          <w:i/>
          <w:sz w:val="24"/>
          <w:szCs w:val="24"/>
        </w:rPr>
        <w:t> </w:t>
      </w:r>
      <w:r>
        <w:rPr>
          <w:i/>
          <w:sz w:val="24"/>
          <w:szCs w:val="24"/>
        </w:rPr>
        <w:fldChar w:fldCharType="end"/>
      </w:r>
      <w:bookmarkEnd w:id="1"/>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2C77E2">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2C77E2">
        <w:rPr>
          <w:b/>
          <w:sz w:val="28"/>
          <w:szCs w:val="28"/>
        </w:rPr>
      </w:r>
      <w:r w:rsidR="002C77E2">
        <w:rPr>
          <w:b/>
          <w:sz w:val="28"/>
          <w:szCs w:val="28"/>
        </w:rPr>
        <w:fldChar w:fldCharType="separate"/>
      </w:r>
      <w:r w:rsidR="005C7260">
        <w:rPr>
          <w:b/>
          <w:noProof/>
          <w:sz w:val="28"/>
          <w:szCs w:val="28"/>
        </w:rPr>
        <w:t>164</w:t>
      </w:r>
      <w:r w:rsidR="002C77E2">
        <w:rPr>
          <w:b/>
          <w:sz w:val="28"/>
          <w:szCs w:val="28"/>
        </w:rPr>
        <w:fldChar w:fldCharType="end"/>
      </w:r>
      <w:bookmarkEnd w:id="2"/>
      <w:r w:rsidRPr="00B75AE2">
        <w:rPr>
          <w:b/>
          <w:sz w:val="28"/>
          <w:szCs w:val="28"/>
        </w:rPr>
        <w:t>/</w:t>
      </w:r>
      <w:r w:rsidR="00C87FCA" w:rsidRPr="00B75AE2">
        <w:rPr>
          <w:b/>
          <w:sz w:val="28"/>
          <w:szCs w:val="28"/>
        </w:rPr>
        <w:t>20</w:t>
      </w:r>
      <w:r w:rsidR="002C77E2"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2C77E2" w:rsidRPr="00B75AE2">
        <w:rPr>
          <w:b/>
          <w:sz w:val="28"/>
          <w:szCs w:val="28"/>
        </w:rPr>
      </w:r>
      <w:r w:rsidR="002C77E2" w:rsidRPr="00B75AE2">
        <w:rPr>
          <w:b/>
          <w:sz w:val="28"/>
          <w:szCs w:val="28"/>
        </w:rPr>
        <w:fldChar w:fldCharType="separate"/>
      </w:r>
      <w:r w:rsidR="005C7260">
        <w:rPr>
          <w:b/>
          <w:noProof/>
          <w:sz w:val="28"/>
          <w:szCs w:val="28"/>
        </w:rPr>
        <w:t>17</w:t>
      </w:r>
      <w:r w:rsidR="002C77E2" w:rsidRPr="00B75AE2">
        <w:rPr>
          <w:b/>
          <w:sz w:val="28"/>
          <w:szCs w:val="28"/>
        </w:rPr>
        <w:fldChar w:fldCharType="end"/>
      </w:r>
      <w:bookmarkEnd w:id="3"/>
    </w:p>
    <w:p w:rsidR="006A2C88" w:rsidRPr="006A2C88" w:rsidRDefault="006A2C88" w:rsidP="005460DE">
      <w:pPr>
        <w:spacing w:before="120"/>
        <w:jc w:val="center"/>
        <w:rPr>
          <w:b/>
          <w:sz w:val="24"/>
          <w:szCs w:val="24"/>
        </w:rPr>
      </w:pPr>
      <w:r w:rsidRPr="006A2C88">
        <w:rPr>
          <w:b/>
          <w:sz w:val="24"/>
          <w:szCs w:val="24"/>
        </w:rPr>
        <w:t xml:space="preserve">(arising in </w:t>
      </w:r>
      <w:bookmarkStart w:id="4" w:name="Dropdown15"/>
      <w:r w:rsidR="002C77E2">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2C77E2">
        <w:rPr>
          <w:b/>
          <w:sz w:val="24"/>
          <w:szCs w:val="24"/>
        </w:rPr>
      </w:r>
      <w:r w:rsidR="002C77E2">
        <w:rPr>
          <w:b/>
          <w:sz w:val="24"/>
          <w:szCs w:val="24"/>
        </w:rPr>
        <w:fldChar w:fldCharType="end"/>
      </w:r>
      <w:bookmarkEnd w:id="4"/>
      <w:r w:rsidR="002C77E2">
        <w:rPr>
          <w:b/>
          <w:sz w:val="24"/>
          <w:szCs w:val="24"/>
        </w:rPr>
        <w:fldChar w:fldCharType="begin">
          <w:ffData>
            <w:name w:val="Text38"/>
            <w:enabled/>
            <w:calcOnExit w:val="0"/>
            <w:textInput/>
          </w:ffData>
        </w:fldChar>
      </w:r>
      <w:bookmarkStart w:id="5" w:name="Text38"/>
      <w:r>
        <w:rPr>
          <w:b/>
          <w:sz w:val="24"/>
          <w:szCs w:val="24"/>
        </w:rPr>
        <w:instrText xml:space="preserve"> FORMTEXT </w:instrText>
      </w:r>
      <w:r w:rsidR="002C77E2">
        <w:rPr>
          <w:b/>
          <w:sz w:val="24"/>
          <w:szCs w:val="24"/>
        </w:rPr>
      </w:r>
      <w:r w:rsidR="002C77E2">
        <w:rPr>
          <w:b/>
          <w:sz w:val="24"/>
          <w:szCs w:val="24"/>
        </w:rPr>
        <w:fldChar w:fldCharType="separate"/>
      </w:r>
      <w:r w:rsidR="005C7260">
        <w:rPr>
          <w:b/>
          <w:noProof/>
          <w:sz w:val="24"/>
          <w:szCs w:val="24"/>
        </w:rPr>
        <w:t>52</w:t>
      </w:r>
      <w:r w:rsidR="002C77E2">
        <w:rPr>
          <w:b/>
          <w:sz w:val="24"/>
          <w:szCs w:val="24"/>
        </w:rPr>
        <w:fldChar w:fldCharType="end"/>
      </w:r>
      <w:bookmarkEnd w:id="5"/>
      <w:r>
        <w:rPr>
          <w:b/>
          <w:sz w:val="24"/>
          <w:szCs w:val="24"/>
        </w:rPr>
        <w:t>/20</w:t>
      </w:r>
      <w:r w:rsidR="002C77E2">
        <w:rPr>
          <w:b/>
          <w:sz w:val="24"/>
          <w:szCs w:val="24"/>
        </w:rPr>
        <w:fldChar w:fldCharType="begin">
          <w:ffData>
            <w:name w:val="Text39"/>
            <w:enabled/>
            <w:calcOnExit w:val="0"/>
            <w:textInput/>
          </w:ffData>
        </w:fldChar>
      </w:r>
      <w:bookmarkStart w:id="6" w:name="Text39"/>
      <w:r>
        <w:rPr>
          <w:b/>
          <w:sz w:val="24"/>
          <w:szCs w:val="24"/>
        </w:rPr>
        <w:instrText xml:space="preserve"> FORMTEXT </w:instrText>
      </w:r>
      <w:r w:rsidR="002C77E2">
        <w:rPr>
          <w:b/>
          <w:sz w:val="24"/>
          <w:szCs w:val="24"/>
        </w:rPr>
      </w:r>
      <w:r w:rsidR="002C77E2">
        <w:rPr>
          <w:b/>
          <w:sz w:val="24"/>
          <w:szCs w:val="24"/>
        </w:rPr>
        <w:fldChar w:fldCharType="separate"/>
      </w:r>
      <w:r w:rsidR="005C7260">
        <w:rPr>
          <w:b/>
          <w:noProof/>
          <w:sz w:val="24"/>
          <w:szCs w:val="24"/>
        </w:rPr>
        <w:t>17</w:t>
      </w:r>
      <w:r w:rsidR="002C77E2">
        <w:rPr>
          <w:b/>
          <w:sz w:val="24"/>
          <w:szCs w:val="24"/>
        </w:rPr>
        <w:fldChar w:fldCharType="end"/>
      </w:r>
      <w:bookmarkEnd w:id="6"/>
      <w:r>
        <w:rPr>
          <w:b/>
          <w:sz w:val="24"/>
          <w:szCs w:val="24"/>
        </w:rPr>
        <w:t>)</w:t>
      </w:r>
    </w:p>
    <w:p w:rsidR="00DB6D34" w:rsidRPr="00606EEA" w:rsidRDefault="00054C1A" w:rsidP="00AE3237">
      <w:pPr>
        <w:spacing w:before="240" w:after="160"/>
        <w:ind w:left="6480"/>
        <w:rPr>
          <w:b/>
          <w:sz w:val="24"/>
          <w:szCs w:val="24"/>
        </w:rPr>
      </w:pPr>
      <w:r w:rsidRPr="00606EEA">
        <w:rPr>
          <w:b/>
          <w:sz w:val="24"/>
          <w:szCs w:val="24"/>
        </w:rPr>
        <w:t xml:space="preserve"> </w:t>
      </w:r>
      <w:r w:rsidR="00DB6D34" w:rsidRPr="00606EEA">
        <w:rPr>
          <w:b/>
          <w:sz w:val="24"/>
          <w:szCs w:val="24"/>
        </w:rPr>
        <w:t>[201</w:t>
      </w:r>
      <w:r w:rsidR="002C77E2">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2C77E2">
        <w:rPr>
          <w:b/>
          <w:sz w:val="24"/>
          <w:szCs w:val="24"/>
        </w:rPr>
      </w:r>
      <w:r w:rsidR="002C77E2">
        <w:rPr>
          <w:b/>
          <w:sz w:val="24"/>
          <w:szCs w:val="24"/>
        </w:rPr>
        <w:fldChar w:fldCharType="separate"/>
      </w:r>
      <w:r w:rsidR="005C7260">
        <w:rPr>
          <w:b/>
          <w:noProof/>
          <w:sz w:val="24"/>
          <w:szCs w:val="24"/>
        </w:rPr>
        <w:t>7</w:t>
      </w:r>
      <w:r w:rsidR="002C77E2">
        <w:rPr>
          <w:b/>
          <w:sz w:val="24"/>
          <w:szCs w:val="24"/>
        </w:rPr>
        <w:fldChar w:fldCharType="end"/>
      </w:r>
      <w:bookmarkEnd w:id="7"/>
      <w:r w:rsidR="002C77E2">
        <w:rPr>
          <w:b/>
          <w:sz w:val="24"/>
          <w:szCs w:val="24"/>
        </w:rPr>
        <w:fldChar w:fldCharType="begin"/>
      </w:r>
      <w:r w:rsidR="002C77E2">
        <w:rPr>
          <w:b/>
          <w:sz w:val="24"/>
          <w:szCs w:val="24"/>
        </w:rPr>
        <w:fldChar w:fldCharType="end"/>
      </w:r>
      <w:r w:rsidR="00DB6D34" w:rsidRPr="00606EEA">
        <w:rPr>
          <w:b/>
          <w:sz w:val="24"/>
          <w:szCs w:val="24"/>
        </w:rPr>
        <w:t>] SCSC</w:t>
      </w:r>
      <w:r w:rsidR="002C77E2">
        <w:rPr>
          <w:b/>
          <w:sz w:val="24"/>
          <w:szCs w:val="24"/>
        </w:rPr>
        <w:fldChar w:fldCharType="begin">
          <w:ffData>
            <w:name w:val="Text43"/>
            <w:enabled/>
            <w:calcOnExit w:val="0"/>
            <w:textInput/>
          </w:ffData>
        </w:fldChar>
      </w:r>
      <w:bookmarkStart w:id="8" w:name="Text43"/>
      <w:r w:rsidR="00AE3237">
        <w:rPr>
          <w:b/>
          <w:sz w:val="24"/>
          <w:szCs w:val="24"/>
        </w:rPr>
        <w:instrText xml:space="preserve"> FORMTEXT </w:instrText>
      </w:r>
      <w:r w:rsidR="002C77E2">
        <w:rPr>
          <w:b/>
          <w:sz w:val="24"/>
          <w:szCs w:val="24"/>
        </w:rPr>
      </w:r>
      <w:r w:rsidR="002C77E2">
        <w:rPr>
          <w:b/>
          <w:sz w:val="24"/>
          <w:szCs w:val="24"/>
        </w:rPr>
        <w:fldChar w:fldCharType="separate"/>
      </w:r>
      <w:r w:rsidR="00AE3237">
        <w:rPr>
          <w:b/>
          <w:noProof/>
          <w:sz w:val="24"/>
          <w:szCs w:val="24"/>
        </w:rPr>
        <w:t> </w:t>
      </w:r>
      <w:r w:rsidR="00AE3237">
        <w:rPr>
          <w:b/>
          <w:noProof/>
          <w:sz w:val="24"/>
          <w:szCs w:val="24"/>
        </w:rPr>
        <w:t> </w:t>
      </w:r>
      <w:r w:rsidR="00AE3237">
        <w:rPr>
          <w:b/>
          <w:noProof/>
          <w:sz w:val="24"/>
          <w:szCs w:val="24"/>
        </w:rPr>
        <w:t> </w:t>
      </w:r>
      <w:r w:rsidR="00AE3237">
        <w:rPr>
          <w:b/>
          <w:noProof/>
          <w:sz w:val="24"/>
          <w:szCs w:val="24"/>
        </w:rPr>
        <w:t> </w:t>
      </w:r>
      <w:r w:rsidR="00AE3237">
        <w:rPr>
          <w:b/>
          <w:noProof/>
          <w:sz w:val="24"/>
          <w:szCs w:val="24"/>
        </w:rPr>
        <w:t> </w:t>
      </w:r>
      <w:r w:rsidR="002C77E2">
        <w:rPr>
          <w:b/>
          <w:sz w:val="24"/>
          <w:szCs w:val="24"/>
        </w:rPr>
        <w:fldChar w:fldCharType="end"/>
      </w:r>
      <w:bookmarkEnd w:id="8"/>
    </w:p>
    <w:p w:rsidR="00572AB3" w:rsidRDefault="003E56B8" w:rsidP="00572AB3">
      <w:pPr>
        <w:rPr>
          <w:sz w:val="24"/>
          <w:szCs w:val="24"/>
        </w:rPr>
      </w:pPr>
      <w:r>
        <w:rPr>
          <w:sz w:val="24"/>
          <w:szCs w:val="24"/>
        </w:rPr>
        <w:softHyphen/>
      </w:r>
      <w:r>
        <w:rPr>
          <w:sz w:val="24"/>
          <w:szCs w:val="24"/>
        </w:rPr>
        <w:softHyphen/>
      </w:r>
      <w:r>
        <w:rPr>
          <w:sz w:val="24"/>
          <w:szCs w:val="24"/>
        </w:rPr>
        <w:softHyphen/>
        <w:t xml:space="preserve">____________________________________________________________________________  </w:t>
      </w:r>
    </w:p>
    <w:bookmarkStart w:id="9" w:name="Text20"/>
    <w:p w:rsidR="00FB2453" w:rsidRPr="00B119B1" w:rsidRDefault="002C77E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E56B8">
        <w:rPr>
          <w:b/>
          <w:noProof/>
          <w:sz w:val="24"/>
          <w:szCs w:val="24"/>
        </w:rPr>
        <w:t>TODO BORISOV POPOV</w:t>
      </w:r>
      <w:r w:rsidRPr="00B119B1">
        <w:rPr>
          <w:b/>
          <w:sz w:val="24"/>
          <w:szCs w:val="24"/>
        </w:rPr>
        <w:fldChar w:fldCharType="end"/>
      </w:r>
      <w:bookmarkEnd w:id="9"/>
    </w:p>
    <w:bookmarkStart w:id="10" w:name="Dropdown13"/>
    <w:p w:rsidR="00B40898" w:rsidRDefault="002C77E2"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Pr>
          <w:sz w:val="24"/>
          <w:szCs w:val="24"/>
        </w:rPr>
      </w:r>
      <w:r>
        <w:rPr>
          <w:sz w:val="24"/>
          <w:szCs w:val="24"/>
        </w:rPr>
        <w:fldChar w:fldCharType="end"/>
      </w:r>
      <w:bookmarkEnd w:id="10"/>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1" w:name="Text22"/>
    <w:p w:rsidR="00B119B1" w:rsidRDefault="002C77E2"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E56B8">
        <w:rPr>
          <w:b/>
          <w:noProof/>
          <w:sz w:val="24"/>
          <w:szCs w:val="24"/>
        </w:rPr>
        <w:t>LENA PERRIOL DESAUBIN</w:t>
      </w:r>
      <w:r w:rsidRPr="00B119B1">
        <w:rPr>
          <w:b/>
          <w:sz w:val="24"/>
          <w:szCs w:val="24"/>
        </w:rPr>
        <w:fldChar w:fldCharType="end"/>
      </w:r>
      <w:bookmarkEnd w:id="11"/>
    </w:p>
    <w:bookmarkStart w:id="12" w:name="Dropdown14"/>
    <w:p w:rsidR="00B40898" w:rsidRDefault="002C77E2"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Pr>
          <w:sz w:val="24"/>
          <w:szCs w:val="24"/>
        </w:rPr>
      </w:r>
      <w:r>
        <w:rPr>
          <w:sz w:val="24"/>
          <w:szCs w:val="24"/>
        </w:rPr>
        <w:fldChar w:fldCharType="end"/>
      </w:r>
      <w:bookmarkEnd w:id="12"/>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3" w:name="Text34"/>
      <w:r w:rsidR="002C77E2">
        <w:rPr>
          <w:sz w:val="24"/>
          <w:szCs w:val="24"/>
        </w:rPr>
        <w:fldChar w:fldCharType="begin">
          <w:ffData>
            <w:name w:val="Text34"/>
            <w:enabled/>
            <w:calcOnExit w:val="0"/>
            <w:textInput/>
          </w:ffData>
        </w:fldChar>
      </w:r>
      <w:r w:rsidR="002A7376">
        <w:rPr>
          <w:sz w:val="24"/>
          <w:szCs w:val="24"/>
        </w:rPr>
        <w:instrText xml:space="preserve"> FORMTEXT </w:instrText>
      </w:r>
      <w:r w:rsidR="002C77E2">
        <w:rPr>
          <w:sz w:val="24"/>
          <w:szCs w:val="24"/>
        </w:rPr>
      </w:r>
      <w:r w:rsidR="002C77E2">
        <w:rPr>
          <w:sz w:val="24"/>
          <w:szCs w:val="24"/>
        </w:rPr>
        <w:fldChar w:fldCharType="separate"/>
      </w:r>
      <w:r w:rsidR="005C7260">
        <w:rPr>
          <w:noProof/>
          <w:sz w:val="24"/>
          <w:szCs w:val="24"/>
        </w:rPr>
        <w:t>13 July 2017</w:t>
      </w:r>
      <w:r w:rsidR="002C77E2">
        <w:rPr>
          <w:sz w:val="24"/>
          <w:szCs w:val="24"/>
        </w:rPr>
        <w:fldChar w:fldCharType="end"/>
      </w:r>
      <w:bookmarkEnd w:id="13"/>
      <w:r w:rsidR="002C77E2">
        <w:rPr>
          <w:sz w:val="24"/>
          <w:szCs w:val="24"/>
        </w:rPr>
        <w:fldChar w:fldCharType="begin"/>
      </w:r>
      <w:r w:rsidR="002C77E2">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C77E2">
        <w:rPr>
          <w:sz w:val="24"/>
          <w:szCs w:val="24"/>
        </w:rPr>
        <w:fldChar w:fldCharType="begin">
          <w:ffData>
            <w:name w:val="Text28"/>
            <w:enabled/>
            <w:calcOnExit w:val="0"/>
            <w:textInput/>
          </w:ffData>
        </w:fldChar>
      </w:r>
      <w:bookmarkStart w:id="14" w:name="Text28"/>
      <w:r w:rsidR="004C3D80">
        <w:rPr>
          <w:sz w:val="24"/>
          <w:szCs w:val="24"/>
        </w:rPr>
        <w:instrText xml:space="preserve"> FORMTEXT </w:instrText>
      </w:r>
      <w:r w:rsidR="002C77E2">
        <w:rPr>
          <w:sz w:val="24"/>
          <w:szCs w:val="24"/>
        </w:rPr>
      </w:r>
      <w:r w:rsidR="002C77E2">
        <w:rPr>
          <w:sz w:val="24"/>
          <w:szCs w:val="24"/>
        </w:rPr>
        <w:fldChar w:fldCharType="separate"/>
      </w:r>
      <w:r w:rsidR="005C7260">
        <w:rPr>
          <w:noProof/>
          <w:sz w:val="24"/>
          <w:szCs w:val="24"/>
        </w:rPr>
        <w:t xml:space="preserve">Mrs </w:t>
      </w:r>
      <w:r w:rsidR="00F90D87">
        <w:rPr>
          <w:noProof/>
          <w:sz w:val="24"/>
          <w:szCs w:val="24"/>
        </w:rPr>
        <w:t xml:space="preserve">Alexia </w:t>
      </w:r>
      <w:r w:rsidR="005C7260">
        <w:rPr>
          <w:noProof/>
          <w:sz w:val="24"/>
          <w:szCs w:val="24"/>
        </w:rPr>
        <w:t xml:space="preserve">Amesbury </w:t>
      </w:r>
      <w:r w:rsidR="002C77E2">
        <w:rPr>
          <w:sz w:val="24"/>
          <w:szCs w:val="24"/>
        </w:rPr>
        <w:fldChar w:fldCharType="end"/>
      </w:r>
      <w:bookmarkEnd w:id="14"/>
      <w:r w:rsidR="002C77E2">
        <w:rPr>
          <w:sz w:val="24"/>
          <w:szCs w:val="24"/>
        </w:rPr>
        <w:fldChar w:fldCharType="begin"/>
      </w:r>
      <w:r w:rsidR="00F804CC">
        <w:rPr>
          <w:sz w:val="24"/>
          <w:szCs w:val="24"/>
        </w:rPr>
        <w:instrText xml:space="preserve"> ASK  "Enter Appellant Lawyer full name"  \* MERGEFORMAT </w:instrText>
      </w:r>
      <w:r w:rsidR="002C77E2">
        <w:rPr>
          <w:sz w:val="24"/>
          <w:szCs w:val="24"/>
        </w:rPr>
        <w:fldChar w:fldCharType="end"/>
      </w:r>
      <w:r w:rsidR="002C77E2">
        <w:rPr>
          <w:sz w:val="24"/>
          <w:szCs w:val="24"/>
        </w:rPr>
        <w:fldChar w:fldCharType="begin"/>
      </w:r>
      <w:r w:rsidR="002C77E2">
        <w:rPr>
          <w:sz w:val="24"/>
          <w:szCs w:val="24"/>
        </w:rPr>
        <w:fldChar w:fldCharType="end"/>
      </w:r>
      <w:r w:rsidR="009E05E5">
        <w:rPr>
          <w:sz w:val="24"/>
          <w:szCs w:val="24"/>
        </w:rPr>
        <w:t xml:space="preserve">for </w:t>
      </w:r>
      <w:bookmarkStart w:id="15" w:name="Dropdown11"/>
      <w:r w:rsidR="002C77E2">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2C77E2">
        <w:rPr>
          <w:sz w:val="24"/>
          <w:szCs w:val="24"/>
        </w:rPr>
      </w:r>
      <w:r w:rsidR="002C77E2">
        <w:rPr>
          <w:sz w:val="24"/>
          <w:szCs w:val="24"/>
        </w:rPr>
        <w:fldChar w:fldCharType="end"/>
      </w:r>
      <w:bookmarkEnd w:id="15"/>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C77E2">
        <w:rPr>
          <w:sz w:val="24"/>
          <w:szCs w:val="24"/>
        </w:rPr>
        <w:fldChar w:fldCharType="begin">
          <w:ffData>
            <w:name w:val="Text36"/>
            <w:enabled/>
            <w:calcOnExit w:val="0"/>
            <w:textInput/>
          </w:ffData>
        </w:fldChar>
      </w:r>
      <w:bookmarkStart w:id="16" w:name="Text36"/>
      <w:r>
        <w:rPr>
          <w:sz w:val="24"/>
          <w:szCs w:val="24"/>
        </w:rPr>
        <w:instrText xml:space="preserve"> FORMTEXT </w:instrText>
      </w:r>
      <w:r w:rsidR="002C77E2">
        <w:rPr>
          <w:sz w:val="24"/>
          <w:szCs w:val="24"/>
        </w:rPr>
      </w:r>
      <w:r w:rsidR="002C77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C77E2">
        <w:rPr>
          <w:sz w:val="24"/>
          <w:szCs w:val="24"/>
        </w:rPr>
        <w:fldChar w:fldCharType="end"/>
      </w:r>
      <w:bookmarkEnd w:id="1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C77E2">
        <w:rPr>
          <w:sz w:val="24"/>
          <w:szCs w:val="24"/>
        </w:rPr>
        <w:fldChar w:fldCharType="begin">
          <w:ffData>
            <w:name w:val="Text29"/>
            <w:enabled/>
            <w:calcOnExit w:val="0"/>
            <w:textInput/>
          </w:ffData>
        </w:fldChar>
      </w:r>
      <w:bookmarkStart w:id="17" w:name="Text29"/>
      <w:r w:rsidR="004C3D80">
        <w:rPr>
          <w:sz w:val="24"/>
          <w:szCs w:val="24"/>
        </w:rPr>
        <w:instrText xml:space="preserve"> FORMTEXT </w:instrText>
      </w:r>
      <w:r w:rsidR="002C77E2">
        <w:rPr>
          <w:sz w:val="24"/>
          <w:szCs w:val="24"/>
        </w:rPr>
      </w:r>
      <w:r w:rsidR="002C77E2">
        <w:rPr>
          <w:sz w:val="24"/>
          <w:szCs w:val="24"/>
        </w:rPr>
        <w:fldChar w:fldCharType="separate"/>
      </w:r>
      <w:r w:rsidR="005C7260">
        <w:rPr>
          <w:noProof/>
          <w:sz w:val="24"/>
          <w:szCs w:val="24"/>
        </w:rPr>
        <w:t xml:space="preserve">Mrs Samantha Aglae </w:t>
      </w:r>
      <w:r w:rsidR="002C77E2">
        <w:rPr>
          <w:sz w:val="24"/>
          <w:szCs w:val="24"/>
        </w:rPr>
        <w:fldChar w:fldCharType="end"/>
      </w:r>
      <w:bookmarkEnd w:id="17"/>
      <w:r w:rsidR="002C77E2">
        <w:rPr>
          <w:sz w:val="24"/>
          <w:szCs w:val="24"/>
        </w:rPr>
        <w:fldChar w:fldCharType="begin"/>
      </w:r>
      <w:r w:rsidR="00F804CC">
        <w:rPr>
          <w:sz w:val="24"/>
          <w:szCs w:val="24"/>
        </w:rPr>
        <w:instrText xml:space="preserve"> ASK  "Enter Respondent Lawyer Full Name"  \* MERGEFORMAT </w:instrText>
      </w:r>
      <w:r w:rsidR="002C77E2">
        <w:rPr>
          <w:sz w:val="24"/>
          <w:szCs w:val="24"/>
        </w:rPr>
        <w:fldChar w:fldCharType="end"/>
      </w:r>
      <w:r w:rsidR="002C77E2">
        <w:rPr>
          <w:sz w:val="24"/>
          <w:szCs w:val="24"/>
        </w:rPr>
        <w:fldChar w:fldCharType="begin"/>
      </w:r>
      <w:r w:rsidR="002C77E2">
        <w:rPr>
          <w:sz w:val="24"/>
          <w:szCs w:val="24"/>
        </w:rPr>
        <w:fldChar w:fldCharType="end"/>
      </w:r>
      <w:r>
        <w:rPr>
          <w:sz w:val="24"/>
          <w:szCs w:val="24"/>
        </w:rPr>
        <w:t xml:space="preserve">for </w:t>
      </w:r>
      <w:bookmarkStart w:id="18" w:name="Dropdown12"/>
      <w:r w:rsidR="002C77E2">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2C77E2">
        <w:rPr>
          <w:sz w:val="24"/>
          <w:szCs w:val="24"/>
        </w:rPr>
      </w:r>
      <w:r w:rsidR="002C77E2">
        <w:rPr>
          <w:sz w:val="24"/>
          <w:szCs w:val="24"/>
        </w:rPr>
        <w:fldChar w:fldCharType="end"/>
      </w:r>
      <w:bookmarkEnd w:id="18"/>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C77E2">
        <w:rPr>
          <w:sz w:val="24"/>
          <w:szCs w:val="24"/>
        </w:rPr>
        <w:fldChar w:fldCharType="begin">
          <w:ffData>
            <w:name w:val="Text37"/>
            <w:enabled/>
            <w:calcOnExit w:val="0"/>
            <w:textInput/>
          </w:ffData>
        </w:fldChar>
      </w:r>
      <w:bookmarkStart w:id="19" w:name="Text37"/>
      <w:r>
        <w:rPr>
          <w:sz w:val="24"/>
          <w:szCs w:val="24"/>
        </w:rPr>
        <w:instrText xml:space="preserve"> FORMTEXT </w:instrText>
      </w:r>
      <w:r w:rsidR="002C77E2">
        <w:rPr>
          <w:sz w:val="24"/>
          <w:szCs w:val="24"/>
        </w:rPr>
      </w:r>
      <w:r w:rsidR="002C77E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C77E2">
        <w:rPr>
          <w:sz w:val="24"/>
          <w:szCs w:val="24"/>
        </w:rPr>
        <w:fldChar w:fldCharType="end"/>
      </w:r>
      <w:bookmarkEnd w:id="1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0" w:name="Text26"/>
      <w:r w:rsidR="002C77E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C77E2">
        <w:rPr>
          <w:sz w:val="24"/>
          <w:szCs w:val="24"/>
        </w:rPr>
      </w:r>
      <w:r w:rsidR="002C77E2">
        <w:rPr>
          <w:sz w:val="24"/>
          <w:szCs w:val="24"/>
        </w:rPr>
        <w:fldChar w:fldCharType="separate"/>
      </w:r>
      <w:r w:rsidR="005C7260">
        <w:rPr>
          <w:noProof/>
          <w:sz w:val="24"/>
          <w:szCs w:val="24"/>
        </w:rPr>
        <w:t>13 July 2017</w:t>
      </w:r>
      <w:r w:rsidR="002C77E2">
        <w:rPr>
          <w:sz w:val="24"/>
          <w:szCs w:val="24"/>
        </w:rPr>
        <w:fldChar w:fldCharType="end"/>
      </w:r>
      <w:bookmarkEnd w:id="20"/>
    </w:p>
    <w:p w:rsidR="00D06A0F" w:rsidRPr="00C87FCA" w:rsidRDefault="00D06A0F" w:rsidP="00E57D4D">
      <w:pPr>
        <w:pBdr>
          <w:top w:val="dotted" w:sz="4" w:space="1" w:color="auto"/>
          <w:bottom w:val="dotted" w:sz="4" w:space="1" w:color="auto"/>
        </w:pBdr>
        <w:jc w:val="center"/>
        <w:rPr>
          <w:sz w:val="24"/>
          <w:szCs w:val="24"/>
          <w:highlight w:val="lightGray"/>
        </w:rPr>
      </w:pPr>
      <w:bookmarkStart w:id="21" w:name="Dropdown2"/>
    </w:p>
    <w:bookmarkStart w:id="22" w:name="Dropdown8"/>
    <w:bookmarkEnd w:id="21"/>
    <w:p w:rsidR="00C87FCA" w:rsidRDefault="002C77E2"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22"/>
      <w:r w:rsidR="006A2C88">
        <w:rPr>
          <w:b/>
          <w:sz w:val="24"/>
          <w:szCs w:val="24"/>
        </w:rPr>
        <w:t xml:space="preserve"> </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C77E2"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M. Twomey, CJ"/>
              <w:listEntry w:val="R. Govinden, J"/>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3" w:name="Dropdown9"/>
      <w:r w:rsidR="003A7C6B">
        <w:rPr>
          <w:b/>
          <w:sz w:val="24"/>
          <w:szCs w:val="24"/>
        </w:rPr>
        <w:instrText xml:space="preserve"> FORMDROPDOWN </w:instrText>
      </w:r>
      <w:r>
        <w:rPr>
          <w:b/>
          <w:sz w:val="24"/>
          <w:szCs w:val="24"/>
        </w:rPr>
      </w:r>
      <w:r>
        <w:rPr>
          <w:b/>
          <w:sz w:val="24"/>
          <w:szCs w:val="24"/>
        </w:rPr>
        <w:fldChar w:fldCharType="end"/>
      </w:r>
      <w:bookmarkEnd w:id="2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8E46BC" w:rsidRDefault="008E46BC" w:rsidP="00AE3237">
      <w:pPr>
        <w:pStyle w:val="JudgmentText"/>
      </w:pPr>
      <w:r>
        <w:lastRenderedPageBreak/>
        <w:t xml:space="preserve">This </w:t>
      </w:r>
      <w:r w:rsidR="00375C28">
        <w:t xml:space="preserve">is a </w:t>
      </w:r>
      <w:r>
        <w:t xml:space="preserve">Ruling </w:t>
      </w:r>
      <w:r w:rsidR="00302FE9">
        <w:t>in</w:t>
      </w:r>
      <w:r>
        <w:t xml:space="preserve"> an </w:t>
      </w:r>
      <w:r w:rsidR="00302FE9">
        <w:t>A</w:t>
      </w:r>
      <w:r>
        <w:t>pplication for an Interlocutory Injunction dated the 5</w:t>
      </w:r>
      <w:r w:rsidRPr="008E46BC">
        <w:rPr>
          <w:vertAlign w:val="superscript"/>
        </w:rPr>
        <w:t>th</w:t>
      </w:r>
      <w:r>
        <w:t xml:space="preserve"> of June 2017, filed by the </w:t>
      </w:r>
      <w:r w:rsidR="004F03E2">
        <w:t>P</w:t>
      </w:r>
      <w:r>
        <w:t xml:space="preserve">laintiff in the </w:t>
      </w:r>
      <w:r w:rsidR="00F90D87">
        <w:t>P</w:t>
      </w:r>
      <w:r>
        <w:t xml:space="preserve">rincipal </w:t>
      </w:r>
      <w:r w:rsidR="00F90D87">
        <w:t>C</w:t>
      </w:r>
      <w:r>
        <w:t>ase.</w:t>
      </w:r>
    </w:p>
    <w:p w:rsidR="008E46BC" w:rsidRDefault="008E46BC" w:rsidP="00AE3237">
      <w:pPr>
        <w:pStyle w:val="JudgmentText"/>
      </w:pPr>
      <w:r>
        <w:t xml:space="preserve">The Applicant in this matter has filed a plaint before this Court in which as the </w:t>
      </w:r>
      <w:r w:rsidR="004F03E2">
        <w:t>P</w:t>
      </w:r>
      <w:r>
        <w:t>laintiff, claims that he is the owner of Parcel T1914 situated at Takamak</w:t>
      </w:r>
      <w:r w:rsidR="007D05C4">
        <w:t>a</w:t>
      </w:r>
      <w:r>
        <w:t xml:space="preserve"> Mahe.</w:t>
      </w:r>
      <w:r w:rsidR="004F03E2">
        <w:t xml:space="preserve"> </w:t>
      </w:r>
      <w:r>
        <w:t xml:space="preserve">He avers in the plaint that the defendant is the owner of </w:t>
      </w:r>
      <w:r w:rsidR="006236C6">
        <w:t xml:space="preserve">a </w:t>
      </w:r>
      <w:r>
        <w:t xml:space="preserve">Parcel Land </w:t>
      </w:r>
      <w:r w:rsidR="00375C28">
        <w:t xml:space="preserve">adjacent to </w:t>
      </w:r>
      <w:r>
        <w:t>T1914.</w:t>
      </w:r>
      <w:r w:rsidR="004F03E2">
        <w:t xml:space="preserve"> </w:t>
      </w:r>
      <w:r>
        <w:t xml:space="preserve">He avers further that by </w:t>
      </w:r>
      <w:r w:rsidR="00375C28">
        <w:t xml:space="preserve">instrument of </w:t>
      </w:r>
      <w:r>
        <w:t xml:space="preserve">grant of easement dated the </w:t>
      </w:r>
      <w:r w:rsidR="00375C28">
        <w:t>22</w:t>
      </w:r>
      <w:r w:rsidR="00375C28" w:rsidRPr="004F03E2">
        <w:rPr>
          <w:vertAlign w:val="superscript"/>
        </w:rPr>
        <w:t>nd</w:t>
      </w:r>
      <w:r w:rsidR="00375C28">
        <w:t xml:space="preserve"> </w:t>
      </w:r>
      <w:r>
        <w:t xml:space="preserve">of January 2013, the company that sold him </w:t>
      </w:r>
      <w:r w:rsidR="00375C28">
        <w:t xml:space="preserve">the </w:t>
      </w:r>
      <w:r>
        <w:t>Parcel T19</w:t>
      </w:r>
      <w:r w:rsidR="00375C28">
        <w:t>1</w:t>
      </w:r>
      <w:r>
        <w:t xml:space="preserve">4 granted an easement on his property in favour of the </w:t>
      </w:r>
      <w:r w:rsidR="006236C6">
        <w:t>d</w:t>
      </w:r>
      <w:r>
        <w:t>efendant</w:t>
      </w:r>
      <w:r w:rsidR="00375C28">
        <w:t>’s</w:t>
      </w:r>
      <w:r>
        <w:t xml:space="preserve"> property</w:t>
      </w:r>
      <w:r w:rsidR="00F90D87">
        <w:t xml:space="preserve"> and that t</w:t>
      </w:r>
      <w:r>
        <w:t>he easement</w:t>
      </w:r>
      <w:r w:rsidR="004F11B7">
        <w:t xml:space="preserve"> </w:t>
      </w:r>
      <w:r>
        <w:t xml:space="preserve">consist </w:t>
      </w:r>
      <w:r w:rsidR="00375C28">
        <w:t xml:space="preserve">of </w:t>
      </w:r>
      <w:r>
        <w:t>the maintaining of a septic tank and running of a water pipe across Parcel T1914.</w:t>
      </w:r>
    </w:p>
    <w:p w:rsidR="00302FE9" w:rsidRDefault="008E46BC" w:rsidP="00AE3237">
      <w:pPr>
        <w:pStyle w:val="JudgmentText"/>
      </w:pPr>
      <w:r>
        <w:lastRenderedPageBreak/>
        <w:t xml:space="preserve">He </w:t>
      </w:r>
      <w:r w:rsidR="00375C28">
        <w:t>f</w:t>
      </w:r>
      <w:r>
        <w:t>urther</w:t>
      </w:r>
      <w:r w:rsidR="00375C28">
        <w:t xml:space="preserve"> avers in his plaint</w:t>
      </w:r>
      <w:r>
        <w:t xml:space="preserve"> that having purchased the property he had sought and obtained planning approval to </w:t>
      </w:r>
      <w:r w:rsidR="00375C28">
        <w:t xml:space="preserve">develop a residential accommodation </w:t>
      </w:r>
      <w:r>
        <w:t>thereon.</w:t>
      </w:r>
      <w:r w:rsidR="004F03E2">
        <w:t xml:space="preserve"> </w:t>
      </w:r>
      <w:r>
        <w:t>The Applicant</w:t>
      </w:r>
      <w:r w:rsidR="00302FE9">
        <w:t xml:space="preserve"> </w:t>
      </w:r>
      <w:r w:rsidR="00375C28">
        <w:t>further</w:t>
      </w:r>
      <w:r>
        <w:t xml:space="preserve"> avers</w:t>
      </w:r>
      <w:r w:rsidR="006236C6">
        <w:t>,</w:t>
      </w:r>
      <w:r>
        <w:t xml:space="preserve"> </w:t>
      </w:r>
      <w:r w:rsidR="00375C28">
        <w:t>in his plaint</w:t>
      </w:r>
      <w:r w:rsidR="006236C6">
        <w:t>,</w:t>
      </w:r>
      <w:r w:rsidR="00375C28">
        <w:t xml:space="preserve"> </w:t>
      </w:r>
      <w:r>
        <w:t xml:space="preserve">that the company that sold him the plot failed to inform him of the existence of the easement and that he never consented to the </w:t>
      </w:r>
      <w:r w:rsidR="00375C28">
        <w:t xml:space="preserve">granting of the </w:t>
      </w:r>
      <w:r>
        <w:t>easement.</w:t>
      </w:r>
      <w:r w:rsidR="004F03E2">
        <w:t xml:space="preserve"> </w:t>
      </w:r>
      <w:r>
        <w:t>The Applicant avers</w:t>
      </w:r>
      <w:r w:rsidR="00F90D87">
        <w:t xml:space="preserve"> further</w:t>
      </w:r>
      <w:r>
        <w:t xml:space="preserve"> that as </w:t>
      </w:r>
      <w:r w:rsidR="00375C28">
        <w:t xml:space="preserve">a </w:t>
      </w:r>
      <w:r>
        <w:t xml:space="preserve">successor </w:t>
      </w:r>
      <w:r w:rsidR="00375C28">
        <w:t>in</w:t>
      </w:r>
      <w:r w:rsidR="00F90D87">
        <w:t xml:space="preserve"> title</w:t>
      </w:r>
      <w:r w:rsidR="00375C28">
        <w:t xml:space="preserve"> </w:t>
      </w:r>
      <w:r>
        <w:t>he can ask for the removal of the easement</w:t>
      </w:r>
      <w:r w:rsidR="00375C28">
        <w:t xml:space="preserve"> and he has asked for the removal</w:t>
      </w:r>
      <w:r w:rsidR="006236C6">
        <w:t>,</w:t>
      </w:r>
      <w:r w:rsidR="00375C28">
        <w:t xml:space="preserve"> h</w:t>
      </w:r>
      <w:r>
        <w:t>owever</w:t>
      </w:r>
      <w:r w:rsidR="006236C6">
        <w:t>,</w:t>
      </w:r>
      <w:r>
        <w:t xml:space="preserve"> the Respondent has </w:t>
      </w:r>
      <w:r w:rsidR="00375C28">
        <w:t>refused</w:t>
      </w:r>
      <w:r>
        <w:t xml:space="preserve"> to remove same. He further claim</w:t>
      </w:r>
      <w:r w:rsidR="00375C28">
        <w:t>ed</w:t>
      </w:r>
      <w:r>
        <w:t xml:space="preserve"> that at any rate the easement has become too on</w:t>
      </w:r>
      <w:r w:rsidR="00375C28">
        <w:t>erous</w:t>
      </w:r>
      <w:r>
        <w:t xml:space="preserve"> </w:t>
      </w:r>
      <w:r w:rsidR="00375C28">
        <w:t xml:space="preserve">on Parcel </w:t>
      </w:r>
      <w:r>
        <w:t>T1914 and that</w:t>
      </w:r>
      <w:r w:rsidR="006236C6">
        <w:t xml:space="preserve"> as a result</w:t>
      </w:r>
      <w:r>
        <w:t xml:space="preserve"> he cannot enjoy his land to </w:t>
      </w:r>
      <w:r w:rsidR="00375C28">
        <w:t>his fullest.</w:t>
      </w:r>
      <w:r w:rsidR="00302FE9">
        <w:t xml:space="preserve"> </w:t>
      </w:r>
      <w:r>
        <w:t>For this reason, he ask</w:t>
      </w:r>
      <w:r w:rsidR="00375C28">
        <w:t>ed</w:t>
      </w:r>
      <w:r>
        <w:t xml:space="preserve"> the Court to order for the removal of the easement and to relocate it on the Respondent’s property.</w:t>
      </w:r>
    </w:p>
    <w:p w:rsidR="008E46BC" w:rsidRDefault="004F03E2" w:rsidP="00AE3237">
      <w:pPr>
        <w:pStyle w:val="JudgmentText"/>
      </w:pPr>
      <w:r>
        <w:t xml:space="preserve"> </w:t>
      </w:r>
      <w:r w:rsidR="008E46BC">
        <w:t xml:space="preserve">Together with the Plaint, the Applicant has filed this </w:t>
      </w:r>
      <w:r w:rsidR="006236C6">
        <w:t>N</w:t>
      </w:r>
      <w:r w:rsidR="008E46BC">
        <w:t xml:space="preserve">otice of </w:t>
      </w:r>
      <w:r w:rsidR="006236C6">
        <w:t>M</w:t>
      </w:r>
      <w:r w:rsidR="008E46BC">
        <w:t xml:space="preserve">otion accompanied </w:t>
      </w:r>
      <w:r w:rsidR="00375C28">
        <w:t xml:space="preserve">by an </w:t>
      </w:r>
      <w:r w:rsidR="008E46BC">
        <w:t>affidavit</w:t>
      </w:r>
      <w:r w:rsidR="00F90D87">
        <w:t>,</w:t>
      </w:r>
      <w:r w:rsidR="008E46BC">
        <w:t xml:space="preserve"> of which he is the deponent. The</w:t>
      </w:r>
      <w:r w:rsidR="00F90D87">
        <w:t>rein, the</w:t>
      </w:r>
      <w:r w:rsidR="008E46BC">
        <w:t xml:space="preserve"> Applicant </w:t>
      </w:r>
      <w:r w:rsidR="00375C28">
        <w:t xml:space="preserve">motioned </w:t>
      </w:r>
      <w:r w:rsidR="008E46BC">
        <w:t>the Court to issue an interlocutory injunction ordering that the septic tank</w:t>
      </w:r>
      <w:r w:rsidR="00302FE9">
        <w:t>,</w:t>
      </w:r>
      <w:r w:rsidR="006236C6">
        <w:t xml:space="preserve"> that he avers is defective</w:t>
      </w:r>
      <w:r w:rsidR="008E46BC">
        <w:t xml:space="preserve"> </w:t>
      </w:r>
      <w:r w:rsidR="00302FE9">
        <w:t>and e</w:t>
      </w:r>
      <w:r w:rsidR="00375C28">
        <w:t>ncumbers his property</w:t>
      </w:r>
      <w:r w:rsidR="00302FE9">
        <w:t xml:space="preserve">, </w:t>
      </w:r>
      <w:r w:rsidR="00375C28" w:rsidRPr="004F11B7">
        <w:t>be</w:t>
      </w:r>
      <w:r w:rsidR="008E46BC" w:rsidRPr="004F11B7">
        <w:t xml:space="preserve"> removed</w:t>
      </w:r>
      <w:r w:rsidR="008E46BC">
        <w:t xml:space="preserve"> from his property and </w:t>
      </w:r>
      <w:r w:rsidR="008E46BC" w:rsidRPr="004F11B7">
        <w:t>be placed</w:t>
      </w:r>
      <w:r w:rsidR="008E46BC">
        <w:t xml:space="preserve"> on the Respondent’s property.</w:t>
      </w:r>
    </w:p>
    <w:p w:rsidR="008E46BC" w:rsidRPr="004F03E2" w:rsidRDefault="008E46BC" w:rsidP="00AE3237">
      <w:pPr>
        <w:pStyle w:val="JudgmentText"/>
      </w:pPr>
      <w:r>
        <w:t xml:space="preserve">The </w:t>
      </w:r>
      <w:r w:rsidR="00375C28">
        <w:t>t</w:t>
      </w:r>
      <w:r w:rsidR="004319AE">
        <w:t>h</w:t>
      </w:r>
      <w:r w:rsidR="00375C28">
        <w:t>rust</w:t>
      </w:r>
      <w:r>
        <w:t xml:space="preserve"> of the Applicant’s motion is </w:t>
      </w:r>
      <w:r w:rsidR="00375C28">
        <w:t>founded on</w:t>
      </w:r>
      <w:r>
        <w:t xml:space="preserve"> the same ground as </w:t>
      </w:r>
      <w:r w:rsidR="00375C28">
        <w:t>that of his plaint</w:t>
      </w:r>
      <w:r>
        <w:t xml:space="preserve">. The Applicant avers that the easement was registered </w:t>
      </w:r>
      <w:r w:rsidR="00375C28">
        <w:t>against</w:t>
      </w:r>
      <w:r>
        <w:t xml:space="preserve"> his property after he purchased it.  He </w:t>
      </w:r>
      <w:r w:rsidR="00375C28">
        <w:t xml:space="preserve">further </w:t>
      </w:r>
      <w:r>
        <w:t>avers that he had received a letter from the Ministry of Health to the effect that the septic tank is defective and is causing a nuisance.  He avers</w:t>
      </w:r>
      <w:r w:rsidR="004F11B7">
        <w:t xml:space="preserve"> that</w:t>
      </w:r>
      <w:r w:rsidR="004319AE">
        <w:t xml:space="preserve"> as a result of th</w:t>
      </w:r>
      <w:r w:rsidR="00302FE9">
        <w:t>e</w:t>
      </w:r>
      <w:r w:rsidR="004319AE">
        <w:t xml:space="preserve"> septic tank being present on his property</w:t>
      </w:r>
      <w:r>
        <w:t xml:space="preserve"> </w:t>
      </w:r>
      <w:r w:rsidR="00375C28">
        <w:t xml:space="preserve">he </w:t>
      </w:r>
      <w:r>
        <w:t>is prevent</w:t>
      </w:r>
      <w:r w:rsidR="004319AE">
        <w:t>ed</w:t>
      </w:r>
      <w:r>
        <w:t xml:space="preserve"> from </w:t>
      </w:r>
      <w:r w:rsidR="00375C28">
        <w:t xml:space="preserve">developing </w:t>
      </w:r>
      <w:r>
        <w:t xml:space="preserve">his property to </w:t>
      </w:r>
      <w:r w:rsidR="00375C28">
        <w:t>the</w:t>
      </w:r>
      <w:r>
        <w:t xml:space="preserve"> full</w:t>
      </w:r>
      <w:r w:rsidR="00375C28">
        <w:t>est and that this has to be</w:t>
      </w:r>
      <w:r>
        <w:t xml:space="preserve"> relocated on the Respondent’s land. </w:t>
      </w:r>
      <w:r w:rsidRPr="004F03E2">
        <w:t xml:space="preserve">The Applicant attached </w:t>
      </w:r>
      <w:r w:rsidR="00375C28" w:rsidRPr="004F03E2">
        <w:t>certain documentation</w:t>
      </w:r>
      <w:r w:rsidR="004319AE">
        <w:t>s</w:t>
      </w:r>
      <w:r w:rsidR="00375C28" w:rsidRPr="004F03E2">
        <w:t xml:space="preserve"> </w:t>
      </w:r>
      <w:r w:rsidRPr="004F03E2">
        <w:t>to his affidavit</w:t>
      </w:r>
      <w:r w:rsidR="004319AE">
        <w:t>,</w:t>
      </w:r>
      <w:r w:rsidRPr="004F03E2">
        <w:t xml:space="preserve"> being a copy of the </w:t>
      </w:r>
      <w:r w:rsidR="00375C28" w:rsidRPr="004F03E2">
        <w:t xml:space="preserve">instrument of grant </w:t>
      </w:r>
      <w:r w:rsidRPr="004F03E2">
        <w:t>of easement</w:t>
      </w:r>
      <w:r w:rsidR="00302FE9">
        <w:t>;</w:t>
      </w:r>
      <w:r w:rsidRPr="004F03E2">
        <w:t xml:space="preserve"> </w:t>
      </w:r>
      <w:r w:rsidR="00302FE9">
        <w:t>a</w:t>
      </w:r>
      <w:r w:rsidR="00375C28" w:rsidRPr="004F03E2">
        <w:t xml:space="preserve"> </w:t>
      </w:r>
      <w:r w:rsidRPr="004F03E2">
        <w:t>letter from the Ministry of Health</w:t>
      </w:r>
      <w:r w:rsidR="00375C28" w:rsidRPr="004F03E2">
        <w:t xml:space="preserve"> and then </w:t>
      </w:r>
      <w:r w:rsidRPr="004F03E2">
        <w:t>a bundle of photographs showing the extent of the</w:t>
      </w:r>
      <w:r w:rsidR="00375C28" w:rsidRPr="004F03E2">
        <w:t xml:space="preserve"> </w:t>
      </w:r>
      <w:r w:rsidRPr="004F03E2">
        <w:t>pollution</w:t>
      </w:r>
      <w:r w:rsidR="00375C28" w:rsidRPr="004F03E2">
        <w:t xml:space="preserve"> caused by the defective septic tank.</w:t>
      </w:r>
    </w:p>
    <w:p w:rsidR="008E46BC" w:rsidRDefault="008E46BC" w:rsidP="008E46BC">
      <w:pPr>
        <w:pStyle w:val="JudgmentText"/>
      </w:pPr>
      <w:r>
        <w:t>The Respondent,</w:t>
      </w:r>
      <w:r w:rsidR="00375C28">
        <w:t xml:space="preserve"> </w:t>
      </w:r>
      <w:r>
        <w:t>on the other hand</w:t>
      </w:r>
      <w:r w:rsidR="004319AE">
        <w:t>,</w:t>
      </w:r>
      <w:r>
        <w:t xml:space="preserve"> filed an objection to the Application for an Interlocutory Injunction.</w:t>
      </w:r>
      <w:r w:rsidR="004F11B7">
        <w:t xml:space="preserve">  </w:t>
      </w:r>
      <w:r>
        <w:t xml:space="preserve">In </w:t>
      </w:r>
      <w:r w:rsidR="00375C28">
        <w:t>her</w:t>
      </w:r>
      <w:r>
        <w:t xml:space="preserve"> objection the Respondent avers that the easement </w:t>
      </w:r>
      <w:r w:rsidR="00375C28">
        <w:t xml:space="preserve">binds </w:t>
      </w:r>
      <w:r>
        <w:t>the owner of Parcel T1914, and he</w:t>
      </w:r>
      <w:r w:rsidR="00375C28">
        <w:t>r</w:t>
      </w:r>
      <w:r>
        <w:t xml:space="preserve"> heirs</w:t>
      </w:r>
      <w:r w:rsidR="004319AE">
        <w:t>,</w:t>
      </w:r>
      <w:r>
        <w:t xml:space="preserve"> </w:t>
      </w:r>
      <w:r w:rsidR="00375C28">
        <w:t>assignee</w:t>
      </w:r>
      <w:r>
        <w:t xml:space="preserve"> and successor in</w:t>
      </w:r>
      <w:r w:rsidR="00375C28">
        <w:t xml:space="preserve"> title</w:t>
      </w:r>
      <w:r>
        <w:t xml:space="preserve"> and that the easement was registered prior to the sale of</w:t>
      </w:r>
      <w:r w:rsidR="00375C28">
        <w:t xml:space="preserve"> the</w:t>
      </w:r>
      <w:r>
        <w:t xml:space="preserve"> Parcel </w:t>
      </w:r>
      <w:r w:rsidR="00375C28">
        <w:t xml:space="preserve">of  </w:t>
      </w:r>
      <w:r>
        <w:t>T1914 to the Applicant.</w:t>
      </w:r>
    </w:p>
    <w:p w:rsidR="00375C28" w:rsidRDefault="008E46BC" w:rsidP="008E46BC">
      <w:pPr>
        <w:pStyle w:val="JudgmentText"/>
      </w:pPr>
      <w:r>
        <w:lastRenderedPageBreak/>
        <w:t xml:space="preserve">The </w:t>
      </w:r>
      <w:r w:rsidR="00302FE9">
        <w:t>Respondent</w:t>
      </w:r>
      <w:r>
        <w:t xml:space="preserve"> further avers that the</w:t>
      </w:r>
      <w:r w:rsidR="00375C28">
        <w:t xml:space="preserve"> letter to the Ministry of Health refers by the Applicant does not request for the removal of the soak away pit.</w:t>
      </w:r>
      <w:r w:rsidR="00375C28">
        <w:tab/>
      </w:r>
    </w:p>
    <w:p w:rsidR="008E46BC" w:rsidRDefault="008E46BC" w:rsidP="008E46BC">
      <w:pPr>
        <w:pStyle w:val="JudgmentText"/>
      </w:pPr>
      <w:r>
        <w:t>The Respondent</w:t>
      </w:r>
      <w:r w:rsidR="00375C28">
        <w:t xml:space="preserve"> </w:t>
      </w:r>
      <w:r w:rsidR="00302FE9">
        <w:t>also</w:t>
      </w:r>
      <w:r w:rsidR="00375C28">
        <w:t xml:space="preserve"> </w:t>
      </w:r>
      <w:r>
        <w:t>avers</w:t>
      </w:r>
      <w:r w:rsidR="00375C28">
        <w:t xml:space="preserve"> that the application is misconceived and that it is an attempt on the part of the Applicant to have the object of the easement removed altogether and therefore defeat the cause in the main suit before this Court.</w:t>
      </w:r>
      <w:r>
        <w:t xml:space="preserve"> The Respondents avers that the soak away pit</w:t>
      </w:r>
      <w:r w:rsidR="00375C28">
        <w:t xml:space="preserve"> was in good condition until it was damaged by the </w:t>
      </w:r>
      <w:r w:rsidR="00F90D87">
        <w:t>a</w:t>
      </w:r>
      <w:r w:rsidR="00375C28">
        <w:t>gents of the Applicant.</w:t>
      </w:r>
      <w:r>
        <w:t xml:space="preserve"> The Respondent avers further that the </w:t>
      </w:r>
      <w:r w:rsidR="00375C28">
        <w:t xml:space="preserve">soak away pit does not hinder the development of the </w:t>
      </w:r>
      <w:r>
        <w:t>Applicant</w:t>
      </w:r>
      <w:r w:rsidR="00375C28">
        <w:t xml:space="preserve">’s land and the Planning Authority had asked the Applicant to </w:t>
      </w:r>
      <w:r w:rsidR="004319AE">
        <w:t>hoard off</w:t>
      </w:r>
      <w:r w:rsidR="00375C28">
        <w:t xml:space="preserve"> the pit whilst any development was taking place on his land.</w:t>
      </w:r>
      <w:r>
        <w:t xml:space="preserve"> </w:t>
      </w:r>
      <w:r w:rsidR="00375C28">
        <w:t>The Respondent avers further that the Applicant purchased the property fully aware of the encumbrance and that the Applicant as such should bear any cost regarding the reparation of same</w:t>
      </w:r>
      <w:r>
        <w:t xml:space="preserve">.    </w:t>
      </w:r>
    </w:p>
    <w:p w:rsidR="00375C28" w:rsidRDefault="0037011B" w:rsidP="0037011B">
      <w:pPr>
        <w:pStyle w:val="JudgmentText"/>
      </w:pPr>
      <w:r>
        <w:t>During</w:t>
      </w:r>
      <w:r w:rsidR="00375C28">
        <w:t xml:space="preserve"> the course of the h</w:t>
      </w:r>
      <w:r>
        <w:t>earing</w:t>
      </w:r>
      <w:r w:rsidR="00F90D87">
        <w:t xml:space="preserve"> learned </w:t>
      </w:r>
      <w:r>
        <w:t>Counsel for the Applicant</w:t>
      </w:r>
      <w:r w:rsidR="00302FE9">
        <w:t xml:space="preserve"> took certain preliminary objections and</w:t>
      </w:r>
      <w:r>
        <w:t xml:space="preserve"> submitted </w:t>
      </w:r>
      <w:r w:rsidR="004319AE">
        <w:t xml:space="preserve">that the affidavit </w:t>
      </w:r>
      <w:r>
        <w:t xml:space="preserve">of the Respondent is defective in that there is no </w:t>
      </w:r>
      <w:r w:rsidR="00375C28">
        <w:t xml:space="preserve">proper reference to the different items attached to </w:t>
      </w:r>
      <w:r w:rsidR="00D17A2E">
        <w:t xml:space="preserve">the </w:t>
      </w:r>
      <w:r w:rsidR="00375C28">
        <w:t>Respondent’s affidavit</w:t>
      </w:r>
      <w:r w:rsidR="00D17A2E">
        <w:t>s</w:t>
      </w:r>
      <w:r w:rsidR="00302FE9">
        <w:t xml:space="preserve"> and</w:t>
      </w:r>
      <w:r w:rsidR="00F90D87">
        <w:t xml:space="preserve"> argues that </w:t>
      </w:r>
      <w:r w:rsidR="00375C28">
        <w:t>as such these documentation are not exhibited and reference and should be ignored by this Court.</w:t>
      </w:r>
    </w:p>
    <w:p w:rsidR="00375C28" w:rsidRDefault="00375C28" w:rsidP="0037011B">
      <w:pPr>
        <w:pStyle w:val="JudgmentText"/>
      </w:pPr>
      <w:r>
        <w:t>The Applicant’s Counsel refers to the Applicant’s affidavit as a proper reference point on how affidavit should be drafted</w:t>
      </w:r>
      <w:r w:rsidR="004319AE">
        <w:t xml:space="preserve">, </w:t>
      </w:r>
      <w:r>
        <w:t>couched and reference</w:t>
      </w:r>
      <w:r w:rsidR="00D17A2E">
        <w:t>d</w:t>
      </w:r>
      <w:r>
        <w:t>. Counsel for the Applicant also attempted to develop an argument against the legality of the encumbrance but abandoned this argument given its relevancy to the main action.</w:t>
      </w:r>
    </w:p>
    <w:p w:rsidR="00375C28" w:rsidRDefault="00375C28" w:rsidP="0037011B">
      <w:pPr>
        <w:pStyle w:val="JudgmentText"/>
      </w:pPr>
      <w:r>
        <w:t>On the merits of the application</w:t>
      </w:r>
      <w:r w:rsidR="00D17A2E">
        <w:t>,</w:t>
      </w:r>
      <w:r>
        <w:t xml:space="preserve"> Applicant</w:t>
      </w:r>
      <w:r w:rsidR="00302FE9">
        <w:t>’s</w:t>
      </w:r>
      <w:r>
        <w:t xml:space="preserve"> Counsel repeated the argument raised in the plaint</w:t>
      </w:r>
      <w:r w:rsidR="004F11B7">
        <w:t xml:space="preserve"> </w:t>
      </w:r>
      <w:r>
        <w:t>and she argues further that her client was not informed of the existence of the easement at the time the property was transferred.  And that</w:t>
      </w:r>
      <w:r w:rsidR="00302FE9">
        <w:t>,</w:t>
      </w:r>
      <w:r>
        <w:t xml:space="preserve"> moreover</w:t>
      </w:r>
      <w:r w:rsidR="00302FE9">
        <w:t>,</w:t>
      </w:r>
      <w:r>
        <w:t xml:space="preserve"> the septic tank is now broken</w:t>
      </w:r>
      <w:r w:rsidR="004F11B7">
        <w:t>,</w:t>
      </w:r>
      <w:r>
        <w:t xml:space="preserve"> defective and causing an environmental hazard. She refers to this Court to numerous photographs attached to the affidavit of the Applicant in that regards.</w:t>
      </w:r>
    </w:p>
    <w:p w:rsidR="00375C28" w:rsidRDefault="00375C28" w:rsidP="0037011B">
      <w:pPr>
        <w:pStyle w:val="JudgmentText"/>
      </w:pPr>
      <w:r>
        <w:t xml:space="preserve">Learned Counsel argues that that the Applicant </w:t>
      </w:r>
      <w:r w:rsidR="004F11B7">
        <w:t>has</w:t>
      </w:r>
      <w:r>
        <w:t xml:space="preserve"> the means to relocate the effective septic tank onto the Respondent’s property.  She argues that the balance of convenience </w:t>
      </w:r>
      <w:r>
        <w:lastRenderedPageBreak/>
        <w:t>in this case is on the side of the Applicant and that the Respondent will suffer no injustice.</w:t>
      </w:r>
    </w:p>
    <w:p w:rsidR="00375C28" w:rsidRDefault="00302FE9" w:rsidP="0037011B">
      <w:pPr>
        <w:pStyle w:val="JudgmentText"/>
      </w:pPr>
      <w:r>
        <w:t>L</w:t>
      </w:r>
      <w:r w:rsidR="00F90D87">
        <w:t xml:space="preserve">earned Counsel </w:t>
      </w:r>
      <w:r w:rsidR="00375C28">
        <w:t>for the Respondent, on the other hand</w:t>
      </w:r>
      <w:r w:rsidR="00203A44">
        <w:t>,</w:t>
      </w:r>
      <w:r w:rsidR="00375C28">
        <w:t xml:space="preserve"> argued that the easement is proper and legal and the Court should find that this is a matter that</w:t>
      </w:r>
      <w:r w:rsidR="00D17A2E">
        <w:t xml:space="preserve"> </w:t>
      </w:r>
      <w:r w:rsidR="00375C28">
        <w:t>should remain</w:t>
      </w:r>
      <w:r w:rsidR="00203A44">
        <w:t xml:space="preserve"> to be decided in</w:t>
      </w:r>
      <w:r w:rsidR="00375C28">
        <w:t xml:space="preserve"> the main</w:t>
      </w:r>
      <w:r w:rsidR="00203A44">
        <w:t xml:space="preserve"> case</w:t>
      </w:r>
      <w:r w:rsidR="00375C28">
        <w:t xml:space="preserve">.  </w:t>
      </w:r>
      <w:r w:rsidR="00203A44">
        <w:t>Mrs Aglae argued</w:t>
      </w:r>
      <w:r w:rsidR="00375C28">
        <w:t xml:space="preserve"> that if the Court is to grant the prayer as prayed for in this application for an injunction it will consist of disposing the merits of the main matter in the plaint before this Court. She</w:t>
      </w:r>
      <w:r>
        <w:t xml:space="preserve"> also</w:t>
      </w:r>
      <w:r w:rsidR="00375C28">
        <w:t xml:space="preserve"> argues that there is no requirement in law for there to be stated in the transfer document that the land is to be transferred subject to an easement. She argues that at any rate it is clear on the evidence that the transferee and the transferor was aware of the existence of easement at the time of transfer.</w:t>
      </w:r>
    </w:p>
    <w:p w:rsidR="00375C28" w:rsidRDefault="00302FE9" w:rsidP="00375C28">
      <w:pPr>
        <w:pStyle w:val="JudgmentText"/>
      </w:pPr>
      <w:r>
        <w:t xml:space="preserve">Counsel for the Respondent </w:t>
      </w:r>
      <w:r w:rsidR="00375C28">
        <w:t>further submit that the Town and Country Planning Authority upon giving development permission to the developer</w:t>
      </w:r>
      <w:r>
        <w:t>,</w:t>
      </w:r>
      <w:r w:rsidR="00375C28">
        <w:t xml:space="preserve"> indicated to the developer  that there was the existence of the easement and that he was informed that this has to be</w:t>
      </w:r>
      <w:r w:rsidR="004F11B7">
        <w:t xml:space="preserve">  </w:t>
      </w:r>
      <w:r w:rsidR="00203A44">
        <w:t>hoarded off.</w:t>
      </w:r>
      <w:r w:rsidR="00375C28">
        <w:rPr>
          <w:b/>
        </w:rPr>
        <w:t xml:space="preserve"> </w:t>
      </w:r>
      <w:r w:rsidR="00375C28">
        <w:t xml:space="preserve"> And as a result the balance of convenience is in favour of the Respondent.</w:t>
      </w:r>
    </w:p>
    <w:p w:rsidR="00375C28" w:rsidRDefault="00375C28" w:rsidP="00375C28">
      <w:pPr>
        <w:pStyle w:val="JudgmentText"/>
      </w:pPr>
      <w:r>
        <w:t xml:space="preserve">The law on matters of interlocutory injunction is well settled in this jurisdiction.  Interlocutory injunction is a matter of discretion of this Court in terms of Section 6 of the Court’s Act Section 304 of the Civil Procedure Code.     </w:t>
      </w:r>
    </w:p>
    <w:p w:rsidR="00375C28" w:rsidRDefault="00375C28" w:rsidP="00375C28">
      <w:pPr>
        <w:pStyle w:val="JudgmentText"/>
      </w:pPr>
      <w:r>
        <w:t>The Court will grant this remedy in order to prevent irreparable harm</w:t>
      </w:r>
      <w:r w:rsidR="00302FE9">
        <w:t>s</w:t>
      </w:r>
      <w:r>
        <w:t xml:space="preserve"> that may be caused </w:t>
      </w:r>
      <w:r w:rsidR="00203A44">
        <w:t xml:space="preserve">to a party </w:t>
      </w:r>
      <w:r>
        <w:t xml:space="preserve">and </w:t>
      </w:r>
      <w:r w:rsidR="00F90D87">
        <w:t xml:space="preserve">where </w:t>
      </w:r>
      <w:r>
        <w:t>those harm</w:t>
      </w:r>
      <w:r w:rsidR="00302FE9">
        <w:t>s</w:t>
      </w:r>
      <w:r>
        <w:t xml:space="preserve"> may be not remedied by damages</w:t>
      </w:r>
      <w:r w:rsidR="00203A44">
        <w:t>.</w:t>
      </w:r>
      <w:r>
        <w:t xml:space="preserve"> </w:t>
      </w:r>
      <w:r w:rsidR="00203A44">
        <w:t>T</w:t>
      </w:r>
      <w:r>
        <w:t xml:space="preserve">his </w:t>
      </w:r>
      <w:r w:rsidR="00203A44">
        <w:t xml:space="preserve">order is given </w:t>
      </w:r>
      <w:r>
        <w:t>pending the determination of the main case.</w:t>
      </w:r>
    </w:p>
    <w:p w:rsidR="00375C28" w:rsidRDefault="00375C28" w:rsidP="00375C28">
      <w:pPr>
        <w:pStyle w:val="JudgmentText"/>
      </w:pPr>
      <w:r>
        <w:t>There must</w:t>
      </w:r>
      <w:r w:rsidR="00203A44">
        <w:t xml:space="preserve"> also</w:t>
      </w:r>
      <w:r>
        <w:t xml:space="preserve"> be</w:t>
      </w:r>
      <w:r w:rsidR="00302FE9">
        <w:t xml:space="preserve"> a</w:t>
      </w:r>
      <w:r>
        <w:t xml:space="preserve"> substantive and arguable case on the merits. The Court in considering whether to grant or refuse an injunction should consider the balance of convenience and hardship between the parties.  It is for the Applicant to show that the inconvenience he will suffer as a result is greater than that which the Respondent will suffer. This jurisdiction is subject to equity, fairness, good faith and the practical convenience depending on the facts and circumstances of a case.</w:t>
      </w:r>
    </w:p>
    <w:p w:rsidR="00203A44" w:rsidRDefault="00375C28" w:rsidP="004F11B7">
      <w:pPr>
        <w:pStyle w:val="JudgmentText"/>
      </w:pPr>
      <w:r>
        <w:lastRenderedPageBreak/>
        <w:t>I have given careful consideration to the submissions of both parties</w:t>
      </w:r>
      <w:r w:rsidR="00D17A2E">
        <w:t>;</w:t>
      </w:r>
      <w:r>
        <w:t xml:space="preserve"> affidavits evidence and pleadings filed before this Court.  I see that there is a difference of language used by each parties as to the description of the encumbrance.  One party alleges that it’s a septic tank, the other that is a soak away pit. The Court finds</w:t>
      </w:r>
      <w:r w:rsidR="004F11B7">
        <w:t xml:space="preserve"> </w:t>
      </w:r>
      <w:r w:rsidR="00203A44">
        <w:t>that irrespective of the</w:t>
      </w:r>
      <w:r>
        <w:t xml:space="preserve"> description of the encumbrance</w:t>
      </w:r>
      <w:r w:rsidR="00203A44">
        <w:t xml:space="preserve"> it is clear</w:t>
      </w:r>
      <w:r>
        <w:t xml:space="preserve"> </w:t>
      </w:r>
      <w:r w:rsidR="00F90D87">
        <w:t>that</w:t>
      </w:r>
      <w:r>
        <w:t xml:space="preserve"> </w:t>
      </w:r>
      <w:r w:rsidR="00D17A2E">
        <w:t>all</w:t>
      </w:r>
      <w:r>
        <w:t xml:space="preserve"> parties agree that the encumbrance consist of </w:t>
      </w:r>
      <w:r w:rsidR="00203A44">
        <w:t xml:space="preserve">something </w:t>
      </w:r>
      <w:r>
        <w:t xml:space="preserve">receiving </w:t>
      </w:r>
      <w:r w:rsidR="00203A44">
        <w:t>heavy waste affluent</w:t>
      </w:r>
      <w:r w:rsidR="004F11B7" w:rsidRPr="00F90D87">
        <w:rPr>
          <w:b/>
        </w:rPr>
        <w:t xml:space="preserve"> </w:t>
      </w:r>
      <w:r w:rsidR="004F11B7">
        <w:t>from the Respondent’s property.</w:t>
      </w:r>
      <w:r w:rsidR="00F90D87">
        <w:t xml:space="preserve"> </w:t>
      </w:r>
      <w:r w:rsidR="004F11B7">
        <w:t>This as it may</w:t>
      </w:r>
      <w:r w:rsidR="00203A44">
        <w:t>,</w:t>
      </w:r>
      <w:r w:rsidR="004F11B7">
        <w:t xml:space="preserve"> I find that the Applicant attached a letter from the Ministry of Health dated the 20</w:t>
      </w:r>
      <w:r w:rsidR="004F11B7" w:rsidRPr="00F90D87">
        <w:rPr>
          <w:vertAlign w:val="superscript"/>
        </w:rPr>
        <w:t>th</w:t>
      </w:r>
      <w:r w:rsidR="004F11B7">
        <w:t xml:space="preserve"> of February 2017</w:t>
      </w:r>
      <w:r w:rsidR="00203A44">
        <w:t>,</w:t>
      </w:r>
      <w:r w:rsidR="004F11B7">
        <w:t xml:space="preserve"> in which the Ministry refers to a soak away pit</w:t>
      </w:r>
      <w:r w:rsidR="00D17A2E">
        <w:t>.</w:t>
      </w:r>
      <w:r w:rsidR="004F11B7">
        <w:t xml:space="preserve"> </w:t>
      </w:r>
      <w:r w:rsidR="00D17A2E">
        <w:t xml:space="preserve"> F</w:t>
      </w:r>
      <w:r w:rsidR="004F11B7">
        <w:t>or</w:t>
      </w:r>
      <w:r w:rsidR="00F90D87">
        <w:t xml:space="preserve"> reference sake </w:t>
      </w:r>
      <w:r w:rsidR="004F11B7">
        <w:t xml:space="preserve"> the Court will use this term</w:t>
      </w:r>
      <w:r w:rsidR="00302FE9">
        <w:t xml:space="preserve"> in this Ruling.</w:t>
      </w:r>
      <w:r w:rsidR="004F11B7">
        <w:t xml:space="preserve"> </w:t>
      </w:r>
    </w:p>
    <w:p w:rsidR="004F11B7" w:rsidRDefault="004F11B7" w:rsidP="004F11B7">
      <w:pPr>
        <w:pStyle w:val="JudgmentText"/>
      </w:pPr>
      <w:r>
        <w:t>The argument regarding the documentation and lack of reference to documentation on the Respondent’s affidavit</w:t>
      </w:r>
      <w:r w:rsidR="00D17A2E">
        <w:t>,</w:t>
      </w:r>
      <w:r>
        <w:t xml:space="preserve"> I </w:t>
      </w:r>
      <w:r w:rsidR="00203A44">
        <w:t xml:space="preserve">believe </w:t>
      </w:r>
      <w:r>
        <w:t>has merits. Th</w:t>
      </w:r>
      <w:r w:rsidR="00203A44">
        <w:t>e Court finds that the Respondent has attached affidavit</w:t>
      </w:r>
      <w:r w:rsidR="00302FE9">
        <w:t>s</w:t>
      </w:r>
      <w:r w:rsidR="00203A44">
        <w:t xml:space="preserve"> to he</w:t>
      </w:r>
      <w:r w:rsidR="00302FE9">
        <w:t>r</w:t>
      </w:r>
      <w:r w:rsidR="00203A44">
        <w:t xml:space="preserve"> objection. T</w:t>
      </w:r>
      <w:r>
        <w:t>he</w:t>
      </w:r>
      <w:r w:rsidR="00203A44">
        <w:t>se are those of</w:t>
      </w:r>
      <w:r>
        <w:t xml:space="preserve"> Winsley Morel, Harold Ally, Daniel Dubel and Andy Ernest.  They all refer to the fact that they are aware of a property which is adjacent to that of the Respondent and that on this property</w:t>
      </w:r>
      <w:r w:rsidR="003E56B8">
        <w:t xml:space="preserve"> and that</w:t>
      </w:r>
      <w:r>
        <w:t xml:space="preserve"> they are informed that there exist a soak away pit in favour of the Respondent’s property.  And they had seen agents of the Applicant using heavy equipments </w:t>
      </w:r>
      <w:r w:rsidR="00203A44">
        <w:t>u</w:t>
      </w:r>
      <w:r>
        <w:t>nto the soak away pit. And that the Respondent has taken photographs of the damage done by as a result of the activities of these agents.</w:t>
      </w:r>
    </w:p>
    <w:p w:rsidR="004F11B7" w:rsidRPr="004F11B7" w:rsidRDefault="004F11B7" w:rsidP="004F11B7">
      <w:pPr>
        <w:pStyle w:val="JudgmentText"/>
        <w:rPr>
          <w:b/>
        </w:rPr>
      </w:pPr>
      <w:r>
        <w:t>However</w:t>
      </w:r>
      <w:r w:rsidR="00203A44">
        <w:t>,</w:t>
      </w:r>
      <w:r>
        <w:t xml:space="preserve"> there is no reference</w:t>
      </w:r>
      <w:r w:rsidR="003E56B8">
        <w:t xml:space="preserve"> </w:t>
      </w:r>
      <w:r w:rsidR="00302FE9">
        <w:t>by</w:t>
      </w:r>
      <w:r w:rsidR="003E56B8">
        <w:t xml:space="preserve"> these deponents</w:t>
      </w:r>
      <w:r>
        <w:t xml:space="preserve"> to any documents which are attached to th</w:t>
      </w:r>
      <w:r w:rsidR="00D17A2E">
        <w:t>eir</w:t>
      </w:r>
      <w:r>
        <w:t xml:space="preserve"> affidavits</w:t>
      </w:r>
      <w:r w:rsidR="00302FE9">
        <w:t>,</w:t>
      </w:r>
      <w:r>
        <w:t xml:space="preserve"> by way of reference</w:t>
      </w:r>
      <w:r w:rsidR="00203A44">
        <w:t xml:space="preserve">.  There is no direct or indirect reference to the </w:t>
      </w:r>
      <w:r w:rsidR="00D17A2E">
        <w:t>photograph</w:t>
      </w:r>
      <w:r w:rsidR="003E56B8">
        <w:t>s</w:t>
      </w:r>
      <w:r w:rsidR="00203A44">
        <w:t>.</w:t>
      </w:r>
      <w:r w:rsidR="00D17A2E">
        <w:t xml:space="preserve"> </w:t>
      </w:r>
      <w:r w:rsidR="003E56B8">
        <w:t xml:space="preserve">Accordingly, </w:t>
      </w:r>
      <w:r>
        <w:t>I find that the affidavit</w:t>
      </w:r>
      <w:r w:rsidR="00203A44">
        <w:t>s</w:t>
      </w:r>
      <w:r>
        <w:t xml:space="preserve"> have not produced any exhibit</w:t>
      </w:r>
      <w:r w:rsidR="00203A44">
        <w:t>s</w:t>
      </w:r>
      <w:r>
        <w:t xml:space="preserve"> which </w:t>
      </w:r>
      <w:r w:rsidR="00203A44">
        <w:t>are</w:t>
      </w:r>
      <w:r>
        <w:t xml:space="preserve"> attached thereto. Therefore</w:t>
      </w:r>
      <w:r w:rsidR="00203A44">
        <w:t>,</w:t>
      </w:r>
      <w:r>
        <w:t xml:space="preserve"> for the purpose of this application the Court will disregard</w:t>
      </w:r>
      <w:r w:rsidR="00302FE9">
        <w:t xml:space="preserve"> any documentation attached to </w:t>
      </w:r>
      <w:r w:rsidR="00203A44">
        <w:t>those affidavits</w:t>
      </w:r>
      <w:r w:rsidR="00302FE9">
        <w:t xml:space="preserve"> of those deponents</w:t>
      </w:r>
      <w:r w:rsidR="00203A44">
        <w:t xml:space="preserve"> as those</w:t>
      </w:r>
      <w:r>
        <w:t xml:space="preserve"> </w:t>
      </w:r>
      <w:r w:rsidRPr="004F03E2">
        <w:t>documents</w:t>
      </w:r>
      <w:r w:rsidR="00203A44">
        <w:t xml:space="preserve"> has not been produced in evidence by</w:t>
      </w:r>
      <w:r w:rsidRPr="004F03E2">
        <w:t xml:space="preserve"> the </w:t>
      </w:r>
      <w:r w:rsidR="00302FE9">
        <w:t>deponents</w:t>
      </w:r>
      <w:r w:rsidRPr="004F03E2">
        <w:t>.</w:t>
      </w:r>
    </w:p>
    <w:p w:rsidR="004F03E2" w:rsidRPr="004F03E2" w:rsidRDefault="004F11B7" w:rsidP="004F03E2">
      <w:pPr>
        <w:pStyle w:val="JudgmentText"/>
      </w:pPr>
      <w:r w:rsidRPr="004F03E2">
        <w:t>As to the balance of convenience</w:t>
      </w:r>
      <w:r w:rsidR="00203A44">
        <w:t>,</w:t>
      </w:r>
      <w:r w:rsidRPr="004F03E2">
        <w:t xml:space="preserve"> irrespective of the issue of</w:t>
      </w:r>
      <w:r w:rsidR="00302FE9">
        <w:t xml:space="preserve"> the inadmissibility </w:t>
      </w:r>
      <w:r w:rsidRPr="004F03E2">
        <w:t xml:space="preserve">of </w:t>
      </w:r>
      <w:r w:rsidR="00D17A2E">
        <w:t>the photographs</w:t>
      </w:r>
      <w:r w:rsidR="00302FE9">
        <w:t xml:space="preserve"> of the above deponents of the Res</w:t>
      </w:r>
      <w:r w:rsidR="00D17A2E">
        <w:t>p</w:t>
      </w:r>
      <w:r w:rsidR="00302FE9">
        <w:t>ondents</w:t>
      </w:r>
      <w:r w:rsidR="00D17A2E">
        <w:t>,</w:t>
      </w:r>
      <w:r w:rsidR="003E56B8">
        <w:t xml:space="preserve"> this </w:t>
      </w:r>
      <w:r w:rsidRPr="004F03E2">
        <w:t xml:space="preserve">Court finds as follows: - </w:t>
      </w:r>
    </w:p>
    <w:p w:rsidR="004F03E2" w:rsidRPr="00203A44" w:rsidRDefault="004F11B7" w:rsidP="00054C1A">
      <w:pPr>
        <w:pStyle w:val="JudgmentText"/>
      </w:pPr>
      <w:r w:rsidRPr="00203A44">
        <w:t>The plaint</w:t>
      </w:r>
      <w:r w:rsidR="007037EE">
        <w:t>iff in his plaint</w:t>
      </w:r>
      <w:r w:rsidRPr="00203A44">
        <w:t xml:space="preserve"> before this Court is asking for relocation of the easement</w:t>
      </w:r>
      <w:r w:rsidR="00D17A2E">
        <w:t>,</w:t>
      </w:r>
      <w:r w:rsidRPr="00203A44">
        <w:t xml:space="preserve"> purportedly created by the former owner of Parcel T1914</w:t>
      </w:r>
      <w:r w:rsidR="00D17A2E">
        <w:t>,</w:t>
      </w:r>
      <w:r w:rsidR="007037EE">
        <w:t xml:space="preserve"> unto </w:t>
      </w:r>
      <w:r w:rsidRPr="00203A44">
        <w:t xml:space="preserve">the plot owned by the Respondent. </w:t>
      </w:r>
    </w:p>
    <w:p w:rsidR="004F11B7" w:rsidRPr="00203A44" w:rsidRDefault="004F11B7" w:rsidP="00054C1A">
      <w:pPr>
        <w:pStyle w:val="JudgmentText"/>
      </w:pPr>
      <w:r w:rsidRPr="00203A44">
        <w:lastRenderedPageBreak/>
        <w:t>The Plaintiff</w:t>
      </w:r>
      <w:r w:rsidR="007037EE">
        <w:t xml:space="preserve"> in this application </w:t>
      </w:r>
      <w:r w:rsidRPr="00203A44">
        <w:t xml:space="preserve">is also asking the Court to order the Defendant to remove the easement from the Plaintiffs and relocate same on the Defendant’s property.  </w:t>
      </w:r>
    </w:p>
    <w:p w:rsidR="004F11B7" w:rsidRDefault="004F11B7" w:rsidP="004F11B7">
      <w:pPr>
        <w:pStyle w:val="JudgmentText"/>
      </w:pPr>
      <w:r>
        <w:t>Th</w:t>
      </w:r>
      <w:r w:rsidR="007037EE">
        <w:t>e</w:t>
      </w:r>
      <w:r>
        <w:t xml:space="preserve"> prayer</w:t>
      </w:r>
      <w:r w:rsidR="007037EE">
        <w:t xml:space="preserve"> in the plaint therefore</w:t>
      </w:r>
      <w:r>
        <w:t xml:space="preserve"> runs on all </w:t>
      </w:r>
      <w:r w:rsidR="00203A44">
        <w:t>four</w:t>
      </w:r>
      <w:r>
        <w:t xml:space="preserve"> with the prayer in the Application for injunction. To grant the injunction at this juncture</w:t>
      </w:r>
      <w:r w:rsidR="007037EE">
        <w:t>,</w:t>
      </w:r>
      <w:r w:rsidR="00203A44">
        <w:t xml:space="preserve"> therefore,</w:t>
      </w:r>
      <w:r>
        <w:t xml:space="preserve"> we will practically be awarding the </w:t>
      </w:r>
      <w:r w:rsidR="007037EE">
        <w:t xml:space="preserve">main case </w:t>
      </w:r>
      <w:r>
        <w:t>in</w:t>
      </w:r>
      <w:r w:rsidR="007037EE">
        <w:t xml:space="preserve"> favour of</w:t>
      </w:r>
      <w:r>
        <w:t xml:space="preserve"> the plaint</w:t>
      </w:r>
      <w:r w:rsidR="007037EE">
        <w:t>iff</w:t>
      </w:r>
      <w:r>
        <w:t xml:space="preserve">. This will be done without this Court having the benefit </w:t>
      </w:r>
      <w:r w:rsidR="00302FE9">
        <w:t xml:space="preserve">of hearing </w:t>
      </w:r>
      <w:r>
        <w:t>the evidence and exhaustively hear any arguments for and against the legality of the creation of this easement</w:t>
      </w:r>
      <w:r w:rsidR="00203A44">
        <w:t>.</w:t>
      </w:r>
      <w:r>
        <w:t xml:space="preserve"> </w:t>
      </w:r>
      <w:r w:rsidR="00203A44">
        <w:t>T</w:t>
      </w:r>
      <w:r>
        <w:t xml:space="preserve">his will render the main case nugatory.  There are substantial points of laws and facts to be argued on the merits.  This is an exercise of equitable Jurisdiction and equity will not allow a remedy that is contrary to the law.  </w:t>
      </w:r>
      <w:r w:rsidR="00302FE9">
        <w:t>Moreover, i</w:t>
      </w:r>
      <w:r>
        <w:t>f the Court is to order the removal of the soak away pit and for the same to be put</w:t>
      </w:r>
      <w:r w:rsidR="00203A44">
        <w:t>,</w:t>
      </w:r>
      <w:r>
        <w:t xml:space="preserve"> even in the interim</w:t>
      </w:r>
      <w:r w:rsidR="00302FE9">
        <w:t>,</w:t>
      </w:r>
      <w:r>
        <w:t xml:space="preserve"> on the Respondent’s property</w:t>
      </w:r>
      <w:r w:rsidR="00203A44">
        <w:t>,</w:t>
      </w:r>
      <w:r>
        <w:t xml:space="preserve"> it will make no sense for the Court to order for same to be pulled down and be put back on to the </w:t>
      </w:r>
      <w:r w:rsidR="00203A44">
        <w:t>Applicant’s</w:t>
      </w:r>
      <w:r>
        <w:t xml:space="preserve"> property in the event that the Court found otherwise in the main case.</w:t>
      </w:r>
    </w:p>
    <w:p w:rsidR="00054C1A" w:rsidRDefault="004F11B7" w:rsidP="00054C1A">
      <w:pPr>
        <w:pStyle w:val="JudgmentText"/>
      </w:pPr>
      <w:r>
        <w:t xml:space="preserve">Practical consideration cause for the Court to look at the facts of the case and decide in favour of the Respondent in this case. </w:t>
      </w:r>
      <w:r w:rsidR="007037EE">
        <w:t xml:space="preserve">The balance of convenience favours the respondents. </w:t>
      </w:r>
      <w:r>
        <w:t>I will call upon the Respondent’s Counsel</w:t>
      </w:r>
      <w:r w:rsidR="00203A44">
        <w:t>,</w:t>
      </w:r>
      <w:r>
        <w:t xml:space="preserve"> to file her statement of defence for the Court to be given the occasion of properly determining the issues after considering all the evidence.  I see that Mrs Aglae is not in Court so notice will have to be sent to Mrs Aglae</w:t>
      </w:r>
      <w:r w:rsidR="00203A44">
        <w:t xml:space="preserve"> for her to file the statement of defence by the 19</w:t>
      </w:r>
      <w:r w:rsidR="00203A44" w:rsidRPr="00203A44">
        <w:rPr>
          <w:vertAlign w:val="superscript"/>
        </w:rPr>
        <w:t>th</w:t>
      </w:r>
      <w:r w:rsidR="00203A44">
        <w:t xml:space="preserve"> of July 2017 at 10.30 a.m.</w:t>
      </w:r>
      <w:r>
        <w:t xml:space="preserve">  </w:t>
      </w:r>
    </w:p>
    <w:p w:rsidR="00EF2051" w:rsidRDefault="008E46BC" w:rsidP="00054C1A">
      <w:pPr>
        <w:pStyle w:val="JudgmentText"/>
        <w:numPr>
          <w:ilvl w:val="0"/>
          <w:numId w:val="0"/>
        </w:numPr>
        <w:ind w:left="720"/>
      </w:pPr>
      <w:r>
        <w:t xml:space="preserve">    </w:t>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4" w:name="Text19"/>
      <w:r w:rsidR="002C77E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C77E2">
        <w:rPr>
          <w:sz w:val="24"/>
          <w:szCs w:val="24"/>
        </w:rPr>
      </w:r>
      <w:r w:rsidR="002C77E2">
        <w:rPr>
          <w:sz w:val="24"/>
          <w:szCs w:val="24"/>
        </w:rPr>
        <w:fldChar w:fldCharType="separate"/>
      </w:r>
      <w:r w:rsidR="004F03E2">
        <w:rPr>
          <w:noProof/>
          <w:sz w:val="24"/>
          <w:szCs w:val="24"/>
        </w:rPr>
        <w:t>13 July 2017</w:t>
      </w:r>
      <w:r w:rsidR="002C77E2">
        <w:rPr>
          <w:sz w:val="24"/>
          <w:szCs w:val="24"/>
        </w:rPr>
        <w:fldChar w:fldCharType="end"/>
      </w:r>
      <w:bookmarkEnd w:id="24"/>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bookmarkStart w:id="25" w:name="_GoBack"/>
    <w:p w:rsidR="00E33F35" w:rsidRPr="002A7376" w:rsidRDefault="002C77E2" w:rsidP="0006489F">
      <w:pPr>
        <w:pStyle w:val="ListParagraph"/>
        <w:widowControl/>
        <w:autoSpaceDE/>
        <w:autoSpaceDN/>
        <w:adjustRightInd/>
        <w:ind w:left="0"/>
        <w:contextualSpacing w:val="0"/>
        <w:jc w:val="both"/>
        <w:rPr>
          <w:sz w:val="24"/>
          <w:szCs w:val="24"/>
        </w:rPr>
      </w:pPr>
      <w:r>
        <w:rPr>
          <w:sz w:val="24"/>
          <w:szCs w:val="24"/>
        </w:rPr>
        <w:lastRenderedPageBreak/>
        <w:fldChar w:fldCharType="begin">
          <w:ffData>
            <w:name w:val="Dropdown6"/>
            <w:enabled/>
            <w:calcOnExit w:val="0"/>
            <w:ddList>
              <w:result w:val="1"/>
              <w:listEntry w:val="M. Twomey, CJ"/>
              <w:listEntry w:val="R. Govinden,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F M S Egonda-Ntende"/>
            </w:ddList>
          </w:ffData>
        </w:fldChar>
      </w:r>
      <w:bookmarkStart w:id="26" w:name="Dropdown6"/>
      <w:r w:rsidR="003A7C6B">
        <w:rPr>
          <w:sz w:val="24"/>
          <w:szCs w:val="24"/>
        </w:rPr>
        <w:instrText xml:space="preserve"> FORMDROPDOWN </w:instrText>
      </w:r>
      <w:r>
        <w:rPr>
          <w:sz w:val="24"/>
          <w:szCs w:val="24"/>
        </w:rPr>
      </w:r>
      <w:r>
        <w:rPr>
          <w:sz w:val="24"/>
          <w:szCs w:val="24"/>
        </w:rPr>
        <w:fldChar w:fldCharType="end"/>
      </w:r>
      <w:bookmarkEnd w:id="25"/>
      <w:bookmarkEnd w:id="26"/>
    </w:p>
    <w:bookmarkStart w:id="27" w:name="Dropdown7"/>
    <w:p w:rsidR="009E05E5" w:rsidRPr="00E33F35" w:rsidRDefault="002C77E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7"/>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416" w:rsidRDefault="008B5416" w:rsidP="00DB6D34">
      <w:r>
        <w:separator/>
      </w:r>
    </w:p>
  </w:endnote>
  <w:endnote w:type="continuationSeparator" w:id="1">
    <w:p w:rsidR="008B5416" w:rsidRDefault="008B5416"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C77E2">
    <w:pPr>
      <w:pStyle w:val="Footer"/>
      <w:jc w:val="center"/>
    </w:pPr>
    <w:r>
      <w:fldChar w:fldCharType="begin"/>
    </w:r>
    <w:r w:rsidR="00DC634E">
      <w:instrText xml:space="preserve"> PAGE   \* MERGEFORMAT </w:instrText>
    </w:r>
    <w:r>
      <w:fldChar w:fldCharType="separate"/>
    </w:r>
    <w:r w:rsidR="00D17A2E">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416" w:rsidRDefault="008B5416" w:rsidP="00DB6D34">
      <w:r>
        <w:separator/>
      </w:r>
    </w:p>
  </w:footnote>
  <w:footnote w:type="continuationSeparator" w:id="1">
    <w:p w:rsidR="008B5416" w:rsidRDefault="008B5416"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8E46BC"/>
    <w:rsid w:val="00005BEF"/>
    <w:rsid w:val="000226AD"/>
    <w:rsid w:val="0002497E"/>
    <w:rsid w:val="00027A03"/>
    <w:rsid w:val="00030C81"/>
    <w:rsid w:val="00054C1A"/>
    <w:rsid w:val="0006489F"/>
    <w:rsid w:val="00075573"/>
    <w:rsid w:val="00091036"/>
    <w:rsid w:val="000A02CF"/>
    <w:rsid w:val="000A10B8"/>
    <w:rsid w:val="000D1DD3"/>
    <w:rsid w:val="000E39A5"/>
    <w:rsid w:val="000E7400"/>
    <w:rsid w:val="001008BC"/>
    <w:rsid w:val="00101D12"/>
    <w:rsid w:val="00117CBF"/>
    <w:rsid w:val="00126A10"/>
    <w:rsid w:val="001376AB"/>
    <w:rsid w:val="00144612"/>
    <w:rsid w:val="0016510C"/>
    <w:rsid w:val="00171F06"/>
    <w:rsid w:val="00180158"/>
    <w:rsid w:val="00184494"/>
    <w:rsid w:val="00185139"/>
    <w:rsid w:val="00186F92"/>
    <w:rsid w:val="001970D4"/>
    <w:rsid w:val="001E007A"/>
    <w:rsid w:val="001E082D"/>
    <w:rsid w:val="001E3539"/>
    <w:rsid w:val="001E4ED8"/>
    <w:rsid w:val="001E576A"/>
    <w:rsid w:val="001F5B54"/>
    <w:rsid w:val="0020244B"/>
    <w:rsid w:val="00203A44"/>
    <w:rsid w:val="00223965"/>
    <w:rsid w:val="00231C17"/>
    <w:rsid w:val="00232AB9"/>
    <w:rsid w:val="00236AAC"/>
    <w:rsid w:val="0024353F"/>
    <w:rsid w:val="00264049"/>
    <w:rsid w:val="002708FE"/>
    <w:rsid w:val="00270E65"/>
    <w:rsid w:val="00290E14"/>
    <w:rsid w:val="002A7376"/>
    <w:rsid w:val="002B2255"/>
    <w:rsid w:val="002C7560"/>
    <w:rsid w:val="002C77E2"/>
    <w:rsid w:val="002D06AA"/>
    <w:rsid w:val="002D67FC"/>
    <w:rsid w:val="002E6963"/>
    <w:rsid w:val="002F0506"/>
    <w:rsid w:val="002F40A1"/>
    <w:rsid w:val="00301D88"/>
    <w:rsid w:val="00302FE9"/>
    <w:rsid w:val="00304E76"/>
    <w:rsid w:val="003647E7"/>
    <w:rsid w:val="0037011B"/>
    <w:rsid w:val="0037270D"/>
    <w:rsid w:val="00375C28"/>
    <w:rsid w:val="00377341"/>
    <w:rsid w:val="003838CC"/>
    <w:rsid w:val="003862CB"/>
    <w:rsid w:val="0038700C"/>
    <w:rsid w:val="003A7C6B"/>
    <w:rsid w:val="003B0A85"/>
    <w:rsid w:val="003B461C"/>
    <w:rsid w:val="003B4C19"/>
    <w:rsid w:val="003D58AA"/>
    <w:rsid w:val="003D7B97"/>
    <w:rsid w:val="003E2ABC"/>
    <w:rsid w:val="003E56B8"/>
    <w:rsid w:val="003F0F8D"/>
    <w:rsid w:val="00412139"/>
    <w:rsid w:val="004156B9"/>
    <w:rsid w:val="00415F2F"/>
    <w:rsid w:val="004319AE"/>
    <w:rsid w:val="00445BFA"/>
    <w:rsid w:val="00450BD3"/>
    <w:rsid w:val="00452BB6"/>
    <w:rsid w:val="0046133B"/>
    <w:rsid w:val="004706DB"/>
    <w:rsid w:val="004873AB"/>
    <w:rsid w:val="004A2D33"/>
    <w:rsid w:val="004C3D80"/>
    <w:rsid w:val="004F03E2"/>
    <w:rsid w:val="004F11B7"/>
    <w:rsid w:val="004F2189"/>
    <w:rsid w:val="004F3823"/>
    <w:rsid w:val="00515B45"/>
    <w:rsid w:val="005207C8"/>
    <w:rsid w:val="005305E5"/>
    <w:rsid w:val="00530663"/>
    <w:rsid w:val="005402D7"/>
    <w:rsid w:val="005460DE"/>
    <w:rsid w:val="0055036F"/>
    <w:rsid w:val="005514D6"/>
    <w:rsid w:val="00552704"/>
    <w:rsid w:val="00561080"/>
    <w:rsid w:val="00572AB3"/>
    <w:rsid w:val="005836AC"/>
    <w:rsid w:val="00584583"/>
    <w:rsid w:val="00594FAC"/>
    <w:rsid w:val="005C7260"/>
    <w:rsid w:val="005D391B"/>
    <w:rsid w:val="005F5FB0"/>
    <w:rsid w:val="005F6046"/>
    <w:rsid w:val="00605F68"/>
    <w:rsid w:val="00606587"/>
    <w:rsid w:val="00606EEA"/>
    <w:rsid w:val="006174DB"/>
    <w:rsid w:val="00621984"/>
    <w:rsid w:val="006236C6"/>
    <w:rsid w:val="0064023C"/>
    <w:rsid w:val="006578C2"/>
    <w:rsid w:val="00666D33"/>
    <w:rsid w:val="006A2C88"/>
    <w:rsid w:val="006A58E4"/>
    <w:rsid w:val="006B730A"/>
    <w:rsid w:val="006D36C9"/>
    <w:rsid w:val="006D74E3"/>
    <w:rsid w:val="007037EE"/>
    <w:rsid w:val="007175A6"/>
    <w:rsid w:val="00744508"/>
    <w:rsid w:val="007764C7"/>
    <w:rsid w:val="007820CB"/>
    <w:rsid w:val="007A47DC"/>
    <w:rsid w:val="007B6178"/>
    <w:rsid w:val="007C2809"/>
    <w:rsid w:val="007D05C4"/>
    <w:rsid w:val="007D416E"/>
    <w:rsid w:val="007D4954"/>
    <w:rsid w:val="007E5472"/>
    <w:rsid w:val="00807411"/>
    <w:rsid w:val="00814CF5"/>
    <w:rsid w:val="00816425"/>
    <w:rsid w:val="00821758"/>
    <w:rsid w:val="00823079"/>
    <w:rsid w:val="00823890"/>
    <w:rsid w:val="0083298A"/>
    <w:rsid w:val="00841387"/>
    <w:rsid w:val="008472B3"/>
    <w:rsid w:val="008478D6"/>
    <w:rsid w:val="00861993"/>
    <w:rsid w:val="00866929"/>
    <w:rsid w:val="00871F54"/>
    <w:rsid w:val="008A5208"/>
    <w:rsid w:val="008A58A5"/>
    <w:rsid w:val="008B5416"/>
    <w:rsid w:val="008C0FD6"/>
    <w:rsid w:val="008E03F6"/>
    <w:rsid w:val="008E1DB1"/>
    <w:rsid w:val="008E46BC"/>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D431C"/>
    <w:rsid w:val="009E05E5"/>
    <w:rsid w:val="009F1B68"/>
    <w:rsid w:val="009F4DC4"/>
    <w:rsid w:val="00A11166"/>
    <w:rsid w:val="00A14038"/>
    <w:rsid w:val="00A205EB"/>
    <w:rsid w:val="00A3626F"/>
    <w:rsid w:val="00A42850"/>
    <w:rsid w:val="00A53837"/>
    <w:rsid w:val="00A80E4E"/>
    <w:rsid w:val="00AB1DE9"/>
    <w:rsid w:val="00AC3885"/>
    <w:rsid w:val="00AD75CD"/>
    <w:rsid w:val="00AE3237"/>
    <w:rsid w:val="00B031AA"/>
    <w:rsid w:val="00B0414B"/>
    <w:rsid w:val="00B05D6E"/>
    <w:rsid w:val="00B119B1"/>
    <w:rsid w:val="00B14612"/>
    <w:rsid w:val="00B23E73"/>
    <w:rsid w:val="00B31514"/>
    <w:rsid w:val="00B40898"/>
    <w:rsid w:val="00B4124C"/>
    <w:rsid w:val="00B444D1"/>
    <w:rsid w:val="00B4625E"/>
    <w:rsid w:val="00B605B4"/>
    <w:rsid w:val="00B71122"/>
    <w:rsid w:val="00B75AE2"/>
    <w:rsid w:val="00B9148E"/>
    <w:rsid w:val="00B94805"/>
    <w:rsid w:val="00BA6027"/>
    <w:rsid w:val="00BB7410"/>
    <w:rsid w:val="00BC1D95"/>
    <w:rsid w:val="00BC62F1"/>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1C7B"/>
    <w:rsid w:val="00CA25CC"/>
    <w:rsid w:val="00CA7795"/>
    <w:rsid w:val="00CA7F40"/>
    <w:rsid w:val="00CB3C7E"/>
    <w:rsid w:val="00CB451B"/>
    <w:rsid w:val="00CF77E2"/>
    <w:rsid w:val="00D03314"/>
    <w:rsid w:val="00D06A0F"/>
    <w:rsid w:val="00D17961"/>
    <w:rsid w:val="00D17A2E"/>
    <w:rsid w:val="00D62180"/>
    <w:rsid w:val="00D82047"/>
    <w:rsid w:val="00D83F64"/>
    <w:rsid w:val="00D9651F"/>
    <w:rsid w:val="00DA292E"/>
    <w:rsid w:val="00DB6D34"/>
    <w:rsid w:val="00DC634E"/>
    <w:rsid w:val="00DD4E02"/>
    <w:rsid w:val="00DE08C1"/>
    <w:rsid w:val="00DF1D55"/>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94E48"/>
    <w:rsid w:val="00EA6F17"/>
    <w:rsid w:val="00EC12D0"/>
    <w:rsid w:val="00EC2355"/>
    <w:rsid w:val="00EC4C4B"/>
    <w:rsid w:val="00EC4CC9"/>
    <w:rsid w:val="00EC5A97"/>
    <w:rsid w:val="00EC6290"/>
    <w:rsid w:val="00EF0FCF"/>
    <w:rsid w:val="00EF2051"/>
    <w:rsid w:val="00EF3834"/>
    <w:rsid w:val="00F00A19"/>
    <w:rsid w:val="00F338B0"/>
    <w:rsid w:val="00F3686A"/>
    <w:rsid w:val="00F7059D"/>
    <w:rsid w:val="00F74500"/>
    <w:rsid w:val="00F75777"/>
    <w:rsid w:val="00F804CC"/>
    <w:rsid w:val="00F82A83"/>
    <w:rsid w:val="00F83B3D"/>
    <w:rsid w:val="00F90D87"/>
    <w:rsid w:val="00FB0AFB"/>
    <w:rsid w:val="00FB2453"/>
    <w:rsid w:val="00FB39BA"/>
    <w:rsid w:val="00FC61E3"/>
    <w:rsid w:val="00FD0C0A"/>
    <w:rsid w:val="00FE0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C006BD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F3B94-55E5-4F45-9F21-1CCEEB01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C006BDAD</Template>
  <TotalTime>531</TotalTime>
  <Pages>6</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23</cp:revision>
  <cp:lastPrinted>2017-07-24T06:06:00Z</cp:lastPrinted>
  <dcterms:created xsi:type="dcterms:W3CDTF">2017-06-30T04:18:00Z</dcterms:created>
  <dcterms:modified xsi:type="dcterms:W3CDTF">2017-07-24T06:07:00Z</dcterms:modified>
</cp:coreProperties>
</file>