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965A6" w:rsidRDefault="009D1D95" w:rsidP="008965A6">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r w:rsidR="00FD4C53">
        <w:rPr>
          <w:b/>
          <w:sz w:val="24"/>
          <w:szCs w:val="24"/>
        </w:rPr>
        <w:t> </w:t>
      </w:r>
      <w:r w:rsidR="00FD4C53">
        <w:rPr>
          <w:b/>
          <w:sz w:val="24"/>
          <w:szCs w:val="24"/>
        </w:rPr>
        <w:t> </w:t>
      </w:r>
      <w:r w:rsidR="00FD4C53">
        <w:rPr>
          <w:b/>
          <w:sz w:val="24"/>
          <w:szCs w:val="24"/>
        </w:rPr>
        <w:t> </w:t>
      </w:r>
      <w:r w:rsidR="00FD4C53">
        <w:rPr>
          <w:b/>
          <w:sz w:val="24"/>
          <w:szCs w:val="24"/>
        </w:rPr>
        <w:t> </w:t>
      </w:r>
      <w:r w:rsidR="00FD4C53">
        <w:rPr>
          <w:b/>
          <w:sz w:val="24"/>
          <w:szCs w:val="24"/>
        </w:rPr>
        <w:t> </w:t>
      </w:r>
      <w:r w:rsidRPr="0096251D">
        <w:rPr>
          <w:b/>
          <w:sz w:val="24"/>
          <w:szCs w:val="24"/>
        </w:rPr>
        <w:fldChar w:fldCharType="end"/>
      </w:r>
      <w:bookmarkEnd w:id="0"/>
    </w:p>
    <w:bookmarkStart w:id="1" w:name="Text42"/>
    <w:p w:rsidR="008965A6" w:rsidRPr="00B938BB" w:rsidRDefault="009D1D95"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FD4C53">
        <w:rPr>
          <w:i/>
          <w:sz w:val="24"/>
          <w:szCs w:val="24"/>
        </w:rPr>
        <w:t> </w:t>
      </w:r>
      <w:r w:rsidR="00FD4C53">
        <w:rPr>
          <w:i/>
          <w:sz w:val="24"/>
          <w:szCs w:val="24"/>
        </w:rPr>
        <w:t> </w:t>
      </w:r>
      <w:r w:rsidR="00FD4C53">
        <w:rPr>
          <w:i/>
          <w:sz w:val="24"/>
          <w:szCs w:val="24"/>
        </w:rPr>
        <w:t> </w:t>
      </w:r>
      <w:r w:rsidR="00FD4C53">
        <w:rPr>
          <w:i/>
          <w:sz w:val="24"/>
          <w:szCs w:val="24"/>
        </w:rPr>
        <w:t> </w:t>
      </w:r>
      <w:r w:rsidR="00FD4C53">
        <w:rPr>
          <w:i/>
          <w:sz w:val="24"/>
          <w:szCs w:val="24"/>
        </w:rPr>
        <w:t> </w:t>
      </w:r>
      <w:r>
        <w:rPr>
          <w:i/>
          <w:sz w:val="24"/>
          <w:szCs w:val="24"/>
        </w:rPr>
        <w:fldChar w:fldCharType="end"/>
      </w:r>
      <w:bookmarkEnd w:id="1"/>
    </w:p>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009D1D95" w:rsidRPr="00B75AE2">
        <w:rPr>
          <w:b/>
          <w:sz w:val="28"/>
          <w:szCs w:val="28"/>
        </w:rPr>
        <w:fldChar w:fldCharType="begin">
          <w:ffData>
            <w:name w:val="Text1"/>
            <w:enabled/>
            <w:calcOnExit w:val="0"/>
            <w:textInput/>
          </w:ffData>
        </w:fldChar>
      </w:r>
      <w:bookmarkStart w:id="2" w:name="Text1"/>
      <w:r w:rsidR="006578C2" w:rsidRPr="00B75AE2">
        <w:rPr>
          <w:b/>
          <w:sz w:val="28"/>
          <w:szCs w:val="28"/>
        </w:rPr>
        <w:instrText xml:space="preserve"> FORMTEXT </w:instrText>
      </w:r>
      <w:r w:rsidR="009D1D95" w:rsidRPr="00B75AE2">
        <w:rPr>
          <w:b/>
          <w:sz w:val="28"/>
          <w:szCs w:val="28"/>
        </w:rPr>
      </w:r>
      <w:r w:rsidR="009D1D95" w:rsidRPr="00B75AE2">
        <w:rPr>
          <w:b/>
          <w:sz w:val="28"/>
          <w:szCs w:val="28"/>
        </w:rPr>
        <w:fldChar w:fldCharType="separate"/>
      </w:r>
      <w:r w:rsidR="00FD4C53">
        <w:rPr>
          <w:b/>
          <w:noProof/>
          <w:sz w:val="28"/>
          <w:szCs w:val="28"/>
        </w:rPr>
        <w:t>02</w:t>
      </w:r>
      <w:r w:rsidR="009D1D95" w:rsidRPr="00B75AE2">
        <w:rPr>
          <w:b/>
          <w:sz w:val="28"/>
          <w:szCs w:val="28"/>
        </w:rPr>
        <w:fldChar w:fldCharType="end"/>
      </w:r>
      <w:bookmarkEnd w:id="2"/>
      <w:r w:rsidRPr="00B75AE2">
        <w:rPr>
          <w:b/>
          <w:sz w:val="28"/>
          <w:szCs w:val="28"/>
        </w:rPr>
        <w:t>/</w:t>
      </w:r>
      <w:r w:rsidR="00C87FCA" w:rsidRPr="00B75AE2">
        <w:rPr>
          <w:b/>
          <w:sz w:val="28"/>
          <w:szCs w:val="28"/>
        </w:rPr>
        <w:t>20</w:t>
      </w:r>
      <w:r w:rsidR="009D1D95"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9D1D95" w:rsidRPr="00B75AE2">
        <w:rPr>
          <w:b/>
          <w:sz w:val="28"/>
          <w:szCs w:val="28"/>
        </w:rPr>
      </w:r>
      <w:r w:rsidR="009D1D95" w:rsidRPr="00B75AE2">
        <w:rPr>
          <w:b/>
          <w:sz w:val="28"/>
          <w:szCs w:val="28"/>
        </w:rPr>
        <w:fldChar w:fldCharType="separate"/>
      </w:r>
      <w:r w:rsidR="00FD4C53">
        <w:rPr>
          <w:b/>
          <w:noProof/>
          <w:sz w:val="28"/>
          <w:szCs w:val="28"/>
        </w:rPr>
        <w:t>16</w:t>
      </w:r>
      <w:r w:rsidR="009D1D95" w:rsidRPr="00B75AE2">
        <w:rPr>
          <w:b/>
          <w:sz w:val="28"/>
          <w:szCs w:val="28"/>
        </w:rPr>
        <w:fldChar w:fldCharType="end"/>
      </w:r>
      <w:bookmarkEnd w:id="3"/>
    </w:p>
    <w:p w:rsidR="00A53837" w:rsidRPr="00606EEA" w:rsidRDefault="00A53837" w:rsidP="00A53837">
      <w:pPr>
        <w:spacing w:before="120"/>
        <w:jc w:val="center"/>
        <w:rPr>
          <w:b/>
          <w:sz w:val="24"/>
          <w:szCs w:val="24"/>
        </w:rPr>
      </w:pPr>
      <w:r w:rsidRPr="0006489F">
        <w:rPr>
          <w:b/>
          <w:sz w:val="24"/>
          <w:szCs w:val="24"/>
        </w:rPr>
        <w:t>Appeal from</w:t>
      </w:r>
      <w:bookmarkStart w:id="4" w:name="Dropdown4"/>
      <w:r w:rsidR="009D1D95" w:rsidRPr="00B75AE2">
        <w:rPr>
          <w:b/>
          <w:sz w:val="24"/>
          <w:szCs w:val="24"/>
        </w:rPr>
        <w:fldChar w:fldCharType="begin">
          <w:ffData>
            <w:name w:val="Dropdown4"/>
            <w:enabled/>
            <w:calcOnExit w:val="0"/>
            <w:ddList>
              <w:result w:val="3"/>
              <w:listEntry w:val="Magistrates Court"/>
              <w:listEntry w:val="Employment Tribunal"/>
              <w:listEntry w:val="Family Tribunal"/>
              <w:listEntry w:val="Rent Board"/>
            </w:ddList>
          </w:ffData>
        </w:fldChar>
      </w:r>
      <w:r w:rsidR="00E33F35" w:rsidRPr="00B75AE2">
        <w:rPr>
          <w:b/>
          <w:sz w:val="24"/>
          <w:szCs w:val="24"/>
        </w:rPr>
        <w:instrText xml:space="preserve"> FORMDROPDOWN </w:instrText>
      </w:r>
      <w:r w:rsidR="00B44B08">
        <w:rPr>
          <w:b/>
          <w:sz w:val="24"/>
          <w:szCs w:val="24"/>
        </w:rPr>
      </w:r>
      <w:r w:rsidR="00B44B08">
        <w:rPr>
          <w:b/>
          <w:sz w:val="24"/>
          <w:szCs w:val="24"/>
        </w:rPr>
        <w:fldChar w:fldCharType="separate"/>
      </w:r>
      <w:r w:rsidR="009D1D95" w:rsidRPr="00B75AE2">
        <w:rPr>
          <w:b/>
          <w:sz w:val="24"/>
          <w:szCs w:val="24"/>
        </w:rPr>
        <w:fldChar w:fldCharType="end"/>
      </w:r>
      <w:bookmarkEnd w:id="4"/>
      <w:r w:rsidR="006578C2" w:rsidRPr="00B75AE2">
        <w:rPr>
          <w:b/>
          <w:sz w:val="24"/>
          <w:szCs w:val="24"/>
        </w:rPr>
        <w:t>D</w:t>
      </w:r>
      <w:r w:rsidR="00304E76" w:rsidRPr="00B75AE2">
        <w:rPr>
          <w:b/>
          <w:sz w:val="24"/>
          <w:szCs w:val="24"/>
        </w:rPr>
        <w:t>ecision</w:t>
      </w:r>
      <w:r w:rsidR="009D1D95" w:rsidRPr="00B75AE2">
        <w:rPr>
          <w:b/>
          <w:sz w:val="24"/>
          <w:szCs w:val="24"/>
        </w:rPr>
        <w:fldChar w:fldCharType="begin">
          <w:ffData>
            <w:name w:val="Text18"/>
            <w:enabled/>
            <w:calcOnExit w:val="0"/>
            <w:textInput/>
          </w:ffData>
        </w:fldChar>
      </w:r>
      <w:bookmarkStart w:id="5" w:name="Text18"/>
      <w:r w:rsidR="00C065A3" w:rsidRPr="00B75AE2">
        <w:rPr>
          <w:b/>
          <w:sz w:val="24"/>
          <w:szCs w:val="24"/>
        </w:rPr>
        <w:instrText xml:space="preserve"> FORMTEXT </w:instrText>
      </w:r>
      <w:r w:rsidR="009D1D95" w:rsidRPr="00B75AE2">
        <w:rPr>
          <w:b/>
          <w:sz w:val="24"/>
          <w:szCs w:val="24"/>
        </w:rPr>
      </w:r>
      <w:r w:rsidR="009D1D95" w:rsidRPr="00B75AE2">
        <w:rPr>
          <w:b/>
          <w:sz w:val="24"/>
          <w:szCs w:val="24"/>
        </w:rPr>
        <w:fldChar w:fldCharType="separate"/>
      </w:r>
      <w:r w:rsidR="00FD4C53">
        <w:rPr>
          <w:b/>
          <w:noProof/>
          <w:sz w:val="24"/>
          <w:szCs w:val="24"/>
        </w:rPr>
        <w:t>RB51</w:t>
      </w:r>
      <w:r w:rsidR="009D1D95" w:rsidRPr="00B75AE2">
        <w:rPr>
          <w:b/>
          <w:sz w:val="24"/>
          <w:szCs w:val="24"/>
        </w:rPr>
        <w:fldChar w:fldCharType="end"/>
      </w:r>
      <w:bookmarkEnd w:id="5"/>
      <w:r w:rsidR="009D1D95" w:rsidRPr="00B75AE2">
        <w:rPr>
          <w:b/>
          <w:sz w:val="24"/>
          <w:szCs w:val="24"/>
        </w:rPr>
        <w:fldChar w:fldCharType="begin"/>
      </w:r>
      <w:r w:rsidR="009D1D95" w:rsidRPr="00B75AE2">
        <w:rPr>
          <w:b/>
          <w:sz w:val="24"/>
          <w:szCs w:val="24"/>
        </w:rPr>
        <w:fldChar w:fldCharType="end"/>
      </w:r>
      <w:r w:rsidR="00304E76" w:rsidRPr="00B75AE2">
        <w:rPr>
          <w:b/>
          <w:sz w:val="24"/>
          <w:szCs w:val="24"/>
        </w:rPr>
        <w:t>/</w:t>
      </w:r>
      <w:r w:rsidR="00C87FCA" w:rsidRPr="00B75AE2">
        <w:rPr>
          <w:b/>
          <w:sz w:val="24"/>
          <w:szCs w:val="24"/>
        </w:rPr>
        <w:t>20</w:t>
      </w:r>
      <w:r w:rsidR="009D1D95">
        <w:rPr>
          <w:b/>
          <w:sz w:val="24"/>
          <w:szCs w:val="24"/>
        </w:rPr>
        <w:fldChar w:fldCharType="begin">
          <w:ffData>
            <w:name w:val="Text32"/>
            <w:enabled/>
            <w:calcOnExit w:val="0"/>
            <w:textInput/>
          </w:ffData>
        </w:fldChar>
      </w:r>
      <w:bookmarkStart w:id="6" w:name="Text32"/>
      <w:r w:rsidR="00C87FCA">
        <w:rPr>
          <w:b/>
          <w:sz w:val="24"/>
          <w:szCs w:val="24"/>
        </w:rPr>
        <w:instrText xml:space="preserve"> FORMTEXT </w:instrText>
      </w:r>
      <w:r w:rsidR="009D1D95">
        <w:rPr>
          <w:b/>
          <w:sz w:val="24"/>
          <w:szCs w:val="24"/>
        </w:rPr>
      </w:r>
      <w:r w:rsidR="009D1D95">
        <w:rPr>
          <w:b/>
          <w:sz w:val="24"/>
          <w:szCs w:val="24"/>
        </w:rPr>
        <w:fldChar w:fldCharType="separate"/>
      </w:r>
      <w:r w:rsidR="00FD4C53">
        <w:rPr>
          <w:b/>
          <w:noProof/>
          <w:sz w:val="24"/>
          <w:szCs w:val="24"/>
        </w:rPr>
        <w:t>15</w:t>
      </w:r>
      <w:r w:rsidR="009D1D95">
        <w:rPr>
          <w:b/>
          <w:sz w:val="24"/>
          <w:szCs w:val="24"/>
        </w:rPr>
        <w:fldChar w:fldCharType="end"/>
      </w:r>
      <w:bookmarkEnd w:id="6"/>
      <w:r w:rsidR="009D1D95">
        <w:rPr>
          <w:b/>
          <w:sz w:val="24"/>
          <w:szCs w:val="24"/>
          <w:highlight w:val="lightGray"/>
        </w:rPr>
        <w:fldChar w:fldCharType="begin"/>
      </w:r>
      <w:r w:rsidR="009D1D95">
        <w:rPr>
          <w:b/>
          <w:sz w:val="24"/>
          <w:szCs w:val="24"/>
          <w:highlight w:val="lightGray"/>
        </w:rPr>
        <w:fldChar w:fldCharType="end"/>
      </w:r>
    </w:p>
    <w:p w:rsidR="00DB6D34" w:rsidRPr="00606EEA" w:rsidRDefault="00DB6D34" w:rsidP="00000407">
      <w:pPr>
        <w:spacing w:before="240" w:after="160"/>
        <w:ind w:left="6480"/>
        <w:rPr>
          <w:b/>
          <w:sz w:val="24"/>
          <w:szCs w:val="24"/>
        </w:rPr>
      </w:pPr>
      <w:r w:rsidRPr="00606EEA">
        <w:rPr>
          <w:b/>
          <w:sz w:val="24"/>
          <w:szCs w:val="24"/>
        </w:rPr>
        <w:t>[201</w:t>
      </w:r>
      <w:r w:rsidR="009D1D95">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9D1D95">
        <w:rPr>
          <w:b/>
          <w:sz w:val="24"/>
          <w:szCs w:val="24"/>
        </w:rPr>
      </w:r>
      <w:r w:rsidR="009D1D95">
        <w:rPr>
          <w:b/>
          <w:sz w:val="24"/>
          <w:szCs w:val="24"/>
        </w:rPr>
        <w:fldChar w:fldCharType="separate"/>
      </w:r>
      <w:r w:rsidR="00082514">
        <w:rPr>
          <w:b/>
          <w:noProof/>
          <w:sz w:val="24"/>
          <w:szCs w:val="24"/>
        </w:rPr>
        <w:t>7</w:t>
      </w:r>
      <w:bookmarkStart w:id="8" w:name="_GoBack"/>
      <w:bookmarkEnd w:id="8"/>
      <w:r w:rsidR="009D1D95">
        <w:rPr>
          <w:b/>
          <w:sz w:val="24"/>
          <w:szCs w:val="24"/>
        </w:rPr>
        <w:fldChar w:fldCharType="end"/>
      </w:r>
      <w:bookmarkEnd w:id="7"/>
      <w:r w:rsidR="009D1D95">
        <w:rPr>
          <w:b/>
          <w:sz w:val="24"/>
          <w:szCs w:val="24"/>
        </w:rPr>
        <w:fldChar w:fldCharType="begin"/>
      </w:r>
      <w:r w:rsidR="009D1D95">
        <w:rPr>
          <w:b/>
          <w:sz w:val="24"/>
          <w:szCs w:val="24"/>
        </w:rPr>
        <w:fldChar w:fldCharType="end"/>
      </w:r>
      <w:r w:rsidRPr="00606EEA">
        <w:rPr>
          <w:b/>
          <w:sz w:val="24"/>
          <w:szCs w:val="24"/>
        </w:rPr>
        <w:t>] SCSC</w:t>
      </w:r>
      <w:r w:rsidR="009D1D95">
        <w:rPr>
          <w:b/>
          <w:sz w:val="24"/>
          <w:szCs w:val="24"/>
        </w:rPr>
        <w:fldChar w:fldCharType="begin">
          <w:ffData>
            <w:name w:val="Text43"/>
            <w:enabled/>
            <w:calcOnExit w:val="0"/>
            <w:textInput/>
          </w:ffData>
        </w:fldChar>
      </w:r>
      <w:bookmarkStart w:id="9" w:name="Text43"/>
      <w:r w:rsidR="00FD51F3">
        <w:rPr>
          <w:b/>
          <w:sz w:val="24"/>
          <w:szCs w:val="24"/>
        </w:rPr>
        <w:instrText xml:space="preserve"> FORMTEXT </w:instrText>
      </w:r>
      <w:r w:rsidR="009D1D95">
        <w:rPr>
          <w:b/>
          <w:sz w:val="24"/>
          <w:szCs w:val="24"/>
        </w:rPr>
      </w:r>
      <w:r w:rsidR="009D1D95">
        <w:rPr>
          <w:b/>
          <w:sz w:val="24"/>
          <w:szCs w:val="24"/>
        </w:rPr>
        <w:fldChar w:fldCharType="separate"/>
      </w:r>
      <w:r w:rsidR="00FD51F3">
        <w:rPr>
          <w:b/>
          <w:noProof/>
          <w:sz w:val="24"/>
          <w:szCs w:val="24"/>
        </w:rPr>
        <w:t> </w:t>
      </w:r>
      <w:r w:rsidR="00FD51F3">
        <w:rPr>
          <w:b/>
          <w:noProof/>
          <w:sz w:val="24"/>
          <w:szCs w:val="24"/>
        </w:rPr>
        <w:t> </w:t>
      </w:r>
      <w:r w:rsidR="00FD51F3">
        <w:rPr>
          <w:b/>
          <w:noProof/>
          <w:sz w:val="24"/>
          <w:szCs w:val="24"/>
        </w:rPr>
        <w:t> </w:t>
      </w:r>
      <w:r w:rsidR="00FD51F3">
        <w:rPr>
          <w:b/>
          <w:noProof/>
          <w:sz w:val="24"/>
          <w:szCs w:val="24"/>
        </w:rPr>
        <w:t> </w:t>
      </w:r>
      <w:r w:rsidR="00FD51F3">
        <w:rPr>
          <w:b/>
          <w:noProof/>
          <w:sz w:val="24"/>
          <w:szCs w:val="24"/>
        </w:rPr>
        <w:t> </w:t>
      </w:r>
      <w:r w:rsidR="009D1D95">
        <w:rPr>
          <w:b/>
          <w:sz w:val="24"/>
          <w:szCs w:val="24"/>
        </w:rPr>
        <w:fldChar w:fldCharType="end"/>
      </w:r>
      <w:bookmarkEnd w:id="9"/>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10" w:name="Text20"/>
    <w:p w:rsidR="00FB2453" w:rsidRPr="00B119B1" w:rsidRDefault="009D1D95"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D4C53">
        <w:rPr>
          <w:b/>
          <w:noProof/>
          <w:sz w:val="24"/>
          <w:szCs w:val="24"/>
        </w:rPr>
        <w:t>CONTINENTAL STORES</w:t>
      </w:r>
      <w:r w:rsidRPr="00B119B1">
        <w:rPr>
          <w:b/>
          <w:sz w:val="24"/>
          <w:szCs w:val="24"/>
        </w:rPr>
        <w:fldChar w:fldCharType="end"/>
      </w:r>
      <w:bookmarkEnd w:id="10"/>
    </w:p>
    <w:bookmarkStart w:id="11" w:name="Dropdown10"/>
    <w:p w:rsidR="004B22D0" w:rsidRDefault="009D1D95"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sidR="00B44B08">
        <w:rPr>
          <w:sz w:val="24"/>
          <w:szCs w:val="24"/>
        </w:rPr>
      </w:r>
      <w:r w:rsidR="00B44B08">
        <w:rPr>
          <w:sz w:val="24"/>
          <w:szCs w:val="24"/>
        </w:rPr>
        <w:fldChar w:fldCharType="separate"/>
      </w:r>
      <w:r>
        <w:rPr>
          <w:sz w:val="24"/>
          <w:szCs w:val="24"/>
        </w:rPr>
        <w:fldChar w:fldCharType="end"/>
      </w:r>
      <w:bookmarkEnd w:id="11"/>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2" w:name="Text22"/>
    <w:p w:rsidR="00FB2453" w:rsidRPr="00B119B1" w:rsidRDefault="009D1D95"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D4C53">
        <w:rPr>
          <w:b/>
          <w:noProof/>
          <w:sz w:val="24"/>
          <w:szCs w:val="24"/>
        </w:rPr>
        <w:t>COLOUR PRINTING</w:t>
      </w:r>
      <w:r w:rsidRPr="00B119B1">
        <w:rPr>
          <w:b/>
          <w:sz w:val="24"/>
          <w:szCs w:val="24"/>
        </w:rPr>
        <w:fldChar w:fldCharType="end"/>
      </w:r>
      <w:bookmarkEnd w:id="12"/>
    </w:p>
    <w:bookmarkStart w:id="13" w:name="Dropdown11"/>
    <w:p w:rsidR="004B22D0" w:rsidRDefault="009D1D95"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sidR="00B44B08">
        <w:rPr>
          <w:sz w:val="24"/>
          <w:szCs w:val="24"/>
        </w:rPr>
      </w:r>
      <w:r w:rsidR="00B44B08">
        <w:rPr>
          <w:sz w:val="24"/>
          <w:szCs w:val="24"/>
        </w:rPr>
        <w:fldChar w:fldCharType="separate"/>
      </w:r>
      <w:r>
        <w:rPr>
          <w:sz w:val="24"/>
          <w:szCs w:val="24"/>
        </w:rPr>
        <w:fldChar w:fldCharType="end"/>
      </w:r>
      <w:bookmarkEnd w:id="13"/>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4" w:name="Text34"/>
      <w:r w:rsidR="009D1D95">
        <w:rPr>
          <w:sz w:val="24"/>
          <w:szCs w:val="24"/>
        </w:rPr>
        <w:fldChar w:fldCharType="begin">
          <w:ffData>
            <w:name w:val="Text34"/>
            <w:enabled/>
            <w:calcOnExit w:val="0"/>
            <w:textInput/>
          </w:ffData>
        </w:fldChar>
      </w:r>
      <w:r w:rsidR="002A7376">
        <w:rPr>
          <w:sz w:val="24"/>
          <w:szCs w:val="24"/>
        </w:rPr>
        <w:instrText xml:space="preserve"> FORMTEXT </w:instrText>
      </w:r>
      <w:r w:rsidR="009D1D95">
        <w:rPr>
          <w:sz w:val="24"/>
          <w:szCs w:val="24"/>
        </w:rPr>
      </w:r>
      <w:r w:rsidR="009D1D95">
        <w:rPr>
          <w:sz w:val="24"/>
          <w:szCs w:val="24"/>
        </w:rPr>
        <w:fldChar w:fldCharType="separate"/>
      </w:r>
      <w:r w:rsidR="00FD4C53">
        <w:rPr>
          <w:noProof/>
          <w:sz w:val="24"/>
          <w:szCs w:val="24"/>
        </w:rPr>
        <w:t>19 May 2017</w:t>
      </w:r>
      <w:r w:rsidR="009D1D95">
        <w:rPr>
          <w:sz w:val="24"/>
          <w:szCs w:val="24"/>
        </w:rPr>
        <w:fldChar w:fldCharType="end"/>
      </w:r>
      <w:bookmarkEnd w:id="14"/>
      <w:r w:rsidR="009D1D95">
        <w:rPr>
          <w:sz w:val="24"/>
          <w:szCs w:val="24"/>
        </w:rPr>
        <w:fldChar w:fldCharType="begin"/>
      </w:r>
      <w:r w:rsidR="009D1D95">
        <w:rPr>
          <w:sz w:val="24"/>
          <w:szCs w:val="24"/>
        </w:rPr>
        <w:fldChar w:fldCharType="end"/>
      </w: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9D1D95">
        <w:rPr>
          <w:sz w:val="24"/>
          <w:szCs w:val="24"/>
        </w:rPr>
        <w:fldChar w:fldCharType="begin">
          <w:ffData>
            <w:name w:val="Text28"/>
            <w:enabled/>
            <w:calcOnExit w:val="0"/>
            <w:textInput/>
          </w:ffData>
        </w:fldChar>
      </w:r>
      <w:bookmarkStart w:id="15" w:name="Text28"/>
      <w:r w:rsidR="004C3D80">
        <w:rPr>
          <w:sz w:val="24"/>
          <w:szCs w:val="24"/>
        </w:rPr>
        <w:instrText xml:space="preserve"> FORMTEXT </w:instrText>
      </w:r>
      <w:r w:rsidR="009D1D95">
        <w:rPr>
          <w:sz w:val="24"/>
          <w:szCs w:val="24"/>
        </w:rPr>
      </w:r>
      <w:r w:rsidR="009D1D95">
        <w:rPr>
          <w:sz w:val="24"/>
          <w:szCs w:val="24"/>
        </w:rPr>
        <w:fldChar w:fldCharType="separate"/>
      </w:r>
      <w:r w:rsidR="00FD4C53">
        <w:rPr>
          <w:noProof/>
          <w:sz w:val="24"/>
          <w:szCs w:val="24"/>
        </w:rPr>
        <w:t>F Bonte</w:t>
      </w:r>
      <w:r w:rsidR="009D1D95">
        <w:rPr>
          <w:sz w:val="24"/>
          <w:szCs w:val="24"/>
        </w:rPr>
        <w:fldChar w:fldCharType="end"/>
      </w:r>
      <w:bookmarkEnd w:id="15"/>
      <w:r w:rsidR="009D1D95">
        <w:rPr>
          <w:sz w:val="24"/>
          <w:szCs w:val="24"/>
        </w:rPr>
        <w:fldChar w:fldCharType="begin"/>
      </w:r>
      <w:r w:rsidR="00F804CC">
        <w:rPr>
          <w:sz w:val="24"/>
          <w:szCs w:val="24"/>
        </w:rPr>
        <w:instrText xml:space="preserve"> ASK  "Enter Appellant Lawyer full name"  \* MERGEFORMAT </w:instrText>
      </w:r>
      <w:r w:rsidR="009D1D95">
        <w:rPr>
          <w:sz w:val="24"/>
          <w:szCs w:val="24"/>
        </w:rPr>
        <w:fldChar w:fldCharType="end"/>
      </w:r>
      <w:r w:rsidR="009D1D95">
        <w:rPr>
          <w:sz w:val="24"/>
          <w:szCs w:val="24"/>
        </w:rPr>
        <w:fldChar w:fldCharType="begin"/>
      </w:r>
      <w:r w:rsidR="009D1D95">
        <w:rPr>
          <w:sz w:val="24"/>
          <w:szCs w:val="24"/>
        </w:rPr>
        <w:fldChar w:fldCharType="end"/>
      </w:r>
      <w:r w:rsidR="009E05E5">
        <w:rPr>
          <w:sz w:val="24"/>
          <w:szCs w:val="24"/>
        </w:rPr>
        <w:t xml:space="preserve">for </w:t>
      </w:r>
      <w:bookmarkStart w:id="16" w:name="Dropdown12"/>
      <w:r w:rsidR="009D1D95">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B44B08">
        <w:rPr>
          <w:sz w:val="24"/>
          <w:szCs w:val="24"/>
        </w:rPr>
      </w:r>
      <w:r w:rsidR="00B44B08">
        <w:rPr>
          <w:sz w:val="24"/>
          <w:szCs w:val="24"/>
        </w:rPr>
        <w:fldChar w:fldCharType="separate"/>
      </w:r>
      <w:r w:rsidR="009D1D95">
        <w:rPr>
          <w:sz w:val="24"/>
          <w:szCs w:val="24"/>
        </w:rPr>
        <w:fldChar w:fldCharType="end"/>
      </w:r>
      <w:bookmarkEnd w:id="16"/>
    </w:p>
    <w:p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D1D95">
        <w:rPr>
          <w:sz w:val="24"/>
          <w:szCs w:val="24"/>
        </w:rPr>
        <w:fldChar w:fldCharType="begin">
          <w:ffData>
            <w:name w:val="Text35"/>
            <w:enabled/>
            <w:calcOnExit w:val="0"/>
            <w:textInput/>
          </w:ffData>
        </w:fldChar>
      </w:r>
      <w:bookmarkStart w:id="17" w:name="Text35"/>
      <w:r>
        <w:rPr>
          <w:sz w:val="24"/>
          <w:szCs w:val="24"/>
        </w:rPr>
        <w:instrText xml:space="preserve"> FORMTEXT </w:instrText>
      </w:r>
      <w:r w:rsidR="009D1D95">
        <w:rPr>
          <w:sz w:val="24"/>
          <w:szCs w:val="24"/>
        </w:rPr>
      </w:r>
      <w:r w:rsidR="009D1D9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D1D95">
        <w:rPr>
          <w:sz w:val="24"/>
          <w:szCs w:val="24"/>
        </w:rPr>
        <w:fldChar w:fldCharType="end"/>
      </w:r>
      <w:bookmarkEnd w:id="17"/>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D1D95">
        <w:rPr>
          <w:sz w:val="24"/>
          <w:szCs w:val="24"/>
        </w:rPr>
        <w:fldChar w:fldCharType="begin">
          <w:ffData>
            <w:name w:val="Text29"/>
            <w:enabled/>
            <w:calcOnExit w:val="0"/>
            <w:textInput/>
          </w:ffData>
        </w:fldChar>
      </w:r>
      <w:bookmarkStart w:id="18" w:name="Text29"/>
      <w:r w:rsidR="004C3D80">
        <w:rPr>
          <w:sz w:val="24"/>
          <w:szCs w:val="24"/>
        </w:rPr>
        <w:instrText xml:space="preserve"> FORMTEXT </w:instrText>
      </w:r>
      <w:r w:rsidR="009D1D95">
        <w:rPr>
          <w:sz w:val="24"/>
          <w:szCs w:val="24"/>
        </w:rPr>
      </w:r>
      <w:r w:rsidR="009D1D95">
        <w:rPr>
          <w:sz w:val="24"/>
          <w:szCs w:val="24"/>
        </w:rPr>
        <w:fldChar w:fldCharType="separate"/>
      </w:r>
      <w:r w:rsidR="00FD4C53">
        <w:rPr>
          <w:noProof/>
          <w:sz w:val="24"/>
          <w:szCs w:val="24"/>
        </w:rPr>
        <w:t>--</w:t>
      </w:r>
      <w:r w:rsidR="009D1D95">
        <w:rPr>
          <w:sz w:val="24"/>
          <w:szCs w:val="24"/>
        </w:rPr>
        <w:fldChar w:fldCharType="end"/>
      </w:r>
      <w:bookmarkEnd w:id="18"/>
      <w:r w:rsidR="009D1D95">
        <w:rPr>
          <w:sz w:val="24"/>
          <w:szCs w:val="24"/>
        </w:rPr>
        <w:fldChar w:fldCharType="begin"/>
      </w:r>
      <w:r w:rsidR="00F804CC">
        <w:rPr>
          <w:sz w:val="24"/>
          <w:szCs w:val="24"/>
        </w:rPr>
        <w:instrText xml:space="preserve"> ASK  "Enter Respondent Lawyer Full Name"  \* MERGEFORMAT </w:instrText>
      </w:r>
      <w:r w:rsidR="009D1D95">
        <w:rPr>
          <w:sz w:val="24"/>
          <w:szCs w:val="24"/>
        </w:rPr>
        <w:fldChar w:fldCharType="end"/>
      </w:r>
      <w:r w:rsidR="009D1D95">
        <w:rPr>
          <w:sz w:val="24"/>
          <w:szCs w:val="24"/>
        </w:rPr>
        <w:fldChar w:fldCharType="begin"/>
      </w:r>
      <w:r w:rsidR="009D1D95">
        <w:rPr>
          <w:sz w:val="24"/>
          <w:szCs w:val="24"/>
        </w:rPr>
        <w:fldChar w:fldCharType="end"/>
      </w:r>
      <w:r>
        <w:rPr>
          <w:sz w:val="24"/>
          <w:szCs w:val="24"/>
        </w:rPr>
        <w:t xml:space="preserve">for </w:t>
      </w:r>
      <w:bookmarkStart w:id="19" w:name="Dropdown13"/>
      <w:r w:rsidR="009D1D95">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B44B08">
        <w:rPr>
          <w:sz w:val="24"/>
          <w:szCs w:val="24"/>
        </w:rPr>
      </w:r>
      <w:r w:rsidR="00B44B08">
        <w:rPr>
          <w:sz w:val="24"/>
          <w:szCs w:val="24"/>
        </w:rPr>
        <w:fldChar w:fldCharType="separate"/>
      </w:r>
      <w:r w:rsidR="009D1D95">
        <w:rPr>
          <w:sz w:val="24"/>
          <w:szCs w:val="24"/>
        </w:rPr>
        <w:fldChar w:fldCharType="end"/>
      </w:r>
      <w:bookmarkEnd w:id="19"/>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D1D95">
        <w:rPr>
          <w:sz w:val="24"/>
          <w:szCs w:val="24"/>
        </w:rPr>
        <w:fldChar w:fldCharType="begin">
          <w:ffData>
            <w:name w:val="Text36"/>
            <w:enabled/>
            <w:calcOnExit w:val="0"/>
            <w:textInput/>
          </w:ffData>
        </w:fldChar>
      </w:r>
      <w:bookmarkStart w:id="20" w:name="Text36"/>
      <w:r>
        <w:rPr>
          <w:sz w:val="24"/>
          <w:szCs w:val="24"/>
        </w:rPr>
        <w:instrText xml:space="preserve"> FORMTEXT </w:instrText>
      </w:r>
      <w:r w:rsidR="009D1D95">
        <w:rPr>
          <w:sz w:val="24"/>
          <w:szCs w:val="24"/>
        </w:rPr>
      </w:r>
      <w:r w:rsidR="009D1D9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D1D95">
        <w:rPr>
          <w:sz w:val="24"/>
          <w:szCs w:val="24"/>
        </w:rPr>
        <w:fldChar w:fldCharType="end"/>
      </w:r>
      <w:bookmarkEnd w:id="2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21" w:name="Text26"/>
      <w:r w:rsidR="009D1D95">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9D1D95">
        <w:rPr>
          <w:sz w:val="24"/>
          <w:szCs w:val="24"/>
        </w:rPr>
      </w:r>
      <w:r w:rsidR="009D1D95">
        <w:rPr>
          <w:sz w:val="24"/>
          <w:szCs w:val="24"/>
        </w:rPr>
        <w:fldChar w:fldCharType="separate"/>
      </w:r>
      <w:r w:rsidR="00FD4C53">
        <w:rPr>
          <w:noProof/>
          <w:sz w:val="24"/>
          <w:szCs w:val="24"/>
        </w:rPr>
        <w:t>17 July 2017</w:t>
      </w:r>
      <w:r w:rsidR="009D1D95">
        <w:rPr>
          <w:sz w:val="24"/>
          <w:szCs w:val="24"/>
        </w:rPr>
        <w:fldChar w:fldCharType="end"/>
      </w:r>
      <w:bookmarkEnd w:id="21"/>
    </w:p>
    <w:p w:rsidR="00D06A0F" w:rsidRPr="00C87FCA" w:rsidRDefault="00D06A0F" w:rsidP="00E57D4D">
      <w:pPr>
        <w:pBdr>
          <w:top w:val="dotted" w:sz="4" w:space="1" w:color="auto"/>
          <w:bottom w:val="dotted" w:sz="4" w:space="1" w:color="auto"/>
        </w:pBdr>
        <w:jc w:val="center"/>
        <w:rPr>
          <w:sz w:val="24"/>
          <w:szCs w:val="24"/>
          <w:highlight w:val="lightGray"/>
        </w:rPr>
      </w:pPr>
      <w:bookmarkStart w:id="22" w:name="Dropdown2"/>
    </w:p>
    <w:bookmarkStart w:id="23" w:name="Dropdown8"/>
    <w:bookmarkEnd w:id="22"/>
    <w:p w:rsidR="00C87FCA" w:rsidRDefault="009D1D95"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sidR="00B44B08">
        <w:rPr>
          <w:b/>
          <w:sz w:val="24"/>
          <w:szCs w:val="24"/>
        </w:rPr>
      </w:r>
      <w:r w:rsidR="00B44B08">
        <w:rPr>
          <w:b/>
          <w:sz w:val="24"/>
          <w:szCs w:val="24"/>
        </w:rPr>
        <w:fldChar w:fldCharType="separate"/>
      </w:r>
      <w:r>
        <w:rPr>
          <w:b/>
          <w:sz w:val="24"/>
          <w:szCs w:val="24"/>
        </w:rPr>
        <w:fldChar w:fldCharType="end"/>
      </w:r>
      <w:bookmarkEnd w:id="2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D1D95"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M. Twomey, CJ"/>
              <w:listEntry w:val="R. Govinden, J"/>
              <w:listEntry w:val="Karunakaran J"/>
              <w:listEntry w:val="Renaud J"/>
              <w:listEntry w:val="Burhan J"/>
              <w:listEntry w:val="Dodin J"/>
              <w:listEntry w:val="Robinson J"/>
              <w:listEntry w:val="De Silva J"/>
              <w:listEntry w:val="McKee J"/>
              <w:listEntry w:val="Akiiki-Kiiza J"/>
              <w:listEntry w:val="S.Govinden J"/>
              <w:listEntry w:val="Nunkoo J"/>
              <w:listEntry w:val="Vidot J"/>
              <w:listEntry w:val="Pillay , J"/>
              <w:listEntry w:val="Egonda-Ntende CJ"/>
            </w:ddList>
          </w:ffData>
        </w:fldChar>
      </w:r>
      <w:bookmarkStart w:id="24" w:name="Dropdown9"/>
      <w:r w:rsidR="00FE6041">
        <w:rPr>
          <w:b/>
          <w:sz w:val="24"/>
          <w:szCs w:val="24"/>
        </w:rPr>
        <w:instrText xml:space="preserve"> FORMDROPDOWN </w:instrText>
      </w:r>
      <w:r w:rsidR="00B44B08">
        <w:rPr>
          <w:b/>
          <w:sz w:val="24"/>
          <w:szCs w:val="24"/>
        </w:rPr>
      </w:r>
      <w:r w:rsidR="00B44B08">
        <w:rPr>
          <w:b/>
          <w:sz w:val="24"/>
          <w:szCs w:val="24"/>
        </w:rPr>
        <w:fldChar w:fldCharType="separate"/>
      </w:r>
      <w:r>
        <w:rPr>
          <w:b/>
          <w:sz w:val="24"/>
          <w:szCs w:val="24"/>
        </w:rPr>
        <w:fldChar w:fldCharType="end"/>
      </w:r>
      <w:bookmarkEnd w:id="24"/>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FD4C53" w:rsidP="00464531">
      <w:pPr>
        <w:pStyle w:val="JudgmentText"/>
      </w:pPr>
      <w:r>
        <w:lastRenderedPageBreak/>
        <w:t>The Appellant is dissatisfied with the judgment of the Rent Board delivered on the 16</w:t>
      </w:r>
      <w:r w:rsidRPr="00FD4C53">
        <w:rPr>
          <w:vertAlign w:val="superscript"/>
        </w:rPr>
        <w:t>th</w:t>
      </w:r>
      <w:r>
        <w:t xml:space="preserve"> February, 2016 in favour of the Respondent despite the fact that the Respondent failed to appear or present any evidence at the hearing. Learned counsel for the Appellant submitted that the </w:t>
      </w:r>
      <w:r w:rsidR="005A15C0">
        <w:t xml:space="preserve">Rent Board </w:t>
      </w:r>
      <w:r>
        <w:t>erred in finding in favo</w:t>
      </w:r>
      <w:r w:rsidR="00DA527C">
        <w:t>ur of the Respondent considering the circumstances of the case.</w:t>
      </w:r>
    </w:p>
    <w:p w:rsidR="00DA527C" w:rsidRDefault="00DA527C" w:rsidP="00464531">
      <w:pPr>
        <w:pStyle w:val="JudgmentText"/>
      </w:pPr>
      <w:r>
        <w:lastRenderedPageBreak/>
        <w:t>The brief facts of the case are that Respondent had a one year lease of the Appellant’s property paying a monthly rent of SCR 21,850 inclusive of VAT. The said lease expired on 31</w:t>
      </w:r>
      <w:r w:rsidRPr="00DA527C">
        <w:rPr>
          <w:vertAlign w:val="superscript"/>
        </w:rPr>
        <w:t>st</w:t>
      </w:r>
      <w:r>
        <w:t xml:space="preserve"> December, 2014 and was never renewed but the Respondent continued to occupy the property. It appears that the Respondent continued to pay rent albeit with 2 months arrears until the judgment of the </w:t>
      </w:r>
      <w:r w:rsidR="005A15C0">
        <w:t>Rent Board</w:t>
      </w:r>
      <w:r>
        <w:t xml:space="preserve"> in February, 2016 when payment ceased with 2 months’ arrears still outstanding.</w:t>
      </w:r>
    </w:p>
    <w:p w:rsidR="003D4075" w:rsidRDefault="00DA527C" w:rsidP="00464531">
      <w:pPr>
        <w:pStyle w:val="JudgmentText"/>
      </w:pPr>
      <w:r>
        <w:t xml:space="preserve">At the hearing before the </w:t>
      </w:r>
      <w:r w:rsidR="005A15C0">
        <w:t>Rent Board</w:t>
      </w:r>
      <w:r>
        <w:t xml:space="preserve">, the Respondent despite having been aware and having made previous appearances, did not appear </w:t>
      </w:r>
      <w:r w:rsidR="00D67412">
        <w:t xml:space="preserve">but was represented by counsel when the Appellant testified. On the date set for the Respondent’s case the Respondent did not appear and learned counsel for the Respondent informed the Tribunal that he had no contact with the Respondent. No evidence was adduced </w:t>
      </w:r>
      <w:r w:rsidR="003D4075">
        <w:t xml:space="preserve">by or </w:t>
      </w:r>
      <w:r w:rsidR="00D67412">
        <w:t xml:space="preserve">for the Respondent </w:t>
      </w:r>
      <w:r>
        <w:t xml:space="preserve">and </w:t>
      </w:r>
      <w:r w:rsidR="00D67412">
        <w:t>the case was set for judgment which was delivered on the 16</w:t>
      </w:r>
      <w:r w:rsidR="00D67412" w:rsidRPr="00D67412">
        <w:rPr>
          <w:vertAlign w:val="superscript"/>
        </w:rPr>
        <w:t>th</w:t>
      </w:r>
      <w:r w:rsidR="00D67412">
        <w:t xml:space="preserve"> February 2016 in favour of the Respondent.</w:t>
      </w:r>
      <w:r w:rsidR="003D4075">
        <w:t xml:space="preserve"> </w:t>
      </w:r>
    </w:p>
    <w:p w:rsidR="005A15C0" w:rsidRDefault="005A15C0" w:rsidP="00464531">
      <w:pPr>
        <w:pStyle w:val="JudgmentText"/>
      </w:pPr>
      <w:r>
        <w:t>Proceedings before the Rent Board are guided by the provisions of section 17 of the control of Rent and Tenancy Agreement Act which states:</w:t>
      </w:r>
    </w:p>
    <w:p w:rsidR="005A15C0" w:rsidRPr="005A15C0" w:rsidRDefault="005A15C0" w:rsidP="005A15C0">
      <w:pPr>
        <w:pStyle w:val="LongQuotation"/>
        <w:rPr>
          <w:i/>
        </w:rPr>
      </w:pPr>
      <w:r>
        <w:t>“17.</w:t>
      </w:r>
      <w:r>
        <w:rPr>
          <w:rStyle w:val="apple-converted-space"/>
          <w:color w:val="000000"/>
          <w:sz w:val="22"/>
          <w:szCs w:val="22"/>
        </w:rPr>
        <w:t> </w:t>
      </w:r>
      <w:r w:rsidRPr="005A15C0">
        <w:rPr>
          <w:i/>
        </w:rPr>
        <w:t>(1) The Board before making any order shall give all interested parties the opportunity of being heard and of producing such evidence as may to be Board seem relevant.</w:t>
      </w:r>
    </w:p>
    <w:p w:rsidR="005A15C0" w:rsidRPr="005A15C0" w:rsidRDefault="005A15C0" w:rsidP="005A15C0">
      <w:pPr>
        <w:pStyle w:val="LongQuotation"/>
        <w:rPr>
          <w:i/>
        </w:rPr>
      </w:pPr>
      <w:r w:rsidRPr="005A15C0">
        <w:rPr>
          <w:i/>
        </w:rPr>
        <w:t>(2) The Board may examine witnesses and may summon any person to appear before it and may require such person to produce any document including a document of title which it considers relevant.</w:t>
      </w:r>
    </w:p>
    <w:p w:rsidR="005A15C0" w:rsidRDefault="005A15C0" w:rsidP="005A15C0">
      <w:pPr>
        <w:pStyle w:val="LongQuotation"/>
        <w:rPr>
          <w:i/>
        </w:rPr>
      </w:pPr>
      <w:r w:rsidRPr="005A15C0">
        <w:rPr>
          <w:i/>
        </w:rPr>
        <w:t>(3) The laws of Seychelles relating to witnesses and evidence shall be applicable to all witnesses appearing and to all evidence taken before the Board which is hereby authorised through its Chairman to administer an oath to any witness appearing before it or allow an affirmation or a declaration to be made by such witness.</w:t>
      </w:r>
    </w:p>
    <w:p w:rsidR="005A15C0" w:rsidRPr="005A15C0" w:rsidRDefault="005A15C0" w:rsidP="005A15C0">
      <w:pPr>
        <w:pStyle w:val="LongQuotation"/>
        <w:rPr>
          <w:i/>
        </w:rPr>
      </w:pPr>
      <w:r>
        <w:rPr>
          <w:i/>
        </w:rPr>
        <w:t>(4)...”</w:t>
      </w:r>
    </w:p>
    <w:p w:rsidR="00DA527C" w:rsidRDefault="005A15C0" w:rsidP="00464531">
      <w:pPr>
        <w:pStyle w:val="JudgmentText"/>
      </w:pPr>
      <w:r>
        <w:t>Section 22</w:t>
      </w:r>
      <w:r w:rsidR="00CA484D">
        <w:t xml:space="preserve"> regarding appeals s</w:t>
      </w:r>
      <w:r>
        <w:t>tates:</w:t>
      </w:r>
    </w:p>
    <w:p w:rsidR="00CA484D" w:rsidRDefault="00CA484D" w:rsidP="00CA484D">
      <w:pPr>
        <w:pStyle w:val="LongQuotation"/>
        <w:rPr>
          <w:i/>
          <w:shd w:val="clear" w:color="auto" w:fill="FFFFFF"/>
        </w:rPr>
      </w:pPr>
      <w:r>
        <w:rPr>
          <w:i/>
          <w:shd w:val="clear" w:color="auto" w:fill="FFFFFF"/>
        </w:rPr>
        <w:t>“</w:t>
      </w:r>
      <w:r w:rsidR="005A15C0" w:rsidRPr="00CA484D">
        <w:rPr>
          <w:i/>
          <w:shd w:val="clear" w:color="auto" w:fill="FFFFFF"/>
        </w:rPr>
        <w:t xml:space="preserve">22.       (1) Any person aggrieved by any decision or order of the Board may appeal to the Supreme Court on a question of law or of fact or of mixed law and fact, and the Supreme  affirm, reverse, amend or alter, the decision appealed from, or remit the matter to the Board with the directions of the </w:t>
      </w:r>
      <w:r w:rsidR="005A15C0" w:rsidRPr="00CA484D">
        <w:rPr>
          <w:i/>
          <w:shd w:val="clear" w:color="auto" w:fill="FFFFFF"/>
        </w:rPr>
        <w:lastRenderedPageBreak/>
        <w:t>Court thereon, and may make any orders as to costs and all such orders shall be final and conclusive on all parties.</w:t>
      </w:r>
    </w:p>
    <w:p w:rsidR="005A15C0" w:rsidRDefault="00CA484D" w:rsidP="00CA484D">
      <w:pPr>
        <w:pStyle w:val="LongQuotation"/>
        <w:rPr>
          <w:i/>
          <w:shd w:val="clear" w:color="auto" w:fill="FFFFFF"/>
        </w:rPr>
      </w:pPr>
      <w:r>
        <w:rPr>
          <w:i/>
          <w:shd w:val="clear" w:color="auto" w:fill="FFFFFF"/>
        </w:rPr>
        <w:t>(2)...”</w:t>
      </w:r>
    </w:p>
    <w:p w:rsidR="00CA484D" w:rsidRDefault="00CA484D" w:rsidP="00CA484D">
      <w:pPr>
        <w:pStyle w:val="JudgmentText"/>
      </w:pPr>
      <w:r>
        <w:t>It is trite law that where there is no specific provision guiding the Rent Board on matters of procedures applicable in the Act, basic provisions of the Seychelles Code of Civil Procedures Act would apply</w:t>
      </w:r>
      <w:r w:rsidR="00B25D54">
        <w:t>. In this case section 65 of the SCCP Act which states:</w:t>
      </w:r>
    </w:p>
    <w:p w:rsidR="00B25D54" w:rsidRDefault="00B25D54" w:rsidP="00B25D54">
      <w:pPr>
        <w:pStyle w:val="LongQuotation"/>
        <w:rPr>
          <w:i/>
          <w:shd w:val="clear" w:color="auto" w:fill="FFFFFF"/>
        </w:rPr>
      </w:pPr>
      <w:r>
        <w:rPr>
          <w:i/>
          <w:shd w:val="clear" w:color="auto" w:fill="FFFFFF"/>
        </w:rPr>
        <w:t>“</w:t>
      </w:r>
      <w:r w:rsidRPr="00B25D54">
        <w:rPr>
          <w:i/>
          <w:shd w:val="clear" w:color="auto" w:fill="FFFFFF"/>
        </w:rPr>
        <w:t>65.       If on the day so fixed in the summons when the case is called on the plaintiff appears but the defendant does not appear or sufficiently excuse his absence, the court, after due proof of the service of the summons, may proceed to the hearing of the suit and may give judgment in the absence of the defendant, or may adjourn the hearing of the suit ex parte.</w:t>
      </w:r>
      <w:r>
        <w:rPr>
          <w:i/>
          <w:shd w:val="clear" w:color="auto" w:fill="FFFFFF"/>
        </w:rPr>
        <w:t>”</w:t>
      </w:r>
    </w:p>
    <w:p w:rsidR="00B45D4A" w:rsidRDefault="00B25D54" w:rsidP="00B25D54">
      <w:pPr>
        <w:pStyle w:val="JudgmentText"/>
      </w:pPr>
      <w:r>
        <w:t>In this case, the Rent Board after hearing the Appellant, adjourned the case for the Respondent to appear and still on the day set for defence the Respondent did not appear but were represented by counsel who it seems was not having any contact or instructions from the Respondent. The Board  therefore rightly proceeded to give judgment but in</w:t>
      </w:r>
      <w:r w:rsidR="00B45D4A">
        <w:t xml:space="preserve"> favour of the absent Respondent.</w:t>
      </w:r>
    </w:p>
    <w:p w:rsidR="00967A72" w:rsidRDefault="00B45D4A" w:rsidP="007070FF">
      <w:pPr>
        <w:pStyle w:val="JudgmentText"/>
      </w:pPr>
      <w:r>
        <w:t xml:space="preserve">The general rule and in ordinary course of fairness if </w:t>
      </w:r>
      <w:r w:rsidRPr="00B45D4A">
        <w:rPr>
          <w:color w:val="272727"/>
          <w:shd w:val="clear" w:color="auto" w:fill="FFFFFF"/>
        </w:rPr>
        <w:t>one par</w:t>
      </w:r>
      <w:r w:rsidR="00C65836">
        <w:rPr>
          <w:color w:val="272727"/>
          <w:shd w:val="clear" w:color="auto" w:fill="FFFFFF"/>
        </w:rPr>
        <w:t>ty to a case doesn't appear in C</w:t>
      </w:r>
      <w:r w:rsidRPr="00B45D4A">
        <w:rPr>
          <w:color w:val="272727"/>
          <w:shd w:val="clear" w:color="auto" w:fill="FFFFFF"/>
        </w:rPr>
        <w:t>ourt on the proper day at the proper time, the case is normally decided in favo</w:t>
      </w:r>
      <w:r w:rsidR="007070FF">
        <w:rPr>
          <w:color w:val="272727"/>
          <w:shd w:val="clear" w:color="auto" w:fill="FFFFFF"/>
        </w:rPr>
        <w:t>u</w:t>
      </w:r>
      <w:r w:rsidRPr="00B45D4A">
        <w:rPr>
          <w:color w:val="272727"/>
          <w:shd w:val="clear" w:color="auto" w:fill="FFFFFF"/>
        </w:rPr>
        <w:t>r of the othe</w:t>
      </w:r>
      <w:r>
        <w:rPr>
          <w:color w:val="272727"/>
          <w:shd w:val="clear" w:color="auto" w:fill="FFFFFF"/>
        </w:rPr>
        <w:t>r</w:t>
      </w:r>
      <w:r w:rsidR="007070FF">
        <w:rPr>
          <w:color w:val="272727"/>
          <w:shd w:val="clear" w:color="auto" w:fill="FFFFFF"/>
        </w:rPr>
        <w:t xml:space="preserve"> who appeared.</w:t>
      </w:r>
      <w:r w:rsidR="007070FF" w:rsidRPr="007070FF">
        <w:t xml:space="preserve"> </w:t>
      </w:r>
      <w:r w:rsidR="007070FF">
        <w:t>Because the defendant is not present to contradict anything said, usually the Court will rule in favour of the party present as long as the party state the bare bones of a valid legal claim which would stand uncontradicted.</w:t>
      </w:r>
      <w:r w:rsidR="00337F36">
        <w:t xml:space="preserve"> It is not a </w:t>
      </w:r>
      <w:r w:rsidR="00967A72">
        <w:t xml:space="preserve">therefore </w:t>
      </w:r>
      <w:r w:rsidR="00337F36">
        <w:t xml:space="preserve">foregone conclusion that if the Respondent fails to appear the judgment must be in favour of the Applicant. </w:t>
      </w:r>
    </w:p>
    <w:p w:rsidR="007070FF" w:rsidRDefault="00967A72" w:rsidP="007070FF">
      <w:pPr>
        <w:pStyle w:val="JudgmentText"/>
      </w:pPr>
      <w:r>
        <w:t>Going over the records of the hearing of evidence of the Applicant,</w:t>
      </w:r>
      <w:r w:rsidR="00337F36">
        <w:t xml:space="preserve"> </w:t>
      </w:r>
      <w:r>
        <w:t>it is obvious that the Appellant did the needful reciting that evidence in line with the pleadings and the claim. Such was clearly sufficient to allow the Board to enter judgment in favour of the Applicant. In fact, the records show that there was not even any submission by learned counsel for the Respondent to the contrary as at the time he was no longer receiving instructions from the Respondent. The deter</w:t>
      </w:r>
      <w:r w:rsidR="003D6338">
        <w:t>mination of the Rent Board is</w:t>
      </w:r>
      <w:r>
        <w:t xml:space="preserve"> devoid of any</w:t>
      </w:r>
      <w:r w:rsidR="003D6338">
        <w:t xml:space="preserve"> factual basis and it </w:t>
      </w:r>
      <w:r w:rsidR="003D6338">
        <w:lastRenderedPageBreak/>
        <w:t>appears</w:t>
      </w:r>
      <w:r>
        <w:t xml:space="preserve"> the Board expected the Applicant to establish its case to a very high degree of probability which was not necessary in the circumstances.  </w:t>
      </w:r>
    </w:p>
    <w:p w:rsidR="007070FF" w:rsidRDefault="00712ED3" w:rsidP="00B45D4A">
      <w:pPr>
        <w:pStyle w:val="JudgmentText"/>
      </w:pPr>
      <w:r>
        <w:t>Consequently</w:t>
      </w:r>
      <w:r w:rsidR="003D6338">
        <w:t xml:space="preserve"> I find that the Rent Board erred in giving judgment in favour of the absent Respondent in the circumstances. I quash the judgment of the Rent Board and instead enter judgment in favour of the Appellant as follows:</w:t>
      </w:r>
    </w:p>
    <w:p w:rsidR="003D6338" w:rsidRDefault="003D6338" w:rsidP="003D6338">
      <w:pPr>
        <w:pStyle w:val="JudgmentText"/>
        <w:numPr>
          <w:ilvl w:val="0"/>
          <w:numId w:val="0"/>
        </w:numPr>
        <w:ind w:left="720"/>
      </w:pPr>
      <w:r>
        <w:t xml:space="preserve">1. </w:t>
      </w:r>
      <w:r>
        <w:tab/>
        <w:t>The Respondent is ordered to vacate the premises of the Appellant forthwith;</w:t>
      </w:r>
    </w:p>
    <w:p w:rsidR="00F364D9" w:rsidRDefault="003D6338" w:rsidP="003D6338">
      <w:pPr>
        <w:pStyle w:val="JudgmentText"/>
        <w:numPr>
          <w:ilvl w:val="0"/>
          <w:numId w:val="0"/>
        </w:numPr>
        <w:ind w:left="1440" w:hanging="720"/>
      </w:pPr>
      <w:r>
        <w:t>2.</w:t>
      </w:r>
      <w:r>
        <w:tab/>
        <w:t xml:space="preserve">The Respondent is ordered to pay to the Appellant </w:t>
      </w:r>
      <w:r w:rsidR="00F364D9">
        <w:t xml:space="preserve">arrears of rent in </w:t>
      </w:r>
      <w:r>
        <w:t>the sum of SCR 21,850</w:t>
      </w:r>
      <w:r w:rsidR="00F364D9">
        <w:t xml:space="preserve"> per month from</w:t>
      </w:r>
      <w:r>
        <w:t xml:space="preserve"> the month of January, 2016</w:t>
      </w:r>
      <w:r w:rsidR="00F364D9">
        <w:t xml:space="preserve"> to the date of this judgment.</w:t>
      </w:r>
    </w:p>
    <w:p w:rsidR="003D6338" w:rsidRPr="007070FF" w:rsidRDefault="00F364D9" w:rsidP="00F364D9">
      <w:pPr>
        <w:pStyle w:val="JudgmentText"/>
      </w:pPr>
      <w:r>
        <w:t xml:space="preserve">I </w:t>
      </w:r>
      <w:r w:rsidR="00C65836">
        <w:t>award</w:t>
      </w:r>
      <w:r>
        <w:t xml:space="preserve"> cost</w:t>
      </w:r>
      <w:r w:rsidR="00C65836">
        <w:t>s to the Appellant</w:t>
      </w:r>
      <w:r>
        <w:t>.</w:t>
      </w:r>
      <w:r w:rsidR="003D6338">
        <w:t xml:space="preserve"> </w:t>
      </w:r>
    </w:p>
    <w:p w:rsidR="00EF2051" w:rsidRPr="00B45D4A" w:rsidRDefault="00EF2051" w:rsidP="00B45D4A">
      <w:pPr>
        <w:pStyle w:val="JudgmentText"/>
        <w:sectPr w:rsidR="00EF2051" w:rsidRPr="00B45D4A"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5" w:name="Text19"/>
      <w:r w:rsidR="009D1D95">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9D1D95">
        <w:rPr>
          <w:sz w:val="24"/>
          <w:szCs w:val="24"/>
        </w:rPr>
      </w:r>
      <w:r w:rsidR="009D1D95">
        <w:rPr>
          <w:sz w:val="24"/>
          <w:szCs w:val="24"/>
        </w:rPr>
        <w:fldChar w:fldCharType="separate"/>
      </w:r>
      <w:r w:rsidR="004E65B2">
        <w:rPr>
          <w:sz w:val="24"/>
          <w:szCs w:val="24"/>
        </w:rPr>
        <w:t>17 July 2017</w:t>
      </w:r>
      <w:r w:rsidR="009D1D95">
        <w:rPr>
          <w:sz w:val="24"/>
          <w:szCs w:val="24"/>
        </w:rPr>
        <w:fldChar w:fldCharType="end"/>
      </w:r>
      <w:bookmarkEnd w:id="25"/>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9D1D95"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M. Twomey, CJ"/>
              <w:listEntry w:val="R. Govinden,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Pillay, J"/>
              <w:listEntry w:val="F M S Egonda-Ntende"/>
            </w:ddList>
          </w:ffData>
        </w:fldChar>
      </w:r>
      <w:bookmarkStart w:id="26" w:name="Dropdown6"/>
      <w:r w:rsidR="00FE6041">
        <w:rPr>
          <w:sz w:val="24"/>
          <w:szCs w:val="24"/>
        </w:rPr>
        <w:instrText xml:space="preserve"> FORMDROPDOWN </w:instrText>
      </w:r>
      <w:r w:rsidR="00B44B08">
        <w:rPr>
          <w:sz w:val="24"/>
          <w:szCs w:val="24"/>
        </w:rPr>
      </w:r>
      <w:r w:rsidR="00B44B08">
        <w:rPr>
          <w:sz w:val="24"/>
          <w:szCs w:val="24"/>
        </w:rPr>
        <w:fldChar w:fldCharType="separate"/>
      </w:r>
      <w:r>
        <w:rPr>
          <w:sz w:val="24"/>
          <w:szCs w:val="24"/>
        </w:rPr>
        <w:fldChar w:fldCharType="end"/>
      </w:r>
      <w:bookmarkEnd w:id="26"/>
    </w:p>
    <w:bookmarkStart w:id="27" w:name="Dropdown7"/>
    <w:p w:rsidR="009E05E5" w:rsidRPr="00E33F35" w:rsidRDefault="009D1D95"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B44B08">
        <w:rPr>
          <w:b/>
          <w:sz w:val="24"/>
          <w:szCs w:val="24"/>
        </w:rPr>
      </w:r>
      <w:r w:rsidR="00B44B08">
        <w:rPr>
          <w:b/>
          <w:sz w:val="24"/>
          <w:szCs w:val="24"/>
        </w:rPr>
        <w:fldChar w:fldCharType="separate"/>
      </w:r>
      <w:r>
        <w:rPr>
          <w:b/>
          <w:sz w:val="24"/>
          <w:szCs w:val="24"/>
        </w:rPr>
        <w:fldChar w:fldCharType="end"/>
      </w:r>
      <w:bookmarkEnd w:id="27"/>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B08" w:rsidRDefault="00B44B08" w:rsidP="00DB6D34">
      <w:r>
        <w:separator/>
      </w:r>
    </w:p>
  </w:endnote>
  <w:endnote w:type="continuationSeparator" w:id="0">
    <w:p w:rsidR="00B44B08" w:rsidRDefault="00B44B0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9D1D95">
    <w:pPr>
      <w:pStyle w:val="Footer"/>
      <w:jc w:val="center"/>
    </w:pPr>
    <w:r>
      <w:fldChar w:fldCharType="begin"/>
    </w:r>
    <w:r w:rsidR="00D37E4B">
      <w:instrText xml:space="preserve"> PAGE   \* MERGEFORMAT </w:instrText>
    </w:r>
    <w:r>
      <w:fldChar w:fldCharType="separate"/>
    </w:r>
    <w:r w:rsidR="0090495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B08" w:rsidRDefault="00B44B08" w:rsidP="00DB6D34">
      <w:r>
        <w:separator/>
      </w:r>
    </w:p>
  </w:footnote>
  <w:footnote w:type="continuationSeparator" w:id="0">
    <w:p w:rsidR="00B44B08" w:rsidRDefault="00B44B0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7C"/>
    <w:rsid w:val="00000407"/>
    <w:rsid w:val="00005BEF"/>
    <w:rsid w:val="00030C81"/>
    <w:rsid w:val="00062255"/>
    <w:rsid w:val="0006489F"/>
    <w:rsid w:val="00075573"/>
    <w:rsid w:val="00082514"/>
    <w:rsid w:val="00091036"/>
    <w:rsid w:val="000911E9"/>
    <w:rsid w:val="000A10B8"/>
    <w:rsid w:val="000B7E37"/>
    <w:rsid w:val="000D1DD3"/>
    <w:rsid w:val="000E39A5"/>
    <w:rsid w:val="000E7400"/>
    <w:rsid w:val="001008BC"/>
    <w:rsid w:val="00101D12"/>
    <w:rsid w:val="0010732D"/>
    <w:rsid w:val="00117CBF"/>
    <w:rsid w:val="00126A10"/>
    <w:rsid w:val="001376AB"/>
    <w:rsid w:val="00144612"/>
    <w:rsid w:val="0014598E"/>
    <w:rsid w:val="0016510C"/>
    <w:rsid w:val="00180158"/>
    <w:rsid w:val="001B21BC"/>
    <w:rsid w:val="001E4ED8"/>
    <w:rsid w:val="001F255E"/>
    <w:rsid w:val="0020244B"/>
    <w:rsid w:val="00225016"/>
    <w:rsid w:val="00231C17"/>
    <w:rsid w:val="00236AAC"/>
    <w:rsid w:val="0024353F"/>
    <w:rsid w:val="00250A3E"/>
    <w:rsid w:val="00290E14"/>
    <w:rsid w:val="002A7376"/>
    <w:rsid w:val="002B2255"/>
    <w:rsid w:val="002C7560"/>
    <w:rsid w:val="002D06AA"/>
    <w:rsid w:val="002D67FC"/>
    <w:rsid w:val="002E6963"/>
    <w:rsid w:val="002F40A1"/>
    <w:rsid w:val="00301D88"/>
    <w:rsid w:val="00304E76"/>
    <w:rsid w:val="00307099"/>
    <w:rsid w:val="003124CA"/>
    <w:rsid w:val="00337F36"/>
    <w:rsid w:val="003647E7"/>
    <w:rsid w:val="00377341"/>
    <w:rsid w:val="003838CC"/>
    <w:rsid w:val="003862CB"/>
    <w:rsid w:val="0038700C"/>
    <w:rsid w:val="003B461C"/>
    <w:rsid w:val="003B4C19"/>
    <w:rsid w:val="003C17AC"/>
    <w:rsid w:val="003D4075"/>
    <w:rsid w:val="003D58AA"/>
    <w:rsid w:val="003D6338"/>
    <w:rsid w:val="003D7B97"/>
    <w:rsid w:val="003E2ABC"/>
    <w:rsid w:val="003E404C"/>
    <w:rsid w:val="003F0F8D"/>
    <w:rsid w:val="004156B9"/>
    <w:rsid w:val="0043660F"/>
    <w:rsid w:val="00445BFA"/>
    <w:rsid w:val="00452BB6"/>
    <w:rsid w:val="0046133B"/>
    <w:rsid w:val="00464531"/>
    <w:rsid w:val="004B22D0"/>
    <w:rsid w:val="004C3D80"/>
    <w:rsid w:val="004E65B2"/>
    <w:rsid w:val="004F3823"/>
    <w:rsid w:val="005207C8"/>
    <w:rsid w:val="00530663"/>
    <w:rsid w:val="0055036F"/>
    <w:rsid w:val="005514D6"/>
    <w:rsid w:val="00552704"/>
    <w:rsid w:val="00572AB3"/>
    <w:rsid w:val="005836AC"/>
    <w:rsid w:val="00584583"/>
    <w:rsid w:val="00594FAC"/>
    <w:rsid w:val="005A15C0"/>
    <w:rsid w:val="005E6584"/>
    <w:rsid w:val="00606587"/>
    <w:rsid w:val="00606EEA"/>
    <w:rsid w:val="0061371B"/>
    <w:rsid w:val="006174DB"/>
    <w:rsid w:val="00637194"/>
    <w:rsid w:val="0064023C"/>
    <w:rsid w:val="006578C2"/>
    <w:rsid w:val="00666D33"/>
    <w:rsid w:val="00675FAF"/>
    <w:rsid w:val="006A58E4"/>
    <w:rsid w:val="006D36C9"/>
    <w:rsid w:val="007070FF"/>
    <w:rsid w:val="00712ED3"/>
    <w:rsid w:val="007175A6"/>
    <w:rsid w:val="00741231"/>
    <w:rsid w:val="00744508"/>
    <w:rsid w:val="0077082A"/>
    <w:rsid w:val="007A47DC"/>
    <w:rsid w:val="007B6178"/>
    <w:rsid w:val="007C2809"/>
    <w:rsid w:val="007C75D9"/>
    <w:rsid w:val="007D416E"/>
    <w:rsid w:val="00807411"/>
    <w:rsid w:val="00814147"/>
    <w:rsid w:val="00814CF5"/>
    <w:rsid w:val="00816425"/>
    <w:rsid w:val="00821758"/>
    <w:rsid w:val="00822D1A"/>
    <w:rsid w:val="00823079"/>
    <w:rsid w:val="0083298A"/>
    <w:rsid w:val="00841387"/>
    <w:rsid w:val="008472B3"/>
    <w:rsid w:val="008478D6"/>
    <w:rsid w:val="00883106"/>
    <w:rsid w:val="008965A6"/>
    <w:rsid w:val="008A2ABD"/>
    <w:rsid w:val="008A5208"/>
    <w:rsid w:val="008C0FD6"/>
    <w:rsid w:val="008C1315"/>
    <w:rsid w:val="008E103F"/>
    <w:rsid w:val="008E1DB1"/>
    <w:rsid w:val="008E512C"/>
    <w:rsid w:val="008E7613"/>
    <w:rsid w:val="008E7749"/>
    <w:rsid w:val="008E7F92"/>
    <w:rsid w:val="008F0C10"/>
    <w:rsid w:val="008F38F7"/>
    <w:rsid w:val="00902D3C"/>
    <w:rsid w:val="0090495E"/>
    <w:rsid w:val="00926D09"/>
    <w:rsid w:val="009336BA"/>
    <w:rsid w:val="00937FB4"/>
    <w:rsid w:val="0094087C"/>
    <w:rsid w:val="00951EC0"/>
    <w:rsid w:val="0096041D"/>
    <w:rsid w:val="00967A72"/>
    <w:rsid w:val="00981287"/>
    <w:rsid w:val="00983045"/>
    <w:rsid w:val="009D1D95"/>
    <w:rsid w:val="009E05E5"/>
    <w:rsid w:val="009F1B68"/>
    <w:rsid w:val="009F4DC4"/>
    <w:rsid w:val="00A11166"/>
    <w:rsid w:val="00A14038"/>
    <w:rsid w:val="00A42850"/>
    <w:rsid w:val="00A53837"/>
    <w:rsid w:val="00A6275A"/>
    <w:rsid w:val="00A65340"/>
    <w:rsid w:val="00A80E4E"/>
    <w:rsid w:val="00AC3885"/>
    <w:rsid w:val="00AD75CD"/>
    <w:rsid w:val="00AE20BF"/>
    <w:rsid w:val="00B05D6E"/>
    <w:rsid w:val="00B119B1"/>
    <w:rsid w:val="00B14612"/>
    <w:rsid w:val="00B23E73"/>
    <w:rsid w:val="00B25D54"/>
    <w:rsid w:val="00B4124C"/>
    <w:rsid w:val="00B44B08"/>
    <w:rsid w:val="00B45AFC"/>
    <w:rsid w:val="00B45D4A"/>
    <w:rsid w:val="00B4625E"/>
    <w:rsid w:val="00B75AE2"/>
    <w:rsid w:val="00B839EE"/>
    <w:rsid w:val="00B9148E"/>
    <w:rsid w:val="00B94805"/>
    <w:rsid w:val="00BA6027"/>
    <w:rsid w:val="00BC1D95"/>
    <w:rsid w:val="00BC349F"/>
    <w:rsid w:val="00BC73D2"/>
    <w:rsid w:val="00BD4287"/>
    <w:rsid w:val="00BD60D5"/>
    <w:rsid w:val="00BE1D00"/>
    <w:rsid w:val="00BE3628"/>
    <w:rsid w:val="00BE424C"/>
    <w:rsid w:val="00BF5CC9"/>
    <w:rsid w:val="00C036A5"/>
    <w:rsid w:val="00C065A3"/>
    <w:rsid w:val="00C14327"/>
    <w:rsid w:val="00C210A6"/>
    <w:rsid w:val="00C22967"/>
    <w:rsid w:val="00C35333"/>
    <w:rsid w:val="00C55FDF"/>
    <w:rsid w:val="00C5739F"/>
    <w:rsid w:val="00C65836"/>
    <w:rsid w:val="00C87FCA"/>
    <w:rsid w:val="00CA1B0C"/>
    <w:rsid w:val="00CA484D"/>
    <w:rsid w:val="00CA7795"/>
    <w:rsid w:val="00CA7F40"/>
    <w:rsid w:val="00CB3C7E"/>
    <w:rsid w:val="00D03314"/>
    <w:rsid w:val="00D06A0F"/>
    <w:rsid w:val="00D07BC0"/>
    <w:rsid w:val="00D24C89"/>
    <w:rsid w:val="00D375BB"/>
    <w:rsid w:val="00D37E4B"/>
    <w:rsid w:val="00D67412"/>
    <w:rsid w:val="00D82047"/>
    <w:rsid w:val="00DA527C"/>
    <w:rsid w:val="00DB6D34"/>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F2051"/>
    <w:rsid w:val="00F00A19"/>
    <w:rsid w:val="00F0209D"/>
    <w:rsid w:val="00F364D9"/>
    <w:rsid w:val="00F804CC"/>
    <w:rsid w:val="00F82A83"/>
    <w:rsid w:val="00FB0AFB"/>
    <w:rsid w:val="00FB2453"/>
    <w:rsid w:val="00FB39BA"/>
    <w:rsid w:val="00FC61E3"/>
    <w:rsid w:val="00FD4C53"/>
    <w:rsid w:val="00FD51F3"/>
    <w:rsid w:val="00FE60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CEDE1-0DD4-4539-8393-D13FC53A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 w:type="paragraph" w:customStyle="1" w:styleId="estatutes-1-section">
    <w:name w:val="estatutes-1-section"/>
    <w:basedOn w:val="Normal"/>
    <w:rsid w:val="005A15C0"/>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5A15C0"/>
  </w:style>
  <w:style w:type="paragraph" w:customStyle="1" w:styleId="estatutes-2-subsection">
    <w:name w:val="estatutes-2-subsection"/>
    <w:basedOn w:val="Normal"/>
    <w:rsid w:val="005A15C0"/>
    <w:pPr>
      <w:widowControl/>
      <w:autoSpaceDE/>
      <w:autoSpaceDN/>
      <w:adjustRightInd/>
      <w:spacing w:before="100" w:beforeAutospacing="1" w:after="100" w:afterAutospacing="1"/>
    </w:pPr>
    <w:rPr>
      <w:rFonts w:eastAsia="Times New Roman"/>
      <w:sz w:val="24"/>
      <w:szCs w:val="24"/>
      <w:lang w:val="en-US"/>
    </w:rPr>
  </w:style>
  <w:style w:type="paragraph" w:styleId="NormalWeb">
    <w:name w:val="Normal (Web)"/>
    <w:basedOn w:val="Normal"/>
    <w:uiPriority w:val="99"/>
    <w:semiHidden/>
    <w:unhideWhenUsed/>
    <w:rsid w:val="007070FF"/>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6152">
      <w:bodyDiv w:val="1"/>
      <w:marLeft w:val="0"/>
      <w:marRight w:val="0"/>
      <w:marTop w:val="0"/>
      <w:marBottom w:val="0"/>
      <w:divBdr>
        <w:top w:val="none" w:sz="0" w:space="0" w:color="auto"/>
        <w:left w:val="none" w:sz="0" w:space="0" w:color="auto"/>
        <w:bottom w:val="none" w:sz="0" w:space="0" w:color="auto"/>
        <w:right w:val="none" w:sz="0" w:space="0" w:color="auto"/>
      </w:divBdr>
    </w:div>
    <w:div w:id="10481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6AFE9-4955-475C-A4CF-9354AFE3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Dodin</dc:creator>
  <cp:lastModifiedBy>Dodin</cp:lastModifiedBy>
  <cp:revision>2</cp:revision>
  <cp:lastPrinted>2013-08-26T11:27:00Z</cp:lastPrinted>
  <dcterms:created xsi:type="dcterms:W3CDTF">2017-10-04T07:02:00Z</dcterms:created>
  <dcterms:modified xsi:type="dcterms:W3CDTF">2017-10-04T07:02:00Z</dcterms:modified>
</cp:coreProperties>
</file>