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DC0F29"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132634">
        <w:rPr>
          <w:b/>
          <w:sz w:val="24"/>
          <w:szCs w:val="24"/>
        </w:rPr>
        <w:t> </w:t>
      </w:r>
      <w:r w:rsidR="00132634">
        <w:rPr>
          <w:b/>
          <w:sz w:val="24"/>
          <w:szCs w:val="24"/>
        </w:rPr>
        <w:t> </w:t>
      </w:r>
      <w:r w:rsidR="00132634">
        <w:rPr>
          <w:b/>
          <w:sz w:val="24"/>
          <w:szCs w:val="24"/>
        </w:rPr>
        <w:t> </w:t>
      </w:r>
      <w:r w:rsidR="00132634">
        <w:rPr>
          <w:b/>
          <w:sz w:val="24"/>
          <w:szCs w:val="24"/>
        </w:rPr>
        <w:t> </w:t>
      </w:r>
      <w:r w:rsidR="00132634">
        <w:rPr>
          <w:b/>
          <w:sz w:val="24"/>
          <w:szCs w:val="24"/>
        </w:rPr>
        <w:t> </w:t>
      </w:r>
      <w:r w:rsidRPr="0096251D">
        <w:rPr>
          <w:b/>
          <w:sz w:val="24"/>
          <w:szCs w:val="24"/>
        </w:rPr>
        <w:fldChar w:fldCharType="end"/>
      </w:r>
      <w:bookmarkEnd w:id="0"/>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584CB2">
        <w:rPr>
          <w:b/>
          <w:sz w:val="28"/>
          <w:szCs w:val="28"/>
        </w:rPr>
        <w:t xml:space="preserve"> </w:t>
      </w:r>
      <w:r w:rsidRPr="00B75AE2">
        <w:rPr>
          <w:b/>
          <w:sz w:val="28"/>
          <w:szCs w:val="28"/>
        </w:rPr>
        <w:t>S</w:t>
      </w:r>
      <w:r w:rsidR="00BF5CC9" w:rsidRPr="00B75AE2">
        <w:rPr>
          <w:b/>
          <w:sz w:val="28"/>
          <w:szCs w:val="28"/>
        </w:rPr>
        <w:t xml:space="preserve">ide: </w:t>
      </w:r>
      <w:bookmarkStart w:id="1" w:name="Dropdown15"/>
      <w:r w:rsidR="00DC0F29">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DC0F29">
        <w:rPr>
          <w:b/>
          <w:sz w:val="28"/>
          <w:szCs w:val="28"/>
        </w:rPr>
      </w:r>
      <w:r w:rsidR="00DC0F29">
        <w:rPr>
          <w:b/>
          <w:sz w:val="28"/>
          <w:szCs w:val="28"/>
        </w:rPr>
        <w:fldChar w:fldCharType="end"/>
      </w:r>
      <w:bookmarkEnd w:id="1"/>
      <w:r w:rsidR="00985DB7">
        <w:rPr>
          <w:b/>
          <w:sz w:val="28"/>
          <w:szCs w:val="28"/>
        </w:rPr>
        <w:t>44</w:t>
      </w:r>
      <w:r w:rsidRPr="00B75AE2">
        <w:rPr>
          <w:b/>
          <w:sz w:val="28"/>
          <w:szCs w:val="28"/>
        </w:rPr>
        <w:t>/</w:t>
      </w:r>
      <w:r w:rsidR="00C87FCA" w:rsidRPr="00B75AE2">
        <w:rPr>
          <w:b/>
          <w:sz w:val="28"/>
          <w:szCs w:val="28"/>
        </w:rPr>
        <w:t>20</w:t>
      </w:r>
      <w:r w:rsidR="00342A3E">
        <w:rPr>
          <w:b/>
          <w:sz w:val="28"/>
          <w:szCs w:val="28"/>
        </w:rPr>
        <w:t>17</w:t>
      </w:r>
    </w:p>
    <w:p w:rsidR="00A53837" w:rsidRPr="00606EEA" w:rsidRDefault="00DC0F29"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DC0F29">
        <w:rPr>
          <w:b/>
          <w:sz w:val="24"/>
          <w:szCs w:val="24"/>
        </w:rPr>
        <w:fldChar w:fldCharType="begin">
          <w:ffData>
            <w:name w:val="Text4"/>
            <w:enabled/>
            <w:calcOnExit w:val="0"/>
            <w:textInput/>
          </w:ffData>
        </w:fldChar>
      </w:r>
      <w:bookmarkStart w:id="2" w:name="Text4"/>
      <w:r w:rsidR="006578C2">
        <w:rPr>
          <w:b/>
          <w:sz w:val="24"/>
          <w:szCs w:val="24"/>
        </w:rPr>
        <w:instrText xml:space="preserve"> FORMTEXT </w:instrText>
      </w:r>
      <w:r w:rsidR="00DC0F29">
        <w:rPr>
          <w:b/>
          <w:sz w:val="24"/>
          <w:szCs w:val="24"/>
        </w:rPr>
      </w:r>
      <w:r w:rsidR="00DC0F29">
        <w:rPr>
          <w:b/>
          <w:sz w:val="24"/>
          <w:szCs w:val="24"/>
        </w:rPr>
        <w:fldChar w:fldCharType="separate"/>
      </w:r>
      <w:r w:rsidR="00132634">
        <w:rPr>
          <w:b/>
          <w:noProof/>
          <w:sz w:val="24"/>
          <w:szCs w:val="24"/>
        </w:rPr>
        <w:t>7</w:t>
      </w:r>
      <w:r w:rsidR="00DC0F29">
        <w:rPr>
          <w:b/>
          <w:sz w:val="24"/>
          <w:szCs w:val="24"/>
        </w:rPr>
        <w:fldChar w:fldCharType="end"/>
      </w:r>
      <w:bookmarkEnd w:id="2"/>
      <w:r w:rsidR="00DC0F29">
        <w:rPr>
          <w:b/>
          <w:sz w:val="24"/>
          <w:szCs w:val="24"/>
        </w:rPr>
        <w:fldChar w:fldCharType="begin"/>
      </w:r>
      <w:r w:rsidR="00DC0F29">
        <w:rPr>
          <w:b/>
          <w:sz w:val="24"/>
          <w:szCs w:val="24"/>
        </w:rPr>
        <w:fldChar w:fldCharType="end"/>
      </w:r>
      <w:r w:rsidRPr="00606EEA">
        <w:rPr>
          <w:b/>
          <w:sz w:val="24"/>
          <w:szCs w:val="24"/>
        </w:rPr>
        <w:t>] SCSC</w:t>
      </w:r>
      <w:r w:rsidR="004D4983">
        <w:rPr>
          <w:b/>
          <w:sz w:val="24"/>
          <w:szCs w:val="24"/>
        </w:rPr>
        <w:t xml:space="preserve"> 893</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3" w:name="Text40"/>
      <w:bookmarkStart w:id="4" w:name="Text22"/>
      <w:r w:rsidRPr="0096251D">
        <w:rPr>
          <w:b/>
          <w:sz w:val="24"/>
          <w:szCs w:val="24"/>
        </w:rPr>
        <w:t>THE REPUBLIC</w:t>
      </w:r>
      <w:bookmarkEnd w:id="3"/>
      <w:bookmarkEnd w:id="4"/>
    </w:p>
    <w:p w:rsidR="00B40898" w:rsidRDefault="00B40898"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B119B1" w:rsidRDefault="00B119B1" w:rsidP="00951EC0">
      <w:pPr>
        <w:jc w:val="center"/>
        <w:rPr>
          <w:sz w:val="24"/>
          <w:szCs w:val="24"/>
        </w:rPr>
      </w:pPr>
    </w:p>
    <w:p w:rsidR="00342A3E" w:rsidRPr="000827FA" w:rsidRDefault="005E0CA4" w:rsidP="000F7213">
      <w:pPr>
        <w:jc w:val="center"/>
        <w:rPr>
          <w:b/>
          <w:sz w:val="24"/>
          <w:szCs w:val="24"/>
        </w:rPr>
        <w:sectPr w:rsidR="00342A3E" w:rsidRPr="000827FA" w:rsidSect="00EF2051">
          <w:type w:val="continuous"/>
          <w:pgSz w:w="12240" w:h="15840"/>
          <w:pgMar w:top="1440" w:right="1440" w:bottom="1440" w:left="1440" w:header="720" w:footer="720" w:gutter="0"/>
          <w:cols w:space="720"/>
          <w:docGrid w:linePitch="360"/>
        </w:sectPr>
      </w:pPr>
      <w:r>
        <w:rPr>
          <w:b/>
          <w:sz w:val="24"/>
          <w:szCs w:val="24"/>
        </w:rPr>
        <w:t>STEPHAN</w:t>
      </w:r>
      <w:r w:rsidR="000F7213">
        <w:rPr>
          <w:b/>
          <w:sz w:val="24"/>
          <w:szCs w:val="24"/>
        </w:rPr>
        <w:t xml:space="preserve"> MONDON &amp; ORS</w:t>
      </w:r>
    </w:p>
    <w:p w:rsidR="000827FA" w:rsidRPr="000827FA" w:rsidRDefault="000827FA" w:rsidP="00EC2898">
      <w:pPr>
        <w:spacing w:after="240"/>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0F7213" w:rsidRDefault="00E0467F" w:rsidP="000F7213">
      <w:pPr>
        <w:spacing w:before="24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71048F">
        <w:rPr>
          <w:sz w:val="24"/>
          <w:szCs w:val="24"/>
        </w:rPr>
        <w:t>22</w:t>
      </w:r>
      <w:r w:rsidR="0071048F" w:rsidRPr="0071048F">
        <w:rPr>
          <w:sz w:val="24"/>
          <w:szCs w:val="24"/>
          <w:vertAlign w:val="superscript"/>
        </w:rPr>
        <w:t>nd</w:t>
      </w:r>
      <w:r w:rsidR="0071048F">
        <w:rPr>
          <w:sz w:val="24"/>
          <w:szCs w:val="24"/>
        </w:rPr>
        <w:t xml:space="preserve"> September 2017</w:t>
      </w:r>
    </w:p>
    <w:p w:rsidR="00E0467F" w:rsidRPr="00E0467F" w:rsidRDefault="00DC0F29" w:rsidP="000F7213">
      <w:pPr>
        <w:spacing w:before="240"/>
        <w:rPr>
          <w:sz w:val="24"/>
          <w:szCs w:val="24"/>
        </w:rPr>
      </w:pPr>
      <w:r>
        <w:rPr>
          <w:sz w:val="24"/>
          <w:szCs w:val="24"/>
        </w:rPr>
        <w:fldChar w:fldCharType="begin"/>
      </w:r>
      <w:r>
        <w:rPr>
          <w:sz w:val="24"/>
          <w:szCs w:val="24"/>
        </w:rPr>
        <w:fldChar w:fldCharType="end"/>
      </w:r>
    </w:p>
    <w:p w:rsidR="005F5FB0" w:rsidRDefault="00E0467F" w:rsidP="000F7213">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192984">
        <w:rPr>
          <w:sz w:val="24"/>
          <w:szCs w:val="24"/>
        </w:rPr>
        <w:t>Mr. G. Thatchett</w:t>
      </w:r>
      <w:r w:rsidR="00584CB2">
        <w:rPr>
          <w:sz w:val="24"/>
          <w:szCs w:val="24"/>
        </w:rPr>
        <w:t xml:space="preserve"> </w:t>
      </w:r>
      <w:r w:rsidR="00192984">
        <w:rPr>
          <w:sz w:val="24"/>
          <w:szCs w:val="24"/>
        </w:rPr>
        <w:t xml:space="preserve">for the </w:t>
      </w:r>
      <w:r w:rsidR="007779A2">
        <w:rPr>
          <w:sz w:val="24"/>
          <w:szCs w:val="24"/>
        </w:rPr>
        <w:t>Republic</w:t>
      </w:r>
      <w:r w:rsidR="00DC0F29">
        <w:rPr>
          <w:sz w:val="24"/>
          <w:szCs w:val="24"/>
        </w:rPr>
        <w:fldChar w:fldCharType="begin"/>
      </w:r>
      <w:r w:rsidR="00F804CC">
        <w:rPr>
          <w:sz w:val="24"/>
          <w:szCs w:val="24"/>
        </w:rPr>
        <w:instrText xml:space="preserve"> ASK  "Enter Appellant Lawyer full name"  \* MERGEFORMAT </w:instrText>
      </w:r>
      <w:r w:rsidR="00DC0F29">
        <w:rPr>
          <w:sz w:val="24"/>
          <w:szCs w:val="24"/>
        </w:rPr>
        <w:fldChar w:fldCharType="end"/>
      </w:r>
      <w:r w:rsidR="00DC0F29">
        <w:rPr>
          <w:sz w:val="24"/>
          <w:szCs w:val="24"/>
        </w:rPr>
        <w:fldChar w:fldCharType="begin"/>
      </w:r>
      <w:r w:rsidR="00DC0F29">
        <w:rPr>
          <w:sz w:val="24"/>
          <w:szCs w:val="24"/>
        </w:rPr>
        <w:fldChar w:fldCharType="end"/>
      </w:r>
    </w:p>
    <w:p w:rsidR="007779A2" w:rsidRDefault="009E05E5" w:rsidP="000F7213">
      <w:pPr>
        <w:rPr>
          <w:sz w:val="24"/>
          <w:szCs w:val="24"/>
        </w:rPr>
      </w:pPr>
      <w:r>
        <w:rPr>
          <w:sz w:val="24"/>
          <w:szCs w:val="24"/>
        </w:rPr>
        <w:lastRenderedPageBreak/>
        <w:tab/>
      </w:r>
      <w:r>
        <w:rPr>
          <w:sz w:val="24"/>
          <w:szCs w:val="24"/>
        </w:rPr>
        <w:tab/>
      </w:r>
      <w:r w:rsidR="004233B0">
        <w:rPr>
          <w:sz w:val="24"/>
          <w:szCs w:val="24"/>
        </w:rPr>
        <w:tab/>
        <w:t xml:space="preserve">Mr </w:t>
      </w:r>
      <w:r w:rsidR="000F7213">
        <w:rPr>
          <w:sz w:val="24"/>
          <w:szCs w:val="24"/>
        </w:rPr>
        <w:t xml:space="preserve">.C. </w:t>
      </w:r>
      <w:r w:rsidR="004233B0">
        <w:rPr>
          <w:sz w:val="24"/>
          <w:szCs w:val="24"/>
        </w:rPr>
        <w:t>Andre for the 1</w:t>
      </w:r>
      <w:r w:rsidR="004233B0" w:rsidRPr="00C41B69">
        <w:rPr>
          <w:sz w:val="24"/>
          <w:szCs w:val="24"/>
          <w:vertAlign w:val="superscript"/>
        </w:rPr>
        <w:t>st</w:t>
      </w:r>
      <w:r w:rsidR="004233B0">
        <w:rPr>
          <w:sz w:val="24"/>
          <w:szCs w:val="24"/>
        </w:rPr>
        <w:t>, 2</w:t>
      </w:r>
      <w:r w:rsidR="004233B0" w:rsidRPr="00C41B69">
        <w:rPr>
          <w:sz w:val="24"/>
          <w:szCs w:val="24"/>
          <w:vertAlign w:val="superscript"/>
        </w:rPr>
        <w:t>nd</w:t>
      </w:r>
      <w:r w:rsidR="004233B0">
        <w:rPr>
          <w:sz w:val="24"/>
          <w:szCs w:val="24"/>
        </w:rPr>
        <w:t>, 4</w:t>
      </w:r>
      <w:r w:rsidR="004233B0" w:rsidRPr="00C41B69">
        <w:rPr>
          <w:sz w:val="24"/>
          <w:szCs w:val="24"/>
          <w:vertAlign w:val="superscript"/>
        </w:rPr>
        <w:t>th</w:t>
      </w:r>
      <w:r w:rsidR="00D14292">
        <w:rPr>
          <w:sz w:val="24"/>
          <w:szCs w:val="24"/>
        </w:rPr>
        <w:t>, 5th</w:t>
      </w:r>
      <w:r w:rsidR="004233B0">
        <w:rPr>
          <w:sz w:val="24"/>
          <w:szCs w:val="24"/>
        </w:rPr>
        <w:t xml:space="preserve"> and </w:t>
      </w:r>
      <w:r w:rsidR="00D14292">
        <w:rPr>
          <w:sz w:val="24"/>
          <w:szCs w:val="24"/>
        </w:rPr>
        <w:t>8</w:t>
      </w:r>
      <w:r w:rsidR="00D14292" w:rsidRPr="00DA2BCC">
        <w:rPr>
          <w:sz w:val="24"/>
          <w:szCs w:val="24"/>
          <w:vertAlign w:val="superscript"/>
        </w:rPr>
        <w:t>t</w:t>
      </w:r>
      <w:r w:rsidR="00D14292">
        <w:rPr>
          <w:sz w:val="24"/>
          <w:szCs w:val="24"/>
          <w:vertAlign w:val="superscript"/>
        </w:rPr>
        <w:t>h</w:t>
      </w:r>
      <w:r w:rsidR="00D14292">
        <w:rPr>
          <w:sz w:val="24"/>
          <w:szCs w:val="24"/>
        </w:rPr>
        <w:t xml:space="preserve"> Accused</w:t>
      </w:r>
    </w:p>
    <w:p w:rsidR="0071048F" w:rsidRDefault="004233B0" w:rsidP="000F7213">
      <w:pPr>
        <w:rPr>
          <w:sz w:val="24"/>
          <w:szCs w:val="24"/>
        </w:rPr>
      </w:pPr>
      <w:r>
        <w:rPr>
          <w:sz w:val="24"/>
          <w:szCs w:val="24"/>
        </w:rPr>
        <w:tab/>
      </w:r>
      <w:r>
        <w:rPr>
          <w:sz w:val="24"/>
          <w:szCs w:val="24"/>
        </w:rPr>
        <w:tab/>
      </w:r>
      <w:r>
        <w:rPr>
          <w:sz w:val="24"/>
          <w:szCs w:val="24"/>
        </w:rPr>
        <w:tab/>
      </w:r>
      <w:r w:rsidR="0071048F">
        <w:rPr>
          <w:sz w:val="24"/>
          <w:szCs w:val="24"/>
        </w:rPr>
        <w:t xml:space="preserve">Mr </w:t>
      </w:r>
      <w:r w:rsidR="000F7213">
        <w:rPr>
          <w:sz w:val="24"/>
          <w:szCs w:val="24"/>
        </w:rPr>
        <w:t xml:space="preserve">.F. </w:t>
      </w:r>
      <w:r w:rsidR="0071048F">
        <w:rPr>
          <w:sz w:val="24"/>
          <w:szCs w:val="24"/>
        </w:rPr>
        <w:t>Bonte for the 3</w:t>
      </w:r>
      <w:r w:rsidR="0071048F" w:rsidRPr="002B49EB">
        <w:rPr>
          <w:sz w:val="24"/>
          <w:szCs w:val="24"/>
          <w:vertAlign w:val="superscript"/>
        </w:rPr>
        <w:t>rd</w:t>
      </w:r>
      <w:r>
        <w:rPr>
          <w:sz w:val="24"/>
          <w:szCs w:val="24"/>
        </w:rPr>
        <w:t xml:space="preserve"> Accused</w:t>
      </w:r>
    </w:p>
    <w:p w:rsidR="004233B0" w:rsidRDefault="000F7213" w:rsidP="000F7213">
      <w:pPr>
        <w:jc w:val="both"/>
        <w:rPr>
          <w:sz w:val="24"/>
          <w:szCs w:val="24"/>
        </w:rPr>
      </w:pPr>
      <w:r>
        <w:rPr>
          <w:sz w:val="24"/>
          <w:szCs w:val="24"/>
        </w:rPr>
        <w:tab/>
      </w:r>
      <w:r>
        <w:rPr>
          <w:sz w:val="24"/>
          <w:szCs w:val="24"/>
        </w:rPr>
        <w:tab/>
      </w:r>
      <w:r>
        <w:rPr>
          <w:sz w:val="24"/>
          <w:szCs w:val="24"/>
        </w:rPr>
        <w:tab/>
        <w:t>Mr. Gabriel</w:t>
      </w:r>
      <w:r w:rsidR="004233B0">
        <w:rPr>
          <w:sz w:val="24"/>
          <w:szCs w:val="24"/>
        </w:rPr>
        <w:t xml:space="preserve"> for 6</w:t>
      </w:r>
      <w:r w:rsidR="004233B0" w:rsidRPr="002B49EB">
        <w:rPr>
          <w:sz w:val="24"/>
          <w:szCs w:val="24"/>
          <w:vertAlign w:val="superscript"/>
        </w:rPr>
        <w:t>th</w:t>
      </w:r>
      <w:r w:rsidR="004233B0">
        <w:rPr>
          <w:sz w:val="24"/>
          <w:szCs w:val="24"/>
        </w:rPr>
        <w:t xml:space="preserve"> and 7</w:t>
      </w:r>
      <w:r w:rsidR="004233B0" w:rsidRPr="002B49EB">
        <w:rPr>
          <w:sz w:val="24"/>
          <w:szCs w:val="24"/>
          <w:vertAlign w:val="superscript"/>
        </w:rPr>
        <w:t>th</w:t>
      </w:r>
      <w:r w:rsidR="004233B0">
        <w:rPr>
          <w:sz w:val="24"/>
          <w:szCs w:val="24"/>
        </w:rPr>
        <w:t>Accused</w:t>
      </w:r>
    </w:p>
    <w:p w:rsidR="000F7213" w:rsidRDefault="0071048F" w:rsidP="0014251A">
      <w:pPr>
        <w:jc w:val="both"/>
        <w:rPr>
          <w:sz w:val="24"/>
          <w:szCs w:val="24"/>
        </w:rPr>
      </w:pPr>
      <w:r>
        <w:rPr>
          <w:sz w:val="24"/>
          <w:szCs w:val="24"/>
        </w:rPr>
        <w:tab/>
      </w:r>
      <w:r>
        <w:rPr>
          <w:sz w:val="24"/>
          <w:szCs w:val="24"/>
        </w:rPr>
        <w:tab/>
      </w:r>
      <w:r>
        <w:rPr>
          <w:sz w:val="24"/>
          <w:szCs w:val="24"/>
        </w:rPr>
        <w:tab/>
      </w:r>
    </w:p>
    <w:p w:rsidR="000F7213" w:rsidRDefault="000F7213" w:rsidP="000F7213">
      <w:pPr>
        <w:jc w:val="both"/>
        <w:rPr>
          <w:sz w:val="24"/>
          <w:szCs w:val="24"/>
        </w:rPr>
      </w:pPr>
    </w:p>
    <w:p w:rsidR="000F7213" w:rsidRDefault="000F7213" w:rsidP="000F7213">
      <w:pPr>
        <w:spacing w:line="480" w:lineRule="auto"/>
        <w:rPr>
          <w:sz w:val="24"/>
          <w:szCs w:val="24"/>
        </w:rPr>
        <w:sectPr w:rsidR="000F7213" w:rsidSect="00EF2051">
          <w:type w:val="continuous"/>
          <w:pgSz w:w="12240" w:h="15840"/>
          <w:pgMar w:top="1440" w:right="1440" w:bottom="1440" w:left="1440" w:header="720" w:footer="720" w:gutter="0"/>
          <w:cols w:space="720"/>
          <w:docGrid w:linePitch="360"/>
        </w:sectPr>
      </w:pPr>
      <w:r>
        <w:rPr>
          <w:sz w:val="24"/>
          <w:szCs w:val="24"/>
        </w:rPr>
        <w:t>Delivered:</w:t>
      </w:r>
      <w:r>
        <w:rPr>
          <w:sz w:val="24"/>
          <w:szCs w:val="24"/>
        </w:rPr>
        <w:tab/>
      </w:r>
      <w:r>
        <w:rPr>
          <w:sz w:val="24"/>
          <w:szCs w:val="24"/>
        </w:rPr>
        <w:tab/>
        <w:t>22</w:t>
      </w:r>
      <w:r w:rsidRPr="000F7213">
        <w:rPr>
          <w:sz w:val="24"/>
          <w:szCs w:val="24"/>
          <w:vertAlign w:val="superscript"/>
        </w:rPr>
        <w:t>nd</w:t>
      </w:r>
      <w:r>
        <w:rPr>
          <w:sz w:val="24"/>
          <w:szCs w:val="24"/>
        </w:rPr>
        <w:t xml:space="preserve"> September 2017</w:t>
      </w:r>
    </w:p>
    <w:p w:rsidR="00D06A0F" w:rsidRPr="00C87FCA" w:rsidRDefault="00D06A0F" w:rsidP="005E0CA4">
      <w:pPr>
        <w:pBdr>
          <w:top w:val="dotted" w:sz="4" w:space="2" w:color="auto"/>
          <w:bottom w:val="dotted" w:sz="4" w:space="1" w:color="auto"/>
        </w:pBdr>
        <w:jc w:val="center"/>
        <w:rPr>
          <w:sz w:val="24"/>
          <w:szCs w:val="24"/>
          <w:highlight w:val="lightGray"/>
        </w:rPr>
      </w:pPr>
      <w:bookmarkStart w:id="5" w:name="Dropdown2"/>
    </w:p>
    <w:bookmarkStart w:id="6" w:name="Dropdown8"/>
    <w:bookmarkEnd w:id="5"/>
    <w:p w:rsidR="00C87FCA" w:rsidRDefault="00DC0F29" w:rsidP="005E0CA4">
      <w:pPr>
        <w:pBdr>
          <w:top w:val="dotted" w:sz="4" w:space="2"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6"/>
    </w:p>
    <w:p w:rsidR="001008BC" w:rsidRDefault="001008BC" w:rsidP="005E0CA4">
      <w:pPr>
        <w:pBdr>
          <w:top w:val="dotted" w:sz="4" w:space="2"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5E0CA4" w:rsidRDefault="00224166" w:rsidP="005E0CA4">
      <w:pPr>
        <w:pStyle w:val="ListParagraph"/>
        <w:widowControl/>
        <w:autoSpaceDE/>
        <w:autoSpaceDN/>
        <w:adjustRightInd/>
        <w:spacing w:after="240" w:line="360" w:lineRule="auto"/>
        <w:ind w:left="0"/>
        <w:contextualSpacing w:val="0"/>
        <w:jc w:val="both"/>
        <w:rPr>
          <w:b/>
          <w:sz w:val="24"/>
          <w:szCs w:val="24"/>
        </w:rPr>
      </w:pPr>
      <w:r>
        <w:rPr>
          <w:b/>
          <w:sz w:val="24"/>
          <w:szCs w:val="24"/>
        </w:rPr>
        <w:t xml:space="preserve">R. Govinden, </w:t>
      </w:r>
      <w:r w:rsidR="00132634">
        <w:rPr>
          <w:b/>
          <w:sz w:val="24"/>
          <w:szCs w:val="24"/>
        </w:rPr>
        <w:t>J</w:t>
      </w:r>
    </w:p>
    <w:p w:rsidR="005E0CA4" w:rsidRPr="005E0CA4" w:rsidRDefault="00E05FFF" w:rsidP="005E0CA4">
      <w:pPr>
        <w:pStyle w:val="ListParagraph"/>
        <w:widowControl/>
        <w:autoSpaceDE/>
        <w:autoSpaceDN/>
        <w:adjustRightInd/>
        <w:spacing w:after="240" w:line="360" w:lineRule="auto"/>
        <w:ind w:left="0"/>
        <w:contextualSpacing w:val="0"/>
        <w:jc w:val="both"/>
        <w:rPr>
          <w:b/>
          <w:sz w:val="24"/>
          <w:szCs w:val="24"/>
        </w:rPr>
      </w:pPr>
      <w:r>
        <w:rPr>
          <w:sz w:val="24"/>
          <w:szCs w:val="24"/>
        </w:rPr>
        <w:t>[1]</w:t>
      </w:r>
      <w:r>
        <w:rPr>
          <w:sz w:val="24"/>
          <w:szCs w:val="24"/>
        </w:rPr>
        <w:tab/>
      </w:r>
      <w:r w:rsidR="005E0CA4" w:rsidRPr="005E0CA4">
        <w:rPr>
          <w:sz w:val="24"/>
          <w:szCs w:val="24"/>
        </w:rPr>
        <w:t>In this case, the accused have been charged before the Court on the 7</w:t>
      </w:r>
      <w:r w:rsidR="005E0CA4" w:rsidRPr="005E0CA4">
        <w:rPr>
          <w:sz w:val="24"/>
          <w:szCs w:val="24"/>
          <w:vertAlign w:val="superscript"/>
        </w:rPr>
        <w:t>th</w:t>
      </w:r>
      <w:r w:rsidR="005E0CA4" w:rsidRPr="005E0CA4">
        <w:rPr>
          <w:sz w:val="24"/>
          <w:szCs w:val="24"/>
        </w:rPr>
        <w:t xml:space="preserve"> September 2017 as </w:t>
      </w:r>
      <w:r>
        <w:rPr>
          <w:sz w:val="24"/>
          <w:szCs w:val="24"/>
        </w:rPr>
        <w:tab/>
      </w:r>
      <w:r w:rsidR="005E0CA4" w:rsidRPr="005E0CA4">
        <w:rPr>
          <w:sz w:val="24"/>
          <w:szCs w:val="24"/>
        </w:rPr>
        <w:t>follows:</w:t>
      </w:r>
    </w:p>
    <w:p w:rsidR="00990D0F" w:rsidRDefault="00154446" w:rsidP="00D8525B">
      <w:pPr>
        <w:pStyle w:val="JudgmentText"/>
        <w:numPr>
          <w:ilvl w:val="0"/>
          <w:numId w:val="14"/>
        </w:numPr>
      </w:pPr>
      <w:r>
        <w:t>In the first Count,</w:t>
      </w:r>
      <w:r w:rsidR="00584CB2">
        <w:t xml:space="preserve"> </w:t>
      </w:r>
      <w:r w:rsidR="004233B0">
        <w:t>Stephan Mondon</w:t>
      </w:r>
      <w:r w:rsidR="00224166">
        <w:t>,</w:t>
      </w:r>
      <w:r w:rsidR="004233B0">
        <w:t xml:space="preserve"> 1</w:t>
      </w:r>
      <w:r w:rsidR="004233B0" w:rsidRPr="00D8525B">
        <w:rPr>
          <w:vertAlign w:val="superscript"/>
        </w:rPr>
        <w:t>st</w:t>
      </w:r>
      <w:r w:rsidR="004233B0">
        <w:t xml:space="preserve"> Ac</w:t>
      </w:r>
      <w:r w:rsidR="00224166">
        <w:t xml:space="preserve">cused </w:t>
      </w:r>
      <w:r>
        <w:t>(</w:t>
      </w:r>
      <w:r w:rsidR="00224166">
        <w:t xml:space="preserve">also referred to </w:t>
      </w:r>
      <w:r w:rsidR="004233B0">
        <w:t>as the 1</w:t>
      </w:r>
      <w:r w:rsidR="004233B0" w:rsidRPr="00D8525B">
        <w:rPr>
          <w:vertAlign w:val="superscript"/>
        </w:rPr>
        <w:t>st</w:t>
      </w:r>
      <w:r w:rsidR="004233B0">
        <w:t xml:space="preserve">  Respondent</w:t>
      </w:r>
      <w:r>
        <w:t>)</w:t>
      </w:r>
      <w:r w:rsidR="004233B0">
        <w:t xml:space="preserve"> and Guy Hall, 2</w:t>
      </w:r>
      <w:r w:rsidR="004233B0" w:rsidRPr="00D8525B">
        <w:rPr>
          <w:vertAlign w:val="superscript"/>
        </w:rPr>
        <w:t>nd</w:t>
      </w:r>
      <w:r w:rsidR="004233B0">
        <w:t xml:space="preserve"> accused </w:t>
      </w:r>
      <w:r>
        <w:t>(</w:t>
      </w:r>
      <w:r w:rsidR="004233B0">
        <w:t>also referred to as the 2</w:t>
      </w:r>
      <w:r w:rsidR="004233B0" w:rsidRPr="00D8525B">
        <w:rPr>
          <w:vertAlign w:val="superscript"/>
        </w:rPr>
        <w:t>nd</w:t>
      </w:r>
      <w:r w:rsidR="004233B0">
        <w:t xml:space="preserve"> Respondent</w:t>
      </w:r>
      <w:r>
        <w:t>)</w:t>
      </w:r>
      <w:r w:rsidR="004233B0">
        <w:t xml:space="preserve"> has </w:t>
      </w:r>
      <w:r>
        <w:t>been charged</w:t>
      </w:r>
      <w:r w:rsidR="004233B0">
        <w:t xml:space="preserve"> to have aided</w:t>
      </w:r>
      <w:r w:rsidR="006931E5">
        <w:t xml:space="preserve"> and </w:t>
      </w:r>
      <w:r w:rsidR="004233B0">
        <w:t>abetted</w:t>
      </w:r>
      <w:r w:rsidR="00224166">
        <w:t xml:space="preserve">, </w:t>
      </w:r>
      <w:r>
        <w:t>counselled</w:t>
      </w:r>
      <w:r w:rsidR="00224166">
        <w:t xml:space="preserve">, </w:t>
      </w:r>
      <w:r w:rsidR="004233B0">
        <w:t>induce or procure</w:t>
      </w:r>
      <w:r>
        <w:t>d</w:t>
      </w:r>
      <w:r w:rsidR="004233B0">
        <w:t xml:space="preserve"> the 3</w:t>
      </w:r>
      <w:r w:rsidR="004233B0" w:rsidRPr="00D8525B">
        <w:rPr>
          <w:vertAlign w:val="superscript"/>
        </w:rPr>
        <w:t>rd</w:t>
      </w:r>
      <w:r w:rsidR="004233B0">
        <w:t xml:space="preserve"> accused</w:t>
      </w:r>
      <w:r>
        <w:t>, Hansel Marzorcchi, (</w:t>
      </w:r>
      <w:r w:rsidR="004233B0">
        <w:t>also referred to as the 3</w:t>
      </w:r>
      <w:r w:rsidR="004233B0" w:rsidRPr="00D8525B">
        <w:rPr>
          <w:vertAlign w:val="superscript"/>
        </w:rPr>
        <w:t>rd</w:t>
      </w:r>
      <w:r>
        <w:t>Respondent)</w:t>
      </w:r>
      <w:r w:rsidR="004233B0">
        <w:t xml:space="preserve"> the </w:t>
      </w:r>
      <w:r w:rsidR="004233B0">
        <w:lastRenderedPageBreak/>
        <w:t>4</w:t>
      </w:r>
      <w:r w:rsidR="004233B0" w:rsidRPr="00D8525B">
        <w:rPr>
          <w:vertAlign w:val="superscript"/>
        </w:rPr>
        <w:t>th</w:t>
      </w:r>
      <w:r>
        <w:t xml:space="preserve">Accused, </w:t>
      </w:r>
      <w:r w:rsidR="004233B0">
        <w:t xml:space="preserve">Philip Marzorcchi </w:t>
      </w:r>
      <w:r>
        <w:t>(</w:t>
      </w:r>
      <w:r w:rsidR="004233B0">
        <w:t>also referred to as the 4</w:t>
      </w:r>
      <w:r w:rsidR="004233B0" w:rsidRPr="00D8525B">
        <w:rPr>
          <w:vertAlign w:val="superscript"/>
        </w:rPr>
        <w:t>th</w:t>
      </w:r>
      <w:r>
        <w:t xml:space="preserve"> Respondent)</w:t>
      </w:r>
      <w:r w:rsidR="00224166">
        <w:t xml:space="preserve"> Marcus Louy</w:t>
      </w:r>
      <w:r w:rsidR="004233B0">
        <w:t>s, the 5</w:t>
      </w:r>
      <w:r w:rsidR="004233B0" w:rsidRPr="00D8525B">
        <w:rPr>
          <w:vertAlign w:val="superscript"/>
        </w:rPr>
        <w:t>th</w:t>
      </w:r>
      <w:r w:rsidR="004233B0">
        <w:t xml:space="preserve"> Accused </w:t>
      </w:r>
      <w:r>
        <w:t>(</w:t>
      </w:r>
      <w:r w:rsidR="004233B0">
        <w:t>also referred to as the 5</w:t>
      </w:r>
      <w:r w:rsidR="004233B0" w:rsidRPr="00D8525B">
        <w:rPr>
          <w:vertAlign w:val="superscript"/>
        </w:rPr>
        <w:t>th</w:t>
      </w:r>
      <w:r w:rsidR="004233B0">
        <w:t xml:space="preserve"> Respondent</w:t>
      </w:r>
      <w:r>
        <w:t>)</w:t>
      </w:r>
      <w:r w:rsidR="004233B0">
        <w:t xml:space="preserve"> Jude Beauchamp, 6</w:t>
      </w:r>
      <w:r w:rsidR="004233B0" w:rsidRPr="00D8525B">
        <w:rPr>
          <w:vertAlign w:val="superscript"/>
        </w:rPr>
        <w:t>th</w:t>
      </w:r>
      <w:r w:rsidR="004233B0">
        <w:t xml:space="preserve"> Accused, </w:t>
      </w:r>
      <w:r>
        <w:t>(</w:t>
      </w:r>
      <w:r w:rsidR="004233B0">
        <w:t>also referred to as the 6</w:t>
      </w:r>
      <w:r w:rsidR="004233B0" w:rsidRPr="00D8525B">
        <w:rPr>
          <w:vertAlign w:val="superscript"/>
        </w:rPr>
        <w:t>th</w:t>
      </w:r>
      <w:r>
        <w:t xml:space="preserve"> Respondent) </w:t>
      </w:r>
      <w:r w:rsidR="004233B0">
        <w:t xml:space="preserve">and Jude Labiche </w:t>
      </w:r>
      <w:r>
        <w:t>(</w:t>
      </w:r>
      <w:r w:rsidR="004233B0">
        <w:t>also referred to as the 7</w:t>
      </w:r>
      <w:r w:rsidR="004233B0" w:rsidRPr="00D8525B">
        <w:rPr>
          <w:vertAlign w:val="superscript"/>
        </w:rPr>
        <w:t>th</w:t>
      </w:r>
      <w:r w:rsidR="004233B0">
        <w:t xml:space="preserve"> Respondent</w:t>
      </w:r>
      <w:r>
        <w:t>)</w:t>
      </w:r>
      <w:r w:rsidR="00D14292">
        <w:t>,</w:t>
      </w:r>
      <w:r w:rsidR="004233B0">
        <w:t xml:space="preserve"> to, on or around the 13</w:t>
      </w:r>
      <w:r w:rsidR="004233B0" w:rsidRPr="00D8525B">
        <w:rPr>
          <w:vertAlign w:val="superscript"/>
        </w:rPr>
        <w:t>th</w:t>
      </w:r>
      <w:r w:rsidR="004233B0">
        <w:t xml:space="preserve"> August 2017 import into Seychelles </w:t>
      </w:r>
      <w:r w:rsidR="00C70CD5">
        <w:t xml:space="preserve">Thirty Three Thousand Eight Hundred And Fifty Five and </w:t>
      </w:r>
      <w:r w:rsidR="006931E5">
        <w:t xml:space="preserve">Zero </w:t>
      </w:r>
      <w:r w:rsidR="00C70CD5">
        <w:t xml:space="preserve">Three </w:t>
      </w:r>
      <w:r w:rsidR="004233B0">
        <w:t>grams</w:t>
      </w:r>
      <w:r w:rsidR="001A0437">
        <w:t xml:space="preserve"> (33,855.03gr</w:t>
      </w:r>
      <w:r w:rsidR="00C70CD5">
        <w:t>a</w:t>
      </w:r>
      <w:r w:rsidR="001A0437">
        <w:t>ms)</w:t>
      </w:r>
      <w:r w:rsidR="00C70CD5">
        <w:t xml:space="preserve"> of controlled drugs</w:t>
      </w:r>
      <w:r w:rsidR="004233B0">
        <w:t xml:space="preserve"> namely</w:t>
      </w:r>
      <w:r w:rsidR="00C70CD5">
        <w:t>,</w:t>
      </w:r>
      <w:r w:rsidR="004233B0">
        <w:t xml:space="preserve"> cannabis </w:t>
      </w:r>
      <w:r w:rsidR="001A0437">
        <w:t>resin</w:t>
      </w:r>
      <w:r w:rsidR="004233B0">
        <w:t xml:space="preserve"> in contravention of the Misuse of Drugs Act 2016</w:t>
      </w:r>
      <w:r w:rsidR="006931E5">
        <w:t>,on-board</w:t>
      </w:r>
      <w:r w:rsidR="001A0437">
        <w:t xml:space="preserve"> of the yacht </w:t>
      </w:r>
      <w:r>
        <w:t>"</w:t>
      </w:r>
      <w:r w:rsidR="001A0437">
        <w:t>Quest</w:t>
      </w:r>
      <w:r>
        <w:t>"</w:t>
      </w:r>
      <w:r w:rsidR="001A0437">
        <w:t xml:space="preserve"> and in </w:t>
      </w:r>
      <w:r w:rsidR="00C70CD5">
        <w:t>two vessels belonging to the 1</w:t>
      </w:r>
      <w:r w:rsidR="00C70CD5" w:rsidRPr="00D8525B">
        <w:rPr>
          <w:vertAlign w:val="superscript"/>
        </w:rPr>
        <w:t>st</w:t>
      </w:r>
      <w:r w:rsidR="001A0437">
        <w:t xml:space="preserve"> Accused Stephan</w:t>
      </w:r>
      <w:r w:rsidR="00C70CD5">
        <w:t>, Martial</w:t>
      </w:r>
      <w:r w:rsidR="001A0437">
        <w:t xml:space="preserve"> Mondon. </w:t>
      </w:r>
    </w:p>
    <w:p w:rsidR="00EC2898" w:rsidRDefault="001A0437" w:rsidP="00E05FFF">
      <w:pPr>
        <w:pStyle w:val="JudgmentText"/>
        <w:numPr>
          <w:ilvl w:val="0"/>
          <w:numId w:val="14"/>
        </w:numPr>
      </w:pPr>
      <w:r>
        <w:t>On the other hand, the 4</w:t>
      </w:r>
      <w:r w:rsidRPr="00990D0F">
        <w:rPr>
          <w:vertAlign w:val="superscript"/>
        </w:rPr>
        <w:t>th</w:t>
      </w:r>
      <w:r>
        <w:t xml:space="preserve"> to 7</w:t>
      </w:r>
      <w:r w:rsidRPr="00990D0F">
        <w:rPr>
          <w:vertAlign w:val="superscript"/>
        </w:rPr>
        <w:t>th</w:t>
      </w:r>
      <w:r>
        <w:t xml:space="preserve"> Accused namely Hansel Marzorcchi</w:t>
      </w:r>
      <w:r w:rsidR="00C70CD5">
        <w:t>, Philip Marzorcchi, Marcus Louy</w:t>
      </w:r>
      <w:r>
        <w:t>s, Jude Beauchamp and Jude Labiche ha</w:t>
      </w:r>
      <w:r w:rsidR="008169B4">
        <w:t>ve</w:t>
      </w:r>
      <w:r>
        <w:t xml:space="preserve"> been charged in the 2</w:t>
      </w:r>
      <w:r w:rsidRPr="00990D0F">
        <w:rPr>
          <w:vertAlign w:val="superscript"/>
        </w:rPr>
        <w:t>nd</w:t>
      </w:r>
      <w:r>
        <w:t xml:space="preserve"> count to have imported a controlled drug in Seychelles in contravention of the Misuse of Drugs Act 2016 on or around the 13</w:t>
      </w:r>
      <w:r w:rsidRPr="00990D0F">
        <w:rPr>
          <w:vertAlign w:val="superscript"/>
        </w:rPr>
        <w:t>th</w:t>
      </w:r>
      <w:r>
        <w:t xml:space="preserve"> August 2017 by importing </w:t>
      </w:r>
      <w:r w:rsidR="00C70CD5">
        <w:t xml:space="preserve">Thirty Three Thousand Eight Hundred And Fifty Five and </w:t>
      </w:r>
      <w:r w:rsidR="006931E5">
        <w:t xml:space="preserve">Zero </w:t>
      </w:r>
      <w:r w:rsidR="00C70CD5">
        <w:t>Three grams (</w:t>
      </w:r>
      <w:r>
        <w:t>33,855.03 grams</w:t>
      </w:r>
      <w:r w:rsidR="00C70CD5">
        <w:t xml:space="preserve">) </w:t>
      </w:r>
      <w:r>
        <w:t xml:space="preserve"> of the drug cannabis resin on board of a yacht </w:t>
      </w:r>
      <w:r w:rsidR="00154446">
        <w:t>"</w:t>
      </w:r>
      <w:r>
        <w:t>Quest</w:t>
      </w:r>
      <w:r w:rsidR="00154446">
        <w:t>"</w:t>
      </w:r>
      <w:r>
        <w:t xml:space="preserve"> and in two vessels belonging to the 1</w:t>
      </w:r>
      <w:r w:rsidRPr="00990D0F">
        <w:rPr>
          <w:vertAlign w:val="superscript"/>
        </w:rPr>
        <w:t>st</w:t>
      </w:r>
      <w:r>
        <w:t xml:space="preserve"> Accused.</w:t>
      </w:r>
    </w:p>
    <w:p w:rsidR="00132634" w:rsidRDefault="00154446" w:rsidP="00E05FFF">
      <w:pPr>
        <w:pStyle w:val="JudgmentText"/>
        <w:numPr>
          <w:ilvl w:val="0"/>
          <w:numId w:val="14"/>
        </w:numPr>
      </w:pPr>
      <w:r>
        <w:t xml:space="preserve">The </w:t>
      </w:r>
      <w:r w:rsidR="005E0CA4">
        <w:t>3</w:t>
      </w:r>
      <w:r w:rsidR="005E0CA4" w:rsidRPr="005E0CA4">
        <w:rPr>
          <w:vertAlign w:val="superscript"/>
        </w:rPr>
        <w:t>rd</w:t>
      </w:r>
      <w:r w:rsidR="005E0CA4">
        <w:t xml:space="preserve"> C</w:t>
      </w:r>
      <w:r>
        <w:t>ount,</w:t>
      </w:r>
      <w:r w:rsidR="00584CB2">
        <w:t xml:space="preserve"> </w:t>
      </w:r>
      <w:r w:rsidR="00D14292">
        <w:t>charged the</w:t>
      </w:r>
      <w:r w:rsidR="001A0437">
        <w:t>6</w:t>
      </w:r>
      <w:r w:rsidR="001A0437" w:rsidRPr="00560AAD">
        <w:rPr>
          <w:vertAlign w:val="superscript"/>
        </w:rPr>
        <w:t>th</w:t>
      </w:r>
      <w:r w:rsidR="001A0437">
        <w:t xml:space="preserve"> and 7</w:t>
      </w:r>
      <w:r w:rsidR="001A0437" w:rsidRPr="00560AAD">
        <w:rPr>
          <w:vertAlign w:val="superscript"/>
        </w:rPr>
        <w:t>th</w:t>
      </w:r>
      <w:r w:rsidR="001A0437">
        <w:t xml:space="preserve"> Accused to have, on the 16</w:t>
      </w:r>
      <w:r w:rsidR="001A0437" w:rsidRPr="00560AAD">
        <w:rPr>
          <w:vertAlign w:val="superscript"/>
        </w:rPr>
        <w:t>th</w:t>
      </w:r>
      <w:r w:rsidR="00C70CD5">
        <w:t xml:space="preserve"> August 2017 at Anse Royale, </w:t>
      </w:r>
      <w:r w:rsidR="001A0437">
        <w:t xml:space="preserve">Mahe, traffic in a controlled drug by being found in unlawful possession of cannabis resin of net weight </w:t>
      </w:r>
      <w:r w:rsidR="00C70CD5">
        <w:t xml:space="preserve">One Thousand Eight Hundred and Eighty Three and </w:t>
      </w:r>
      <w:r w:rsidR="006931E5">
        <w:t xml:space="preserve">Zero </w:t>
      </w:r>
      <w:r w:rsidR="00C70CD5">
        <w:t xml:space="preserve">One Grams </w:t>
      </w:r>
      <w:r w:rsidR="001A0437">
        <w:t>(1,883.01 grams) of can</w:t>
      </w:r>
      <w:r w:rsidR="005E0CA4">
        <w:t>nabis res</w:t>
      </w:r>
      <w:r>
        <w:t xml:space="preserve">in, giving rise to a </w:t>
      </w:r>
      <w:r w:rsidR="00D14292">
        <w:t>rebuttal presumption</w:t>
      </w:r>
      <w:r w:rsidR="005E0CA4">
        <w:t xml:space="preserve"> of having </w:t>
      </w:r>
      <w:r w:rsidR="00D14292">
        <w:t>possessed the</w:t>
      </w:r>
      <w:r w:rsidR="001A0437">
        <w:t xml:space="preserve"> said controlled drug with intent to traffic.</w:t>
      </w:r>
    </w:p>
    <w:p w:rsidR="00990D0F" w:rsidRPr="006931E5" w:rsidRDefault="00154446" w:rsidP="00E05FFF">
      <w:pPr>
        <w:pStyle w:val="JudgmentText"/>
        <w:numPr>
          <w:ilvl w:val="0"/>
          <w:numId w:val="14"/>
        </w:numPr>
        <w:rPr>
          <w:iCs/>
        </w:rPr>
      </w:pPr>
      <w:r>
        <w:t xml:space="preserve">The </w:t>
      </w:r>
      <w:r w:rsidR="00990D0F" w:rsidRPr="00C70CD5">
        <w:t>4</w:t>
      </w:r>
      <w:r w:rsidR="00990D0F" w:rsidRPr="00C70CD5">
        <w:rPr>
          <w:vertAlign w:val="superscript"/>
        </w:rPr>
        <w:t>th</w:t>
      </w:r>
      <w:r w:rsidR="00990D0F" w:rsidRPr="00C70CD5">
        <w:t xml:space="preserve"> Count</w:t>
      </w:r>
      <w:r>
        <w:t>,</w:t>
      </w:r>
      <w:r w:rsidR="00D8525B">
        <w:t xml:space="preserve"> charged </w:t>
      </w:r>
      <w:r w:rsidR="00C70CD5">
        <w:t>Chelsie Shaquille</w:t>
      </w:r>
      <w:r w:rsidR="00990D0F">
        <w:t xml:space="preserve"> Marie Mondon, the 8</w:t>
      </w:r>
      <w:r w:rsidR="00990D0F" w:rsidRPr="00990D0F">
        <w:rPr>
          <w:vertAlign w:val="superscript"/>
        </w:rPr>
        <w:t>th</w:t>
      </w:r>
      <w:r w:rsidR="00990D0F">
        <w:t xml:space="preserve"> Accused with the offence of soliciting or inciting another to commit an </w:t>
      </w:r>
      <w:r w:rsidR="00C70CD5">
        <w:t xml:space="preserve">offence </w:t>
      </w:r>
      <w:r w:rsidR="00C70CD5" w:rsidRPr="006931E5">
        <w:t xml:space="preserve">contrary to </w:t>
      </w:r>
      <w:r w:rsidR="0014251A" w:rsidRPr="006931E5">
        <w:rPr>
          <w:iCs/>
        </w:rPr>
        <w:t>section 377</w:t>
      </w:r>
      <w:r w:rsidR="006931E5" w:rsidRPr="006931E5">
        <w:rPr>
          <w:iCs/>
        </w:rPr>
        <w:t>A</w:t>
      </w:r>
      <w:r w:rsidR="0014251A" w:rsidRPr="006931E5">
        <w:rPr>
          <w:iCs/>
        </w:rPr>
        <w:t xml:space="preserve"> of the penal code</w:t>
      </w:r>
      <w:r w:rsidR="00584CB2">
        <w:rPr>
          <w:iCs/>
        </w:rPr>
        <w:t xml:space="preserve"> </w:t>
      </w:r>
      <w:r w:rsidR="005E0CA4" w:rsidRPr="006931E5">
        <w:t xml:space="preserve">as read with </w:t>
      </w:r>
      <w:r w:rsidR="005E0CA4" w:rsidRPr="006931E5">
        <w:rPr>
          <w:iCs/>
        </w:rPr>
        <w:t xml:space="preserve">Section 110. </w:t>
      </w:r>
    </w:p>
    <w:p w:rsidR="00C70CD5" w:rsidRPr="00154446" w:rsidRDefault="00E05FFF" w:rsidP="003B4099">
      <w:pPr>
        <w:pStyle w:val="JudgmentText"/>
        <w:numPr>
          <w:ilvl w:val="0"/>
          <w:numId w:val="0"/>
        </w:numPr>
        <w:ind w:left="708" w:hanging="708"/>
        <w:rPr>
          <w:iCs/>
        </w:rPr>
      </w:pPr>
      <w:r>
        <w:t>[2]</w:t>
      </w:r>
      <w:r>
        <w:tab/>
      </w:r>
      <w:r w:rsidR="00990D0F">
        <w:t xml:space="preserve">The offences charged </w:t>
      </w:r>
      <w:r w:rsidR="00C70CD5">
        <w:t>against the accused in Count 1</w:t>
      </w:r>
      <w:r w:rsidR="00990D0F">
        <w:t xml:space="preserve"> is punishable under </w:t>
      </w:r>
      <w:r w:rsidR="003B4099">
        <w:t xml:space="preserve">provision </w:t>
      </w:r>
      <w:r w:rsidR="00990D0F">
        <w:t>of</w:t>
      </w:r>
      <w:r w:rsidR="00584CB2">
        <w:t xml:space="preserve"> </w:t>
      </w:r>
      <w:r w:rsidR="00C70CD5" w:rsidRPr="00154446">
        <w:rPr>
          <w:iCs/>
        </w:rPr>
        <w:t>Section 5 read with Section 15 (</w:t>
      </w:r>
      <w:r w:rsidR="00990D0F" w:rsidRPr="00154446">
        <w:rPr>
          <w:iCs/>
        </w:rPr>
        <w:t>1</w:t>
      </w:r>
      <w:r w:rsidR="00C70CD5" w:rsidRPr="00154446">
        <w:rPr>
          <w:iCs/>
        </w:rPr>
        <w:t>) (a) and Section 48 (1) (a)</w:t>
      </w:r>
      <w:r w:rsidR="00990D0F" w:rsidRPr="00154446">
        <w:rPr>
          <w:iCs/>
        </w:rPr>
        <w:t xml:space="preserve"> in the </w:t>
      </w:r>
      <w:r w:rsidR="00C70CD5" w:rsidRPr="00154446">
        <w:rPr>
          <w:iCs/>
        </w:rPr>
        <w:t xml:space="preserve">Second Schedule </w:t>
      </w:r>
      <w:r w:rsidR="00990D0F" w:rsidRPr="00154446">
        <w:rPr>
          <w:iCs/>
        </w:rPr>
        <w:t>of the Misuse of Drugs Act.</w:t>
      </w:r>
    </w:p>
    <w:p w:rsidR="00C70CD5" w:rsidRDefault="00C70CD5" w:rsidP="003B4099">
      <w:pPr>
        <w:pStyle w:val="JudgmentText"/>
        <w:numPr>
          <w:ilvl w:val="0"/>
          <w:numId w:val="0"/>
        </w:numPr>
        <w:spacing w:after="0"/>
        <w:ind w:left="706" w:hanging="706"/>
      </w:pPr>
      <w:r>
        <w:lastRenderedPageBreak/>
        <w:tab/>
      </w:r>
      <w:r w:rsidR="00990D0F">
        <w:t xml:space="preserve">It is aggravated in nature and carry within a minimum indicated sentence of fifteen years imprisonment and a maximum life imprisonment. </w:t>
      </w:r>
    </w:p>
    <w:p w:rsidR="00990D0F" w:rsidRDefault="00C70CD5" w:rsidP="003B4099">
      <w:pPr>
        <w:pStyle w:val="JudgmentText"/>
        <w:numPr>
          <w:ilvl w:val="0"/>
          <w:numId w:val="0"/>
        </w:numPr>
        <w:spacing w:after="0"/>
        <w:ind w:left="706" w:hanging="706"/>
      </w:pPr>
      <w:r>
        <w:tab/>
        <w:t>The offence charged in Count 2</w:t>
      </w:r>
      <w:r w:rsidR="00154446">
        <w:t xml:space="preserve">is also aggravated in nature as it </w:t>
      </w:r>
      <w:r w:rsidR="00990D0F">
        <w:t>carries the same indicative minimum sentence of fifteen years and a maximum of life of fifty years imprisonment.</w:t>
      </w:r>
    </w:p>
    <w:p w:rsidR="003B4099" w:rsidRDefault="003B4099" w:rsidP="003B4099">
      <w:pPr>
        <w:pStyle w:val="JudgmentText"/>
        <w:numPr>
          <w:ilvl w:val="0"/>
          <w:numId w:val="0"/>
        </w:numPr>
        <w:ind w:left="1430"/>
      </w:pPr>
    </w:p>
    <w:p w:rsidR="003B4099" w:rsidRDefault="003B4099" w:rsidP="00C7399E">
      <w:pPr>
        <w:pStyle w:val="JudgmentText"/>
        <w:numPr>
          <w:ilvl w:val="0"/>
          <w:numId w:val="0"/>
        </w:numPr>
        <w:ind w:left="706" w:hanging="706"/>
      </w:pPr>
      <w:r>
        <w:t>[3]</w:t>
      </w:r>
      <w:r>
        <w:tab/>
      </w:r>
      <w:r w:rsidR="00990D0F">
        <w:t>On the 7</w:t>
      </w:r>
      <w:r w:rsidR="00990D0F" w:rsidRPr="00990D0F">
        <w:rPr>
          <w:vertAlign w:val="superscript"/>
        </w:rPr>
        <w:t>th</w:t>
      </w:r>
      <w:r w:rsidR="00990D0F">
        <w:t xml:space="preserve"> September, the prosecution moved that the Accused number 1 to number 7 be </w:t>
      </w:r>
      <w:r>
        <w:tab/>
      </w:r>
      <w:r w:rsidR="00990D0F">
        <w:t>remanded in police custody</w:t>
      </w:r>
      <w:r w:rsidR="00154446">
        <w:t>,</w:t>
      </w:r>
      <w:r w:rsidR="00990D0F">
        <w:t xml:space="preserve"> pursuant to a</w:t>
      </w:r>
      <w:r w:rsidR="00154446">
        <w:t xml:space="preserve"> notice of motion that they filed</w:t>
      </w:r>
      <w:r w:rsidR="00990D0F">
        <w:t xml:space="preserve"> under </w:t>
      </w:r>
      <w:r w:rsidR="00990D0F" w:rsidRPr="00154446">
        <w:rPr>
          <w:iCs/>
        </w:rPr>
        <w:t>Section 179 of the Criminal Proce</w:t>
      </w:r>
      <w:r w:rsidR="00C70CD5" w:rsidRPr="00154446">
        <w:rPr>
          <w:iCs/>
        </w:rPr>
        <w:t>dure Code</w:t>
      </w:r>
      <w:r w:rsidR="00C70CD5" w:rsidRPr="00154446">
        <w:t xml:space="preserve"> as read in </w:t>
      </w:r>
      <w:r w:rsidR="00C70CD5" w:rsidRPr="00154446">
        <w:rPr>
          <w:iCs/>
        </w:rPr>
        <w:t>Article 18 (</w:t>
      </w:r>
      <w:r w:rsidR="00990D0F" w:rsidRPr="00154446">
        <w:rPr>
          <w:iCs/>
        </w:rPr>
        <w:t>7</w:t>
      </w:r>
      <w:r w:rsidR="00C70CD5" w:rsidRPr="00154446">
        <w:rPr>
          <w:iCs/>
        </w:rPr>
        <w:t>) of the Constitution</w:t>
      </w:r>
      <w:r w:rsidR="00C70CD5" w:rsidRPr="0014251A">
        <w:rPr>
          <w:i/>
          <w:iCs/>
        </w:rPr>
        <w:t>.</w:t>
      </w:r>
      <w:r>
        <w:tab/>
      </w:r>
      <w:r w:rsidR="00C70CD5">
        <w:t>This m</w:t>
      </w:r>
      <w:r w:rsidR="00990D0F">
        <w:t xml:space="preserve">otion is supported by a very comprehensive affidavit of facts of Agent Ryan </w:t>
      </w:r>
      <w:bookmarkStart w:id="7" w:name="_GoBack"/>
      <w:bookmarkEnd w:id="7"/>
      <w:r w:rsidR="00990D0F">
        <w:t xml:space="preserve">Durup, setting out in detail the evidence </w:t>
      </w:r>
      <w:r w:rsidR="00C70CD5">
        <w:t>gathered so far by the NDEA (</w:t>
      </w:r>
      <w:r w:rsidR="00990D0F">
        <w:t xml:space="preserve">National Drugs </w:t>
      </w:r>
      <w:r>
        <w:tab/>
      </w:r>
      <w:r w:rsidR="00990D0F">
        <w:t>En</w:t>
      </w:r>
      <w:r w:rsidR="00C70CD5">
        <w:t xml:space="preserve">forcement Agency) </w:t>
      </w:r>
      <w:r w:rsidR="00990D0F">
        <w:t xml:space="preserve">that implicates all the accused in the commission of the offences </w:t>
      </w:r>
      <w:r>
        <w:tab/>
      </w:r>
      <w:r w:rsidR="00990D0F">
        <w:t>charged.</w:t>
      </w:r>
    </w:p>
    <w:p w:rsidR="00276E5E" w:rsidRDefault="003B4099" w:rsidP="006931E5">
      <w:pPr>
        <w:pStyle w:val="JudgmentText"/>
        <w:numPr>
          <w:ilvl w:val="0"/>
          <w:numId w:val="0"/>
        </w:numPr>
        <w:spacing w:after="0"/>
        <w:ind w:left="720" w:hanging="720"/>
      </w:pPr>
      <w:r>
        <w:t>[4]</w:t>
      </w:r>
      <w:r>
        <w:tab/>
      </w:r>
      <w:r w:rsidR="00276E5E">
        <w:t>Counsel for the Republic Mr</w:t>
      </w:r>
      <w:r w:rsidR="00C70CD5">
        <w:t>.</w:t>
      </w:r>
      <w:r w:rsidR="007A6B80">
        <w:t xml:space="preserve"> Thatchett</w:t>
      </w:r>
      <w:r w:rsidR="006931E5">
        <w:t>,</w:t>
      </w:r>
      <w:r w:rsidR="007A6B80">
        <w:t xml:space="preserve"> submitted </w:t>
      </w:r>
      <w:r w:rsidR="007741C5">
        <w:t>to the</w:t>
      </w:r>
      <w:r w:rsidR="00276E5E">
        <w:t xml:space="preserve"> Court in </w:t>
      </w:r>
      <w:r w:rsidR="006931E5">
        <w:t>support of</w:t>
      </w:r>
      <w:r w:rsidR="00276E5E">
        <w:t xml:space="preserve"> this </w:t>
      </w:r>
      <w:r w:rsidR="007A6B80">
        <w:tab/>
      </w:r>
      <w:r w:rsidR="00276E5E">
        <w:t>motion on the said date. Mr</w:t>
      </w:r>
      <w:r w:rsidR="007A6B80">
        <w:t xml:space="preserve"> Nichol</w:t>
      </w:r>
      <w:r w:rsidR="00276E5E">
        <w:t xml:space="preserve"> Gabriel who appeared for the 7</w:t>
      </w:r>
      <w:r w:rsidR="00276E5E" w:rsidRPr="00276E5E">
        <w:rPr>
          <w:vertAlign w:val="superscript"/>
        </w:rPr>
        <w:t>th</w:t>
      </w:r>
      <w:r w:rsidR="00276E5E">
        <w:t xml:space="preserve"> and 8</w:t>
      </w:r>
      <w:r w:rsidR="00276E5E" w:rsidRPr="00276E5E">
        <w:rPr>
          <w:vertAlign w:val="superscript"/>
        </w:rPr>
        <w:t>th</w:t>
      </w:r>
      <w:r w:rsidR="00276E5E">
        <w:t xml:space="preserve"> Accused did not respond immediately and directly to the motion but </w:t>
      </w:r>
      <w:r w:rsidR="007A6B80">
        <w:tab/>
      </w:r>
      <w:r w:rsidR="00276E5E">
        <w:t xml:space="preserve">requested for further time to be able to file counter affidavit of facts and to make formal </w:t>
      </w:r>
      <w:r w:rsidR="007A6B80">
        <w:tab/>
      </w:r>
      <w:r w:rsidR="00276E5E">
        <w:t>reply. Mr</w:t>
      </w:r>
      <w:r w:rsidR="007A6B80">
        <w:t xml:space="preserve"> Clifford</w:t>
      </w:r>
      <w:r w:rsidR="00276E5E">
        <w:t xml:space="preserve"> Andre for the 1</w:t>
      </w:r>
      <w:r w:rsidR="00276E5E" w:rsidRPr="00276E5E">
        <w:rPr>
          <w:vertAlign w:val="superscript"/>
        </w:rPr>
        <w:t>st</w:t>
      </w:r>
      <w:r w:rsidR="00276E5E">
        <w:t xml:space="preserve"> to 5</w:t>
      </w:r>
      <w:r w:rsidR="00276E5E" w:rsidRPr="00276E5E">
        <w:rPr>
          <w:vertAlign w:val="superscript"/>
        </w:rPr>
        <w:t>th</w:t>
      </w:r>
      <w:r w:rsidR="00276E5E">
        <w:t xml:space="preserve"> Respondent made a similar application. On the </w:t>
      </w:r>
      <w:r w:rsidR="007A6B80">
        <w:tab/>
      </w:r>
      <w:r w:rsidR="00276E5E">
        <w:t>said date</w:t>
      </w:r>
      <w:r w:rsidR="006931E5">
        <w:t xml:space="preserve">.  </w:t>
      </w:r>
      <w:r w:rsidR="006931E5" w:rsidRPr="006931E5">
        <w:t>T</w:t>
      </w:r>
      <w:r w:rsidR="00276E5E">
        <w:t>he 8</w:t>
      </w:r>
      <w:r w:rsidR="007A6B80">
        <w:rPr>
          <w:vertAlign w:val="superscript"/>
        </w:rPr>
        <w:t xml:space="preserve">th </w:t>
      </w:r>
      <w:r w:rsidR="007A6B80">
        <w:t>accused Mrs Chelsie</w:t>
      </w:r>
      <w:r w:rsidR="00276E5E">
        <w:t xml:space="preserve"> Mondon who was not subject to a Motion for remand was released on bail by this Court.</w:t>
      </w:r>
    </w:p>
    <w:p w:rsidR="003B4099" w:rsidRDefault="003B4099" w:rsidP="003B4099">
      <w:pPr>
        <w:pStyle w:val="JudgmentText"/>
        <w:numPr>
          <w:ilvl w:val="0"/>
          <w:numId w:val="0"/>
        </w:numPr>
        <w:ind w:left="1430"/>
      </w:pPr>
    </w:p>
    <w:p w:rsidR="003B4099" w:rsidRDefault="003B4099" w:rsidP="003B4099">
      <w:pPr>
        <w:pStyle w:val="JudgmentText"/>
        <w:numPr>
          <w:ilvl w:val="0"/>
          <w:numId w:val="0"/>
        </w:numPr>
      </w:pPr>
      <w:r>
        <w:t>[5]</w:t>
      </w:r>
      <w:r>
        <w:tab/>
      </w:r>
      <w:r w:rsidR="007A6B80">
        <w:t>The Defence did file</w:t>
      </w:r>
      <w:r w:rsidR="00276E5E">
        <w:t xml:space="preserve"> their</w:t>
      </w:r>
      <w:r w:rsidR="00584CB2">
        <w:t xml:space="preserve"> </w:t>
      </w:r>
      <w:r w:rsidR="008B77B2">
        <w:t>reply affidavits</w:t>
      </w:r>
      <w:r w:rsidR="00276E5E">
        <w:t xml:space="preserve"> and the Court heard their reply in answer to </w:t>
      </w:r>
      <w:r w:rsidR="007A6B80">
        <w:tab/>
      </w:r>
      <w:r w:rsidR="00276E5E">
        <w:t>the motion for the Republic. This was done on the 15</w:t>
      </w:r>
      <w:r w:rsidR="00276E5E" w:rsidRPr="00276E5E">
        <w:rPr>
          <w:vertAlign w:val="superscript"/>
        </w:rPr>
        <w:t>th</w:t>
      </w:r>
      <w:r w:rsidR="007A6B80">
        <w:t xml:space="preserve"> September 2017. In </w:t>
      </w:r>
      <w:r w:rsidR="008B77B2">
        <w:t>their</w:t>
      </w:r>
      <w:r w:rsidR="007A6B80">
        <w:tab/>
        <w:t>affidavits, t</w:t>
      </w:r>
      <w:r w:rsidR="00276E5E">
        <w:t>he 1</w:t>
      </w:r>
      <w:r w:rsidR="00276E5E" w:rsidRPr="00276E5E">
        <w:rPr>
          <w:vertAlign w:val="superscript"/>
        </w:rPr>
        <w:t>st</w:t>
      </w:r>
      <w:r w:rsidR="00276E5E">
        <w:t xml:space="preserve"> to </w:t>
      </w:r>
      <w:r w:rsidR="008B77B2">
        <w:t>5</w:t>
      </w:r>
      <w:r w:rsidR="00276E5E" w:rsidRPr="00276E5E">
        <w:rPr>
          <w:vertAlign w:val="superscript"/>
        </w:rPr>
        <w:t>th</w:t>
      </w:r>
      <w:r w:rsidR="00276E5E">
        <w:t>Responden</w:t>
      </w:r>
      <w:r w:rsidR="00543C37">
        <w:t>t all deny</w:t>
      </w:r>
      <w:r w:rsidR="00276E5E">
        <w:t xml:space="preserve"> the prosecution's versions of facts. They all </w:t>
      </w:r>
      <w:r w:rsidR="00543C37">
        <w:tab/>
      </w:r>
      <w:r w:rsidR="00276E5E">
        <w:t>applied for their release on bail with or without condition</w:t>
      </w:r>
      <w:r w:rsidR="006931E5">
        <w:t>s</w:t>
      </w:r>
      <w:r w:rsidR="00543C37">
        <w:t xml:space="preserve">. The same </w:t>
      </w:r>
      <w:r w:rsidR="00B33668">
        <w:t xml:space="preserve">position was taken </w:t>
      </w:r>
      <w:r w:rsidR="00543C37">
        <w:tab/>
        <w:t xml:space="preserve">by </w:t>
      </w:r>
      <w:r w:rsidR="00276E5E">
        <w:t>the 6</w:t>
      </w:r>
      <w:r w:rsidR="00276E5E" w:rsidRPr="00276E5E">
        <w:rPr>
          <w:vertAlign w:val="superscript"/>
        </w:rPr>
        <w:t>th</w:t>
      </w:r>
      <w:r w:rsidR="00276E5E">
        <w:t xml:space="preserve"> to 7</w:t>
      </w:r>
      <w:r w:rsidR="00276E5E" w:rsidRPr="00276E5E">
        <w:rPr>
          <w:vertAlign w:val="superscript"/>
        </w:rPr>
        <w:t>th</w:t>
      </w:r>
      <w:r w:rsidR="00276E5E">
        <w:t xml:space="preserve"> Respondents.</w:t>
      </w:r>
    </w:p>
    <w:p w:rsidR="00276E5E" w:rsidRDefault="003B4099" w:rsidP="003B4099">
      <w:pPr>
        <w:pStyle w:val="JudgmentText"/>
        <w:numPr>
          <w:ilvl w:val="0"/>
          <w:numId w:val="0"/>
        </w:numPr>
      </w:pPr>
      <w:r>
        <w:t>[6]</w:t>
      </w:r>
      <w:r>
        <w:tab/>
      </w:r>
      <w:r w:rsidR="00276E5E">
        <w:t>The case</w:t>
      </w:r>
      <w:r>
        <w:t xml:space="preserve"> for the Republic is as follows;</w:t>
      </w:r>
    </w:p>
    <w:p w:rsidR="00276E5E" w:rsidRDefault="00276E5E" w:rsidP="006946EC">
      <w:pPr>
        <w:pStyle w:val="JudgmentText"/>
        <w:numPr>
          <w:ilvl w:val="0"/>
          <w:numId w:val="11"/>
        </w:numPr>
      </w:pPr>
      <w:r>
        <w:lastRenderedPageBreak/>
        <w:t>Firstly</w:t>
      </w:r>
      <w:r w:rsidR="00543C37">
        <w:t>,</w:t>
      </w:r>
      <w:r>
        <w:t xml:space="preserve"> the offence charged against the Respondents</w:t>
      </w:r>
      <w:r w:rsidR="006946EC">
        <w:t xml:space="preserve"> are serious and aggravated in </w:t>
      </w:r>
      <w:r>
        <w:t>nature, the maximum sentence for the offence</w:t>
      </w:r>
      <w:r w:rsidR="00543C37">
        <w:t>s consist of very long terms of imprisonment</w:t>
      </w:r>
      <w:r w:rsidR="006946EC">
        <w:t xml:space="preserve"> and </w:t>
      </w:r>
      <w:r w:rsidR="008B77B2">
        <w:t xml:space="preserve">are </w:t>
      </w:r>
      <w:r w:rsidR="006946EC">
        <w:t xml:space="preserve">very serious </w:t>
      </w:r>
      <w:r w:rsidR="00543C37">
        <w:t xml:space="preserve">in nature </w:t>
      </w:r>
      <w:r w:rsidR="006946EC">
        <w:t xml:space="preserve">and the </w:t>
      </w:r>
      <w:r>
        <w:t>amount of drugs recovered shows the presence in</w:t>
      </w:r>
      <w:r w:rsidR="006946EC">
        <w:t xml:space="preserve"> a degree of commercialisation </w:t>
      </w:r>
      <w:r>
        <w:t>in the commission of the offence.</w:t>
      </w:r>
    </w:p>
    <w:p w:rsidR="00276E5E" w:rsidRDefault="00276E5E" w:rsidP="006946EC">
      <w:pPr>
        <w:pStyle w:val="JudgmentText"/>
        <w:numPr>
          <w:ilvl w:val="0"/>
          <w:numId w:val="11"/>
        </w:numPr>
      </w:pPr>
      <w:r>
        <w:t>It is</w:t>
      </w:r>
      <w:r w:rsidR="00AB1A4A">
        <w:t xml:space="preserve"> further argued by the </w:t>
      </w:r>
      <w:r>
        <w:t xml:space="preserve">prosecution that drug offences are on the rise in the country, endangering the peace, public order, </w:t>
      </w:r>
      <w:r w:rsidR="005B0C49">
        <w:t>tranquillity</w:t>
      </w:r>
      <w:r>
        <w:t>, morality of the society, especially</w:t>
      </w:r>
      <w:r w:rsidR="005B0C49">
        <w:t xml:space="preserve"> the young generation. Hence</w:t>
      </w:r>
      <w:r w:rsidR="00543C37">
        <w:t>,</w:t>
      </w:r>
      <w:r w:rsidR="005B0C49">
        <w:t xml:space="preserve"> the need to protect society f</w:t>
      </w:r>
      <w:r w:rsidR="006946EC">
        <w:t xml:space="preserve">rom the </w:t>
      </w:r>
      <w:r w:rsidR="005B0C49">
        <w:t>repetition of such offences, by committing the a</w:t>
      </w:r>
      <w:r w:rsidR="006946EC">
        <w:t xml:space="preserve">ccused into prison pending the </w:t>
      </w:r>
      <w:r w:rsidR="005B0C49">
        <w:t>full determination of the case.</w:t>
      </w:r>
    </w:p>
    <w:p w:rsidR="005B0C49" w:rsidRDefault="005B0C49" w:rsidP="006946EC">
      <w:pPr>
        <w:pStyle w:val="JudgmentText"/>
        <w:numPr>
          <w:ilvl w:val="0"/>
          <w:numId w:val="11"/>
        </w:numPr>
      </w:pPr>
      <w:r>
        <w:t>It is the averment of the Republic that there are subst</w:t>
      </w:r>
      <w:r w:rsidR="006946EC">
        <w:t xml:space="preserve">antial grounds to believe that </w:t>
      </w:r>
      <w:r>
        <w:t>the</w:t>
      </w:r>
      <w:r w:rsidR="00543C37">
        <w:t>se</w:t>
      </w:r>
      <w:r>
        <w:t xml:space="preserve"> Respondent</w:t>
      </w:r>
      <w:r w:rsidR="00AB1A4A">
        <w:t>s</w:t>
      </w:r>
      <w:r>
        <w:t xml:space="preserve"> will likely obstruct the due cours</w:t>
      </w:r>
      <w:r w:rsidR="006946EC">
        <w:t xml:space="preserve">e of justice by absconding and </w:t>
      </w:r>
      <w:r>
        <w:t>failing to appear for trial</w:t>
      </w:r>
      <w:r w:rsidR="008B77B2">
        <w:t>,</w:t>
      </w:r>
      <w:r>
        <w:t xml:space="preserve"> if released on bail, sin</w:t>
      </w:r>
      <w:r w:rsidR="006946EC">
        <w:t xml:space="preserve">ce the Respondents are charged </w:t>
      </w:r>
      <w:r>
        <w:t>with very serious offences and that Respondents ar</w:t>
      </w:r>
      <w:r w:rsidR="006946EC">
        <w:t xml:space="preserve">e seafarers. Further it is the </w:t>
      </w:r>
      <w:r>
        <w:t>averment of the Republic that Respondent number 1 wa</w:t>
      </w:r>
      <w:r w:rsidR="006946EC">
        <w:t xml:space="preserve">s using his unregistered </w:t>
      </w:r>
      <w:r>
        <w:t>vessel to collect the drugs.</w:t>
      </w:r>
    </w:p>
    <w:p w:rsidR="0014251A" w:rsidRDefault="005B0C49" w:rsidP="0014251A">
      <w:pPr>
        <w:pStyle w:val="JudgmentText"/>
        <w:numPr>
          <w:ilvl w:val="0"/>
          <w:numId w:val="11"/>
        </w:numPr>
      </w:pPr>
      <w:r>
        <w:t xml:space="preserve">It is </w:t>
      </w:r>
      <w:r w:rsidR="008B77B2">
        <w:t xml:space="preserve">further </w:t>
      </w:r>
      <w:r>
        <w:t>the averment of the Republic that there are subst</w:t>
      </w:r>
      <w:r w:rsidR="006946EC">
        <w:t xml:space="preserve">antial grounds to believe that </w:t>
      </w:r>
      <w:r>
        <w:t>the Respondent</w:t>
      </w:r>
      <w:r w:rsidR="00AB1A4A">
        <w:t>s</w:t>
      </w:r>
      <w:r>
        <w:t xml:space="preserve"> will likely interfere with potential </w:t>
      </w:r>
      <w:r w:rsidR="006946EC">
        <w:t xml:space="preserve">witnesses who are known to the </w:t>
      </w:r>
      <w:r>
        <w:t>Respondents, in order to avoid conviction in this cas</w:t>
      </w:r>
      <w:r w:rsidR="006946EC">
        <w:t xml:space="preserve">e and thereby obstruct the due </w:t>
      </w:r>
      <w:r>
        <w:t>course of justice</w:t>
      </w:r>
      <w:r w:rsidR="002A7C41">
        <w:t>,</w:t>
      </w:r>
      <w:r>
        <w:t xml:space="preserve"> if released on bail.</w:t>
      </w:r>
    </w:p>
    <w:p w:rsidR="002C7B8C" w:rsidRDefault="003B4099" w:rsidP="002A7C41">
      <w:pPr>
        <w:pStyle w:val="JudgmentText"/>
        <w:numPr>
          <w:ilvl w:val="0"/>
          <w:numId w:val="0"/>
        </w:numPr>
        <w:ind w:left="720" w:hanging="720"/>
      </w:pPr>
      <w:r>
        <w:t>[7]</w:t>
      </w:r>
      <w:r>
        <w:tab/>
      </w:r>
      <w:r w:rsidR="00D3512C">
        <w:t>In his Submission, Mr Andre for the 1</w:t>
      </w:r>
      <w:r w:rsidR="00D3512C" w:rsidRPr="003B4099">
        <w:rPr>
          <w:vertAlign w:val="superscript"/>
        </w:rPr>
        <w:t>st</w:t>
      </w:r>
      <w:r w:rsidR="00D3512C">
        <w:t xml:space="preserve"> to 5</w:t>
      </w:r>
      <w:r w:rsidR="00D3512C" w:rsidRPr="003B4099">
        <w:rPr>
          <w:vertAlign w:val="superscript"/>
        </w:rPr>
        <w:t>th</w:t>
      </w:r>
      <w:r w:rsidR="00D3512C">
        <w:t xml:space="preserve"> Respondents submitted that the seriousness of the offence is not a stand-alone ground for remanding of an accused person in custody. He further submitted that the grounds for remanding an accu</w:t>
      </w:r>
      <w:r w:rsidR="00296DB1">
        <w:t xml:space="preserve">sed in custody under </w:t>
      </w:r>
      <w:r w:rsidR="00296DB1" w:rsidRPr="00543C37">
        <w:rPr>
          <w:iCs/>
        </w:rPr>
        <w:t>Article 18 (</w:t>
      </w:r>
      <w:r w:rsidR="00D3512C" w:rsidRPr="00543C37">
        <w:rPr>
          <w:iCs/>
        </w:rPr>
        <w:t>7</w:t>
      </w:r>
      <w:r w:rsidR="00296DB1" w:rsidRPr="00543C37">
        <w:rPr>
          <w:iCs/>
        </w:rPr>
        <w:t>)</w:t>
      </w:r>
      <w:r w:rsidR="00D3512C" w:rsidRPr="00543C37">
        <w:rPr>
          <w:iCs/>
        </w:rPr>
        <w:t xml:space="preserve"> of the Constitution</w:t>
      </w:r>
      <w:r w:rsidR="00D3512C">
        <w:t xml:space="preserve"> consist of </w:t>
      </w:r>
      <w:r w:rsidR="00543C37">
        <w:t>"</w:t>
      </w:r>
      <w:r w:rsidR="00D3512C">
        <w:t>substantial grounds to believe</w:t>
      </w:r>
      <w:r w:rsidR="00543C37">
        <w:t>"</w:t>
      </w:r>
      <w:r w:rsidR="00D3512C">
        <w:t xml:space="preserve"> and that the prosecution has not called or tendered enough evidence to show that there are substantial grounds that the accused will fail to appear for trial or interfere with the witnesses or obstruct the due course of justice or commit further offences if released on bail. He further submits that the</w:t>
      </w:r>
      <w:r w:rsidR="00543C37">
        <w:t xml:space="preserve"> Constitutional p</w:t>
      </w:r>
      <w:r w:rsidR="005E0CA4">
        <w:t>rovision</w:t>
      </w:r>
      <w:r w:rsidR="002A7C41">
        <w:t xml:space="preserve">s is </w:t>
      </w:r>
      <w:r w:rsidR="00296DB1" w:rsidRPr="00543C37">
        <w:rPr>
          <w:iCs/>
        </w:rPr>
        <w:t>Article 18 (</w:t>
      </w:r>
      <w:r w:rsidR="002C7B8C" w:rsidRPr="00543C37">
        <w:rPr>
          <w:iCs/>
        </w:rPr>
        <w:t>7</w:t>
      </w:r>
      <w:r w:rsidR="00FC782F">
        <w:rPr>
          <w:iCs/>
        </w:rPr>
        <w:t>)</w:t>
      </w:r>
      <w:r w:rsidR="002A7C41">
        <w:rPr>
          <w:iCs/>
        </w:rPr>
        <w:t>are mandatory</w:t>
      </w:r>
      <w:r w:rsidR="00584CB2">
        <w:rPr>
          <w:iCs/>
        </w:rPr>
        <w:t xml:space="preserve"> </w:t>
      </w:r>
      <w:r w:rsidR="002A7C41">
        <w:rPr>
          <w:iCs/>
        </w:rPr>
        <w:t xml:space="preserve">and </w:t>
      </w:r>
      <w:r w:rsidR="002C7B8C" w:rsidRPr="00543C37">
        <w:rPr>
          <w:iCs/>
        </w:rPr>
        <w:t>Section 179</w:t>
      </w:r>
      <w:r w:rsidR="002C7B8C">
        <w:t xml:space="preserve"> is discretionary and t</w:t>
      </w:r>
      <w:r w:rsidR="00FC782F">
        <w:t>hat as such the Constitutional p</w:t>
      </w:r>
      <w:r w:rsidR="002C7B8C">
        <w:t>rovision</w:t>
      </w:r>
      <w:r w:rsidR="00F627FF">
        <w:t>s</w:t>
      </w:r>
      <w:r w:rsidR="002C7B8C">
        <w:t xml:space="preserve"> should prevail. </w:t>
      </w:r>
      <w:r w:rsidR="002C7B8C">
        <w:lastRenderedPageBreak/>
        <w:t xml:space="preserve">He further submitted that no drugs were found in the possession of his clients and that the case of the Republic relies on mere </w:t>
      </w:r>
      <w:r w:rsidR="00584CB2" w:rsidRPr="00296DB1">
        <w:t>surmisation</w:t>
      </w:r>
      <w:r w:rsidR="002C7B8C" w:rsidRPr="00296DB1">
        <w:t>. He</w:t>
      </w:r>
      <w:r w:rsidR="002C7B8C">
        <w:t xml:space="preserve"> further submit</w:t>
      </w:r>
      <w:r w:rsidR="00F627FF">
        <w:t>ted</w:t>
      </w:r>
      <w:r w:rsidR="002C7B8C">
        <w:t xml:space="preserve"> that the Court </w:t>
      </w:r>
      <w:r w:rsidR="00FC782F">
        <w:t>can</w:t>
      </w:r>
      <w:r w:rsidR="002C7B8C">
        <w:t xml:space="preserve"> impose bail condition</w:t>
      </w:r>
      <w:r w:rsidR="00AB1A4A">
        <w:t>s</w:t>
      </w:r>
      <w:r w:rsidR="002C7B8C">
        <w:t xml:space="preserve"> on his clients in order </w:t>
      </w:r>
      <w:r w:rsidR="00FC782F">
        <w:t xml:space="preserve">to </w:t>
      </w:r>
      <w:r w:rsidR="002C7B8C">
        <w:t>allo</w:t>
      </w:r>
      <w:r w:rsidR="00FC782F">
        <w:t>w them to appear subsequently for</w:t>
      </w:r>
      <w:r>
        <w:tab/>
      </w:r>
      <w:r w:rsidR="002C7B8C">
        <w:t>trial.</w:t>
      </w:r>
    </w:p>
    <w:p w:rsidR="002C7B8C" w:rsidRPr="003B4099" w:rsidRDefault="003B4099" w:rsidP="00F627FF">
      <w:pPr>
        <w:pStyle w:val="JudgmentText"/>
        <w:numPr>
          <w:ilvl w:val="0"/>
          <w:numId w:val="0"/>
        </w:numPr>
        <w:spacing w:after="0"/>
        <w:ind w:left="720" w:hanging="720"/>
        <w:rPr>
          <w:b/>
        </w:rPr>
      </w:pPr>
      <w:r>
        <w:t>[8]</w:t>
      </w:r>
      <w:r>
        <w:tab/>
      </w:r>
      <w:r w:rsidR="002C7B8C">
        <w:t>Mr</w:t>
      </w:r>
      <w:r w:rsidR="005F7303">
        <w:t>.</w:t>
      </w:r>
      <w:r w:rsidR="002C7B8C">
        <w:t xml:space="preserve"> Gabriel on the other hand quoted the case of </w:t>
      </w:r>
      <w:r w:rsidR="002C7B8C" w:rsidRPr="0014251A">
        <w:rPr>
          <w:b/>
          <w:u w:val="single"/>
        </w:rPr>
        <w:t xml:space="preserve">Kenneth Esparon &amp; ors Vs the </w:t>
      </w:r>
      <w:r w:rsidR="002C7B8C" w:rsidRPr="00F627FF">
        <w:rPr>
          <w:b/>
          <w:u w:val="single"/>
        </w:rPr>
        <w:t xml:space="preserve">Republic </w:t>
      </w:r>
      <w:r w:rsidR="00F627FF" w:rsidRPr="00F627FF">
        <w:rPr>
          <w:b/>
          <w:u w:val="single"/>
        </w:rPr>
        <w:t xml:space="preserve"> SCA 01/02/03/14</w:t>
      </w:r>
      <w:r w:rsidR="002C7B8C">
        <w:t xml:space="preserve">and submitted that the prosecution has to make a case every fourteen days for extending the remand and that there is no such law for remanding an accused in custody pending the full determination of the case. He submitted that seriousness of the offence cannot be a ground for detention as in the case of </w:t>
      </w:r>
      <w:r w:rsidR="002C7B8C" w:rsidRPr="0014251A">
        <w:rPr>
          <w:b/>
          <w:u w:val="single"/>
        </w:rPr>
        <w:t>Kenneth Esparon &amp; ors Vs The Republic</w:t>
      </w:r>
      <w:r w:rsidR="002C7B8C">
        <w:rPr>
          <w:b/>
        </w:rPr>
        <w:t xml:space="preserve">, </w:t>
      </w:r>
      <w:r w:rsidR="002C7B8C" w:rsidRPr="002C7B8C">
        <w:t>the Court of Appeal did release</w:t>
      </w:r>
      <w:r w:rsidR="002C7B8C">
        <w:t xml:space="preserve"> the accused on</w:t>
      </w:r>
      <w:r w:rsidR="00FC782F">
        <w:t xml:space="preserve"> bail</w:t>
      </w:r>
      <w:r w:rsidR="002C7B8C">
        <w:t xml:space="preserve"> in a case of a nature similar to this one before the Court. Mr Gabriel further submitted that the Republic has failed to show any propensity on the parts of his clients to abscond and defeat the due course of justice. He submit</w:t>
      </w:r>
      <w:r w:rsidR="00F627FF">
        <w:t>ted</w:t>
      </w:r>
      <w:r w:rsidR="002C7B8C">
        <w:t xml:space="preserve"> that the Court must balance the right to liberty of his clients with the public interest and the right to liberty in this case favour his clients. Hence</w:t>
      </w:r>
      <w:r w:rsidR="008857A7">
        <w:t>,</w:t>
      </w:r>
      <w:r w:rsidR="00FC782F">
        <w:t xml:space="preserve"> he</w:t>
      </w:r>
      <w:r w:rsidR="002C7B8C">
        <w:t xml:space="preserve"> submit</w:t>
      </w:r>
      <w:r w:rsidR="00F627FF">
        <w:t>ted finally</w:t>
      </w:r>
      <w:r w:rsidR="002C7B8C">
        <w:t xml:space="preserve"> that they should be released on bail. </w:t>
      </w:r>
    </w:p>
    <w:p w:rsidR="005F7303" w:rsidRPr="002C7B8C" w:rsidRDefault="005F7303" w:rsidP="005F7303">
      <w:pPr>
        <w:pStyle w:val="JudgmentText"/>
        <w:numPr>
          <w:ilvl w:val="0"/>
          <w:numId w:val="0"/>
        </w:numPr>
        <w:spacing w:after="0"/>
        <w:ind w:left="1426"/>
        <w:rPr>
          <w:b/>
        </w:rPr>
      </w:pPr>
    </w:p>
    <w:p w:rsidR="002C7B8C" w:rsidRPr="006946EC" w:rsidRDefault="003B4099" w:rsidP="003B4099">
      <w:pPr>
        <w:pStyle w:val="JudgmentText"/>
        <w:numPr>
          <w:ilvl w:val="0"/>
          <w:numId w:val="0"/>
        </w:numPr>
        <w:jc w:val="left"/>
        <w:rPr>
          <w:b/>
        </w:rPr>
      </w:pPr>
      <w:r>
        <w:t>[9]</w:t>
      </w:r>
      <w:r>
        <w:tab/>
      </w:r>
      <w:r w:rsidR="002C7B8C">
        <w:t xml:space="preserve">After scrutinising the application </w:t>
      </w:r>
      <w:r w:rsidR="002F436E">
        <w:t xml:space="preserve">of the Republic and its attached affidavit and the replies </w:t>
      </w:r>
      <w:r>
        <w:tab/>
      </w:r>
      <w:r w:rsidR="002F436E">
        <w:t xml:space="preserve">and affidavits of the respondents and after hearing the different arguments and </w:t>
      </w:r>
      <w:r>
        <w:tab/>
      </w:r>
      <w:r w:rsidR="002F436E">
        <w:t>submissions of the counsels, I am of the following opinion:</w:t>
      </w:r>
    </w:p>
    <w:p w:rsidR="002F436E" w:rsidRDefault="002F436E" w:rsidP="006946EC">
      <w:pPr>
        <w:pStyle w:val="JudgmentText"/>
        <w:numPr>
          <w:ilvl w:val="0"/>
          <w:numId w:val="13"/>
        </w:numPr>
      </w:pPr>
      <w:r>
        <w:t>That remand in custody of an accused after he is ch</w:t>
      </w:r>
      <w:r w:rsidR="006946EC">
        <w:t xml:space="preserve">arged is the exception and his </w:t>
      </w:r>
      <w:r>
        <w:t>enlargement on bail with or without condition</w:t>
      </w:r>
      <w:r w:rsidR="00FC782F">
        <w:t>s,</w:t>
      </w:r>
      <w:r>
        <w:t xml:space="preserve"> is a rule. The b</w:t>
      </w:r>
      <w:r w:rsidR="006946EC">
        <w:t xml:space="preserve">urdens lies on the </w:t>
      </w:r>
      <w:r>
        <w:t>Republic to show, t</w:t>
      </w:r>
      <w:r w:rsidR="00FC782F">
        <w:t>hr</w:t>
      </w:r>
      <w:r>
        <w:t>o</w:t>
      </w:r>
      <w:r w:rsidR="00FC782F">
        <w:t>ugh</w:t>
      </w:r>
      <w:r>
        <w:t xml:space="preserve"> a prima facie case</w:t>
      </w:r>
      <w:r w:rsidR="00FC782F">
        <w:t>,</w:t>
      </w:r>
      <w:r>
        <w:t xml:space="preserve"> that there are strong and </w:t>
      </w:r>
      <w:r w:rsidR="005E0CA4">
        <w:t>cogent</w:t>
      </w:r>
      <w:r w:rsidR="006946EC">
        <w:t xml:space="preserve"> reasons </w:t>
      </w:r>
      <w:r>
        <w:t>why the Respondents should not be released on bail.</w:t>
      </w:r>
    </w:p>
    <w:p w:rsidR="005F7303" w:rsidRDefault="005F7303" w:rsidP="005F7303">
      <w:pPr>
        <w:pStyle w:val="JudgmentText"/>
        <w:numPr>
          <w:ilvl w:val="0"/>
          <w:numId w:val="13"/>
        </w:numPr>
      </w:pPr>
      <w:r>
        <w:t>The reasons for further d</w:t>
      </w:r>
      <w:r w:rsidR="00FC782F">
        <w:t>etention are</w:t>
      </w:r>
      <w:r>
        <w:t xml:space="preserve"> set out under </w:t>
      </w:r>
      <w:r w:rsidRPr="00FC782F">
        <w:rPr>
          <w:iCs/>
        </w:rPr>
        <w:t>Article 18 (</w:t>
      </w:r>
      <w:r w:rsidR="002F436E" w:rsidRPr="00FC782F">
        <w:rPr>
          <w:iCs/>
        </w:rPr>
        <w:t>7</w:t>
      </w:r>
      <w:r w:rsidRPr="00FC782F">
        <w:rPr>
          <w:iCs/>
        </w:rPr>
        <w:t>)</w:t>
      </w:r>
      <w:r w:rsidR="002F436E" w:rsidRPr="00FC782F">
        <w:rPr>
          <w:iCs/>
        </w:rPr>
        <w:t xml:space="preserve"> of the</w:t>
      </w:r>
      <w:r w:rsidR="00584CB2">
        <w:rPr>
          <w:iCs/>
        </w:rPr>
        <w:t xml:space="preserve"> </w:t>
      </w:r>
      <w:r w:rsidR="002F436E" w:rsidRPr="00FC782F">
        <w:rPr>
          <w:iCs/>
        </w:rPr>
        <w:t>Constitution</w:t>
      </w:r>
      <w:r w:rsidR="002C1A20">
        <w:t xml:space="preserve">, </w:t>
      </w:r>
      <w:r w:rsidR="00FC782F">
        <w:t>they</w:t>
      </w:r>
      <w:r w:rsidR="002F436E">
        <w:t xml:space="preserve"> are of strict application and th</w:t>
      </w:r>
      <w:r w:rsidR="00FC782F">
        <w:t>ey are exhaustive</w:t>
      </w:r>
      <w:r>
        <w:t xml:space="preserve">. </w:t>
      </w:r>
      <w:r w:rsidRPr="00FC782F">
        <w:rPr>
          <w:iCs/>
        </w:rPr>
        <w:t xml:space="preserve">Section </w:t>
      </w:r>
      <w:r w:rsidR="002C1A20" w:rsidRPr="00FC782F">
        <w:rPr>
          <w:iCs/>
        </w:rPr>
        <w:t>179</w:t>
      </w:r>
      <w:r w:rsidR="008857A7">
        <w:rPr>
          <w:iCs/>
        </w:rPr>
        <w:t xml:space="preserve"> of the Criminal Procedure Code</w:t>
      </w:r>
      <w:r w:rsidR="002C1A20">
        <w:t xml:space="preserve"> no</w:t>
      </w:r>
      <w:r w:rsidR="00584CB2">
        <w:t xml:space="preserve"> </w:t>
      </w:r>
      <w:r w:rsidR="002F436E">
        <w:t xml:space="preserve">longer provides to the Court </w:t>
      </w:r>
      <w:r w:rsidR="008857A7">
        <w:t xml:space="preserve">a </w:t>
      </w:r>
      <w:r w:rsidR="007741C5">
        <w:t>discretionary</w:t>
      </w:r>
      <w:r w:rsidR="00FC782F">
        <w:t xml:space="preserve"> power</w:t>
      </w:r>
      <w:r w:rsidR="006946EC">
        <w:t xml:space="preserve">, it is superseded by </w:t>
      </w:r>
      <w:r w:rsidR="006946EC" w:rsidRPr="00FC782F">
        <w:rPr>
          <w:iCs/>
        </w:rPr>
        <w:t xml:space="preserve">Article </w:t>
      </w:r>
      <w:r w:rsidRPr="00FC782F">
        <w:rPr>
          <w:iCs/>
        </w:rPr>
        <w:t>18 (</w:t>
      </w:r>
      <w:r w:rsidR="002F436E" w:rsidRPr="00FC782F">
        <w:rPr>
          <w:iCs/>
        </w:rPr>
        <w:t>7</w:t>
      </w:r>
      <w:r w:rsidRPr="00FC782F">
        <w:rPr>
          <w:iCs/>
        </w:rPr>
        <w:t>)</w:t>
      </w:r>
      <w:r w:rsidR="002F436E" w:rsidRPr="00FC782F">
        <w:rPr>
          <w:iCs/>
        </w:rPr>
        <w:t xml:space="preserve"> of the Constitution</w:t>
      </w:r>
      <w:r w:rsidR="002F436E">
        <w:t>.</w:t>
      </w:r>
      <w:r w:rsidR="008857A7">
        <w:t xml:space="preserve">  The prosecution must prove its case for bail.</w:t>
      </w:r>
      <w:r w:rsidR="002F436E">
        <w:t xml:space="preserve"> If the prosecu</w:t>
      </w:r>
      <w:r>
        <w:t xml:space="preserve">tion is relying on </w:t>
      </w:r>
      <w:r w:rsidRPr="00FC782F">
        <w:rPr>
          <w:iCs/>
        </w:rPr>
        <w:t>Article 18 (</w:t>
      </w:r>
      <w:r w:rsidR="002F436E" w:rsidRPr="00FC782F">
        <w:rPr>
          <w:iCs/>
        </w:rPr>
        <w:t>7</w:t>
      </w:r>
      <w:r w:rsidRPr="00FC782F">
        <w:rPr>
          <w:iCs/>
        </w:rPr>
        <w:t>) (c)</w:t>
      </w:r>
      <w:r w:rsidR="002F436E" w:rsidRPr="00FC782F">
        <w:rPr>
          <w:iCs/>
        </w:rPr>
        <w:t>,</w:t>
      </w:r>
      <w:r w:rsidR="002F436E">
        <w:t xml:space="preserve"> the </w:t>
      </w:r>
      <w:r w:rsidR="006946EC">
        <w:lastRenderedPageBreak/>
        <w:t xml:space="preserve">prosecution </w:t>
      </w:r>
      <w:r w:rsidR="002F436E">
        <w:t xml:space="preserve">should show </w:t>
      </w:r>
      <w:r w:rsidR="00FC782F">
        <w:t>"</w:t>
      </w:r>
      <w:r w:rsidR="002F436E">
        <w:t>substantial grounds</w:t>
      </w:r>
      <w:r w:rsidR="00FC782F">
        <w:t>"</w:t>
      </w:r>
      <w:r w:rsidR="002F436E">
        <w:t xml:space="preserve"> in order to convince this Court and </w:t>
      </w:r>
      <w:r>
        <w:t xml:space="preserve">not </w:t>
      </w:r>
      <w:r w:rsidR="002F436E">
        <w:t>simple grounds.</w:t>
      </w:r>
    </w:p>
    <w:p w:rsidR="00855BC2" w:rsidRDefault="003B4099" w:rsidP="003B4099">
      <w:pPr>
        <w:pStyle w:val="JudgmentText"/>
        <w:numPr>
          <w:ilvl w:val="0"/>
          <w:numId w:val="0"/>
        </w:numPr>
      </w:pPr>
      <w:r>
        <w:t>[10]</w:t>
      </w:r>
      <w:r>
        <w:tab/>
      </w:r>
      <w:r w:rsidR="002F436E">
        <w:t xml:space="preserve">I am guided in my determination by the case of </w:t>
      </w:r>
      <w:r w:rsidR="002F436E" w:rsidRPr="005F7303">
        <w:rPr>
          <w:b/>
        </w:rPr>
        <w:t xml:space="preserve">Roy </w:t>
      </w:r>
      <w:r w:rsidR="002F436E" w:rsidRPr="003B4099">
        <w:rPr>
          <w:b/>
          <w:u w:val="single"/>
        </w:rPr>
        <w:t>Beehari</w:t>
      </w:r>
      <w:r>
        <w:rPr>
          <w:b/>
          <w:u w:val="single"/>
        </w:rPr>
        <w:t>e</w:t>
      </w:r>
      <w:r w:rsidR="002F436E" w:rsidRPr="003B4099">
        <w:rPr>
          <w:b/>
          <w:u w:val="single"/>
        </w:rPr>
        <w:t xml:space="preserve"> Vs The Republic, </w:t>
      </w:r>
      <w:r w:rsidRPr="003B4099">
        <w:rPr>
          <w:b/>
        </w:rPr>
        <w:tab/>
      </w:r>
      <w:r w:rsidR="002F436E" w:rsidRPr="003B4099">
        <w:rPr>
          <w:b/>
          <w:u w:val="single"/>
        </w:rPr>
        <w:t>Seyche</w:t>
      </w:r>
      <w:r w:rsidR="005F7303" w:rsidRPr="003B4099">
        <w:rPr>
          <w:b/>
          <w:u w:val="single"/>
        </w:rPr>
        <w:t>lles Court of Appeal case 11/</w:t>
      </w:r>
      <w:r w:rsidR="002F436E" w:rsidRPr="003B4099">
        <w:rPr>
          <w:b/>
          <w:u w:val="single"/>
        </w:rPr>
        <w:t>2009</w:t>
      </w:r>
      <w:r w:rsidR="002F436E">
        <w:t xml:space="preserve">, where the </w:t>
      </w:r>
      <w:r w:rsidR="005F7303">
        <w:t>Court of Appeal rule as follows;</w:t>
      </w:r>
      <w:r w:rsidR="005F7303">
        <w:tab/>
      </w:r>
    </w:p>
    <w:p w:rsidR="005F7303" w:rsidRPr="00855BC2" w:rsidRDefault="002F436E" w:rsidP="003B4099">
      <w:pPr>
        <w:pStyle w:val="JudgmentText"/>
        <w:numPr>
          <w:ilvl w:val="0"/>
          <w:numId w:val="0"/>
        </w:numPr>
        <w:ind w:left="1440"/>
        <w:rPr>
          <w:i/>
          <w:iCs/>
        </w:rPr>
      </w:pPr>
      <w:r w:rsidRPr="00855BC2">
        <w:rPr>
          <w:i/>
          <w:iCs/>
        </w:rPr>
        <w:t>"The prime concern in a bail application is that once the Court is properly seized of a case, the presence of the accused needs to be secured in a manner and with respect to the fundamental principle of presumption of innocence</w:t>
      </w:r>
      <w:r w:rsidR="006B0E32" w:rsidRPr="00855BC2">
        <w:rPr>
          <w:i/>
          <w:iCs/>
        </w:rPr>
        <w:t>.</w:t>
      </w:r>
      <w:r w:rsidRPr="00855BC2">
        <w:rPr>
          <w:i/>
          <w:iCs/>
        </w:rPr>
        <w:t xml:space="preserve"> The seriousness of the offence and the severity of the penalty likely to be imposed on conviction are factors relevant to the decision whether in all circumstances, it is necessary to deprive the applicant of their liberties</w:t>
      </w:r>
      <w:r w:rsidR="006B0E32" w:rsidRPr="00855BC2">
        <w:rPr>
          <w:i/>
          <w:iCs/>
        </w:rPr>
        <w:t xml:space="preserve">, they do not of themselves provides ground of refusing bail. Decision on bail must be supported by clear and </w:t>
      </w:r>
      <w:r w:rsidR="005F7303" w:rsidRPr="00855BC2">
        <w:rPr>
          <w:i/>
          <w:iCs/>
        </w:rPr>
        <w:t>express reason"</w:t>
      </w:r>
    </w:p>
    <w:p w:rsidR="005F7303" w:rsidRDefault="00855BC2" w:rsidP="003B4099">
      <w:pPr>
        <w:pStyle w:val="JudgmentText"/>
        <w:numPr>
          <w:ilvl w:val="0"/>
          <w:numId w:val="0"/>
        </w:numPr>
      </w:pPr>
      <w:r>
        <w:tab/>
      </w:r>
      <w:r w:rsidR="00B905E1">
        <w:t xml:space="preserve">This case is also </w:t>
      </w:r>
      <w:r w:rsidR="006E4F7F">
        <w:t>authority and the proposition that</w:t>
      </w:r>
      <w:r w:rsidR="005F7303" w:rsidRPr="005F7303">
        <w:rPr>
          <w:b/>
          <w:bCs/>
        </w:rPr>
        <w:t>;</w:t>
      </w:r>
    </w:p>
    <w:p w:rsidR="005F7303" w:rsidRPr="00855BC2" w:rsidRDefault="005F7303" w:rsidP="003B4099">
      <w:pPr>
        <w:pStyle w:val="JudgmentText"/>
        <w:numPr>
          <w:ilvl w:val="0"/>
          <w:numId w:val="0"/>
        </w:numPr>
        <w:spacing w:after="0"/>
        <w:rPr>
          <w:i/>
          <w:iCs/>
        </w:rPr>
      </w:pPr>
      <w:r>
        <w:tab/>
      </w:r>
      <w:r w:rsidR="00855BC2" w:rsidRPr="00855BC2">
        <w:rPr>
          <w:i/>
          <w:iCs/>
        </w:rPr>
        <w:tab/>
      </w:r>
      <w:r w:rsidR="000E3BDD" w:rsidRPr="00855BC2">
        <w:rPr>
          <w:i/>
          <w:iCs/>
        </w:rPr>
        <w:t>“a</w:t>
      </w:r>
      <w:r w:rsidR="006B0E32" w:rsidRPr="00855BC2">
        <w:rPr>
          <w:i/>
          <w:iCs/>
        </w:rPr>
        <w:t xml:space="preserve"> person must be released unless </w:t>
      </w:r>
      <w:r w:rsidR="00B905E1">
        <w:rPr>
          <w:i/>
          <w:iCs/>
        </w:rPr>
        <w:t xml:space="preserve">the </w:t>
      </w:r>
      <w:r w:rsidR="006B0E32" w:rsidRPr="00855BC2">
        <w:rPr>
          <w:i/>
          <w:iCs/>
        </w:rPr>
        <w:t xml:space="preserve">state can show there are relevant </w:t>
      </w:r>
      <w:r w:rsidR="00855BC2">
        <w:rPr>
          <w:i/>
          <w:iCs/>
        </w:rPr>
        <w:tab/>
      </w:r>
      <w:r w:rsidR="00855BC2">
        <w:rPr>
          <w:i/>
          <w:iCs/>
        </w:rPr>
        <w:tab/>
      </w:r>
      <w:r w:rsidR="00855BC2">
        <w:rPr>
          <w:i/>
          <w:iCs/>
        </w:rPr>
        <w:tab/>
      </w:r>
      <w:r w:rsidR="003B4099">
        <w:rPr>
          <w:i/>
          <w:iCs/>
        </w:rPr>
        <w:tab/>
      </w:r>
      <w:r w:rsidR="006B0E32" w:rsidRPr="00855BC2">
        <w:rPr>
          <w:i/>
          <w:iCs/>
        </w:rPr>
        <w:t xml:space="preserve">and sufficient reasons for the continued </w:t>
      </w:r>
      <w:r w:rsidRPr="00855BC2">
        <w:rPr>
          <w:i/>
          <w:iCs/>
        </w:rPr>
        <w:t>detention.</w:t>
      </w:r>
      <w:r w:rsidR="00584CB2">
        <w:rPr>
          <w:i/>
          <w:iCs/>
        </w:rPr>
        <w:t xml:space="preserve"> </w:t>
      </w:r>
      <w:r w:rsidR="006B0E32" w:rsidRPr="00855BC2">
        <w:rPr>
          <w:i/>
          <w:iCs/>
        </w:rPr>
        <w:t xml:space="preserve">Further continued detention </w:t>
      </w:r>
      <w:r w:rsidR="00B905E1">
        <w:rPr>
          <w:i/>
          <w:iCs/>
        </w:rPr>
        <w:tab/>
      </w:r>
      <w:r w:rsidR="00B905E1">
        <w:rPr>
          <w:i/>
          <w:iCs/>
        </w:rPr>
        <w:tab/>
      </w:r>
      <w:r w:rsidR="00B905E1">
        <w:rPr>
          <w:i/>
          <w:iCs/>
        </w:rPr>
        <w:tab/>
      </w:r>
      <w:r w:rsidR="006B0E32" w:rsidRPr="00855BC2">
        <w:rPr>
          <w:i/>
          <w:iCs/>
        </w:rPr>
        <w:t>can be justifi</w:t>
      </w:r>
      <w:r w:rsidR="00B905E1">
        <w:rPr>
          <w:i/>
          <w:iCs/>
        </w:rPr>
        <w:t xml:space="preserve">ed in a given case if there are </w:t>
      </w:r>
      <w:r w:rsidR="006B0E32" w:rsidRPr="00855BC2">
        <w:rPr>
          <w:i/>
          <w:iCs/>
        </w:rPr>
        <w:t xml:space="preserve">evidence indicative of a genuine </w:t>
      </w:r>
      <w:r w:rsidR="00B905E1">
        <w:rPr>
          <w:i/>
          <w:iCs/>
        </w:rPr>
        <w:tab/>
      </w:r>
      <w:r w:rsidR="00B905E1">
        <w:rPr>
          <w:i/>
          <w:iCs/>
        </w:rPr>
        <w:tab/>
      </w:r>
      <w:r w:rsidR="00B905E1">
        <w:rPr>
          <w:i/>
          <w:iCs/>
        </w:rPr>
        <w:tab/>
      </w:r>
      <w:r w:rsidR="006B0E32" w:rsidRPr="00855BC2">
        <w:rPr>
          <w:i/>
          <w:iCs/>
        </w:rPr>
        <w:t>requirement o</w:t>
      </w:r>
      <w:r w:rsidR="00B905E1">
        <w:rPr>
          <w:i/>
          <w:iCs/>
        </w:rPr>
        <w:t xml:space="preserve">f public interest, which </w:t>
      </w:r>
      <w:r w:rsidR="005E0CA4" w:rsidRPr="00855BC2">
        <w:rPr>
          <w:i/>
          <w:iCs/>
        </w:rPr>
        <w:t>notwithstanding</w:t>
      </w:r>
      <w:r w:rsidR="006B0E32" w:rsidRPr="00855BC2">
        <w:rPr>
          <w:i/>
          <w:iCs/>
        </w:rPr>
        <w:t xml:space="preserve"> the </w:t>
      </w:r>
      <w:r w:rsidR="00B905E1">
        <w:rPr>
          <w:i/>
          <w:iCs/>
        </w:rPr>
        <w:t xml:space="preserve">presumption </w:t>
      </w:r>
      <w:r w:rsidR="006B0E32" w:rsidRPr="00855BC2">
        <w:rPr>
          <w:i/>
          <w:iCs/>
        </w:rPr>
        <w:t xml:space="preserve">of </w:t>
      </w:r>
      <w:r w:rsidR="00B905E1">
        <w:rPr>
          <w:i/>
          <w:iCs/>
        </w:rPr>
        <w:tab/>
      </w:r>
      <w:r w:rsidR="00B905E1">
        <w:rPr>
          <w:i/>
          <w:iCs/>
        </w:rPr>
        <w:tab/>
      </w:r>
      <w:r w:rsidR="00B905E1">
        <w:rPr>
          <w:i/>
          <w:iCs/>
        </w:rPr>
        <w:tab/>
      </w:r>
      <w:r w:rsidR="007741C5">
        <w:rPr>
          <w:i/>
          <w:iCs/>
        </w:rPr>
        <w:tab/>
      </w:r>
      <w:r w:rsidR="006B0E32" w:rsidRPr="00855BC2">
        <w:rPr>
          <w:i/>
          <w:iCs/>
        </w:rPr>
        <w:t xml:space="preserve">innocence outweigh the individual right to liberty. </w:t>
      </w:r>
    </w:p>
    <w:p w:rsidR="00855BC2" w:rsidRPr="00855BC2" w:rsidRDefault="00855BC2" w:rsidP="00855BC2">
      <w:pPr>
        <w:pStyle w:val="JudgmentText"/>
        <w:numPr>
          <w:ilvl w:val="0"/>
          <w:numId w:val="0"/>
        </w:numPr>
        <w:spacing w:after="0"/>
        <w:ind w:left="720"/>
        <w:rPr>
          <w:i/>
          <w:iCs/>
        </w:rPr>
      </w:pPr>
    </w:p>
    <w:p w:rsidR="00855BC2" w:rsidRDefault="00855BC2" w:rsidP="00855BC2">
      <w:pPr>
        <w:pStyle w:val="JudgmentText"/>
        <w:numPr>
          <w:ilvl w:val="0"/>
          <w:numId w:val="0"/>
        </w:numPr>
      </w:pPr>
      <w:r>
        <w:tab/>
      </w:r>
      <w:r w:rsidR="006B0E32">
        <w:t xml:space="preserve">Further the </w:t>
      </w:r>
      <w:r>
        <w:t>Court of Appeal went on</w:t>
      </w:r>
      <w:r w:rsidR="00B905E1">
        <w:t xml:space="preserve"> to hold that</w:t>
      </w:r>
      <w:r>
        <w:t>;</w:t>
      </w:r>
    </w:p>
    <w:p w:rsidR="00855BC2" w:rsidRPr="006E4F7F" w:rsidRDefault="000E3BDD" w:rsidP="006E4F7F">
      <w:pPr>
        <w:pStyle w:val="JudgmentText"/>
        <w:numPr>
          <w:ilvl w:val="0"/>
          <w:numId w:val="0"/>
        </w:numPr>
        <w:ind w:left="1440"/>
        <w:rPr>
          <w:i/>
          <w:iCs/>
        </w:rPr>
      </w:pPr>
      <w:r w:rsidRPr="00855BC2">
        <w:rPr>
          <w:i/>
          <w:iCs/>
        </w:rPr>
        <w:t>“to</w:t>
      </w:r>
      <w:r w:rsidR="006B0E32" w:rsidRPr="00855BC2">
        <w:rPr>
          <w:i/>
          <w:iCs/>
        </w:rPr>
        <w:t xml:space="preserve"> support detention, the prosecution must demonstrate a prima facie case against the accused, then the Court should determine whether the Defendant may be released with or without condition for the purpose of ensuring that the Defendant appears on a subsequent trial date. The seriousness of the charge requires the consideration of the facts of each particular </w:t>
      </w:r>
      <w:r w:rsidR="00560AAD" w:rsidRPr="00855BC2">
        <w:rPr>
          <w:i/>
          <w:iCs/>
        </w:rPr>
        <w:tab/>
      </w:r>
      <w:r w:rsidR="006B0E32" w:rsidRPr="00855BC2">
        <w:rPr>
          <w:i/>
          <w:iCs/>
        </w:rPr>
        <w:t xml:space="preserve">and the evidence of </w:t>
      </w:r>
      <w:r w:rsidR="00855BC2" w:rsidRPr="00855BC2">
        <w:rPr>
          <w:i/>
          <w:iCs/>
        </w:rPr>
        <w:t>the prosecution gathered so far</w:t>
      </w:r>
      <w:r w:rsidR="006E4F7F">
        <w:rPr>
          <w:i/>
          <w:iCs/>
        </w:rPr>
        <w:t xml:space="preserve">. </w:t>
      </w:r>
      <w:r w:rsidR="006B0E32" w:rsidRPr="006E4F7F">
        <w:rPr>
          <w:i/>
        </w:rPr>
        <w:t xml:space="preserve">This is independent of consideration such as whether there may be interference with witnesses or there is </w:t>
      </w:r>
      <w:r w:rsidR="006E4F7F">
        <w:rPr>
          <w:i/>
        </w:rPr>
        <w:t>breach of bail conditions".</w:t>
      </w:r>
    </w:p>
    <w:p w:rsidR="00E05FFF" w:rsidRDefault="006B0E32" w:rsidP="00855BC2">
      <w:pPr>
        <w:pStyle w:val="JudgmentText"/>
        <w:numPr>
          <w:ilvl w:val="0"/>
          <w:numId w:val="0"/>
        </w:numPr>
        <w:spacing w:after="0"/>
        <w:ind w:left="720"/>
      </w:pPr>
      <w:r>
        <w:lastRenderedPageBreak/>
        <w:t xml:space="preserve">I also accept </w:t>
      </w:r>
      <w:r w:rsidR="00B905E1">
        <w:t>and it is confirmed</w:t>
      </w:r>
      <w:r>
        <w:t xml:space="preserve"> in the case of </w:t>
      </w:r>
      <w:r w:rsidRPr="00855BC2">
        <w:rPr>
          <w:b/>
          <w:bCs/>
          <w:u w:val="single"/>
        </w:rPr>
        <w:t>Kenneth Esparon &amp; ors Vs The Republic</w:t>
      </w:r>
      <w:r w:rsidR="00B905E1">
        <w:t xml:space="preserve">, </w:t>
      </w:r>
      <w:r w:rsidR="00490E6F">
        <w:t>every fourteen days</w:t>
      </w:r>
      <w:r>
        <w:t xml:space="preserve"> the prosecution has to move t</w:t>
      </w:r>
      <w:r w:rsidR="00855BC2">
        <w:t>he Court  a</w:t>
      </w:r>
      <w:r>
        <w:t xml:space="preserve">new </w:t>
      </w:r>
      <w:r w:rsidR="0074321D">
        <w:t>for further re</w:t>
      </w:r>
      <w:r w:rsidR="00490E6F">
        <w:t xml:space="preserve">mand of an accused person and that an accused cannot be remanded </w:t>
      </w:r>
      <w:r w:rsidR="0074321D">
        <w:t>until the full determination of</w:t>
      </w:r>
      <w:r w:rsidR="00855BC2">
        <w:t xml:space="preserve"> the case, it has to be renewed.</w:t>
      </w:r>
    </w:p>
    <w:p w:rsidR="00855BC2" w:rsidRPr="005F7303" w:rsidRDefault="00855BC2" w:rsidP="00855BC2">
      <w:pPr>
        <w:pStyle w:val="JudgmentText"/>
        <w:numPr>
          <w:ilvl w:val="0"/>
          <w:numId w:val="0"/>
        </w:numPr>
        <w:spacing w:after="0"/>
        <w:ind w:left="720"/>
      </w:pPr>
    </w:p>
    <w:p w:rsidR="00132634" w:rsidRPr="00E05FFF" w:rsidRDefault="003B4099" w:rsidP="003B4099">
      <w:pPr>
        <w:pStyle w:val="JudgmentText"/>
        <w:numPr>
          <w:ilvl w:val="0"/>
          <w:numId w:val="0"/>
        </w:numPr>
        <w:tabs>
          <w:tab w:val="left" w:pos="2127"/>
        </w:tabs>
        <w:ind w:left="720" w:hanging="720"/>
        <w:rPr>
          <w:b/>
        </w:rPr>
      </w:pPr>
      <w:r>
        <w:t>[11]</w:t>
      </w:r>
      <w:r>
        <w:tab/>
      </w:r>
      <w:r w:rsidR="0074321D">
        <w:t xml:space="preserve">Having </w:t>
      </w:r>
      <w:r w:rsidR="00427905">
        <w:t xml:space="preserve">so </w:t>
      </w:r>
      <w:r w:rsidR="0074321D">
        <w:t>considered, I am of the view that the offence charged against the 1</w:t>
      </w:r>
      <w:r w:rsidR="0074321D" w:rsidRPr="00E05FFF">
        <w:rPr>
          <w:vertAlign w:val="superscript"/>
        </w:rPr>
        <w:t>st</w:t>
      </w:r>
      <w:r w:rsidR="0074321D">
        <w:t xml:space="preserve"> to 7</w:t>
      </w:r>
      <w:r w:rsidR="0074321D" w:rsidRPr="00E05FFF">
        <w:rPr>
          <w:vertAlign w:val="superscript"/>
        </w:rPr>
        <w:t>th</w:t>
      </w:r>
      <w:r w:rsidR="0074321D">
        <w:t xml:space="preserve"> ac</w:t>
      </w:r>
      <w:r w:rsidR="00B33668">
        <w:t xml:space="preserve">cused are very serious for the following </w:t>
      </w:r>
      <w:r w:rsidR="0074321D">
        <w:t>reasons:</w:t>
      </w:r>
    </w:p>
    <w:p w:rsidR="0074321D" w:rsidRDefault="0074321D" w:rsidP="006946EC">
      <w:pPr>
        <w:pStyle w:val="JudgmentText"/>
        <w:numPr>
          <w:ilvl w:val="0"/>
          <w:numId w:val="10"/>
        </w:numPr>
      </w:pPr>
      <w:r>
        <w:t>In terms of their penalties</w:t>
      </w:r>
      <w:r w:rsidR="00C42B2E">
        <w:t>,</w:t>
      </w:r>
      <w:r>
        <w:t xml:space="preserve"> the 1</w:t>
      </w:r>
      <w:r w:rsidRPr="0074321D">
        <w:rPr>
          <w:vertAlign w:val="superscript"/>
        </w:rPr>
        <w:t>st</w:t>
      </w:r>
      <w:r>
        <w:t xml:space="preserve"> Count carries with it the minimum indicative penalty of fif</w:t>
      </w:r>
      <w:r w:rsidR="00855BC2">
        <w:t xml:space="preserve">teen years and maximum of life. </w:t>
      </w:r>
      <w:r>
        <w:t>2</w:t>
      </w:r>
      <w:r w:rsidRPr="0074321D">
        <w:rPr>
          <w:vertAlign w:val="superscript"/>
        </w:rPr>
        <w:t>nd</w:t>
      </w:r>
      <w:r>
        <w:t xml:space="preserve"> Count, maximum of life imprisonment indicative minimum penalty of fifty years. It is one of the most serious crime</w:t>
      </w:r>
      <w:r w:rsidR="00C42B2E">
        <w:t>s</w:t>
      </w:r>
      <w:r>
        <w:t xml:space="preserve"> under the Misuse of Drugs Act</w:t>
      </w:r>
      <w:r w:rsidR="00B0118A">
        <w:t xml:space="preserve"> and in our laws</w:t>
      </w:r>
      <w:r>
        <w:t>.</w:t>
      </w:r>
    </w:p>
    <w:p w:rsidR="0074321D" w:rsidRDefault="0074321D" w:rsidP="006946EC">
      <w:pPr>
        <w:pStyle w:val="JudgmentText"/>
        <w:numPr>
          <w:ilvl w:val="0"/>
          <w:numId w:val="10"/>
        </w:numPr>
      </w:pPr>
      <w:r>
        <w:t>The offence is very serious in term of the am</w:t>
      </w:r>
      <w:r w:rsidR="006946EC">
        <w:t xml:space="preserve">ount of drugs that the accused </w:t>
      </w:r>
      <w:r>
        <w:t>allegedly import into the country. Knowing the s</w:t>
      </w:r>
      <w:r w:rsidR="00B0118A">
        <w:t xml:space="preserve">courge that drug is </w:t>
      </w:r>
      <w:r w:rsidR="00427905">
        <w:t>causing and</w:t>
      </w:r>
      <w:r w:rsidR="006946EC">
        <w:t xml:space="preserve"> is </w:t>
      </w:r>
      <w:r w:rsidR="00427905">
        <w:t>having on</w:t>
      </w:r>
      <w:r>
        <w:t xml:space="preserve"> our youth of our small country, an extra amount of drug of </w:t>
      </w:r>
      <w:r w:rsidR="00855BC2">
        <w:t xml:space="preserve">Thirty Three Thousand Eight Hundred and Fifty Five and </w:t>
      </w:r>
      <w:r w:rsidR="00C42B2E">
        <w:t>Zero</w:t>
      </w:r>
      <w:r w:rsidR="00584CB2">
        <w:t xml:space="preserve"> </w:t>
      </w:r>
      <w:r w:rsidR="00855BC2">
        <w:t>Three grams (</w:t>
      </w:r>
      <w:r w:rsidR="006946EC">
        <w:t xml:space="preserve">33,855.03 </w:t>
      </w:r>
      <w:r w:rsidR="00855BC2">
        <w:t xml:space="preserve">grams) </w:t>
      </w:r>
      <w:r>
        <w:t xml:space="preserve">of cannabis resin would have a significant impact on the </w:t>
      </w:r>
      <w:r w:rsidR="006946EC">
        <w:t xml:space="preserve">continuance and </w:t>
      </w:r>
      <w:r>
        <w:t xml:space="preserve">maintenance of </w:t>
      </w:r>
      <w:r w:rsidR="00427905">
        <w:t>our</w:t>
      </w:r>
      <w:r w:rsidR="00B0118A">
        <w:t xml:space="preserve"> drug </w:t>
      </w:r>
      <w:r w:rsidR="00427905">
        <w:t>dependency problem</w:t>
      </w:r>
      <w:r>
        <w:t xml:space="preserve"> in this </w:t>
      </w:r>
      <w:r w:rsidR="006946EC">
        <w:t xml:space="preserve">country and its consequent </w:t>
      </w:r>
      <w:r w:rsidR="00B0118A">
        <w:t>evil on our</w:t>
      </w:r>
      <w:r>
        <w:t xml:space="preserve"> society.</w:t>
      </w:r>
    </w:p>
    <w:p w:rsidR="00846DEF" w:rsidRDefault="0074321D" w:rsidP="00D8525B">
      <w:pPr>
        <w:pStyle w:val="JudgmentText"/>
        <w:numPr>
          <w:ilvl w:val="0"/>
          <w:numId w:val="10"/>
        </w:numPr>
      </w:pPr>
      <w:r>
        <w:t>The offence is also v</w:t>
      </w:r>
      <w:r w:rsidR="00B0118A">
        <w:t>ery serious, in</w:t>
      </w:r>
      <w:r>
        <w:t xml:space="preserve"> the sophis</w:t>
      </w:r>
      <w:r w:rsidR="00B0118A">
        <w:t>tication and complexity of</w:t>
      </w:r>
      <w:r w:rsidR="006946EC">
        <w:t xml:space="preserve"> the </w:t>
      </w:r>
      <w:r w:rsidRPr="00D8525B">
        <w:rPr>
          <w:i/>
          <w:iCs/>
        </w:rPr>
        <w:t xml:space="preserve">modus </w:t>
      </w:r>
      <w:r w:rsidR="00FA6A8E" w:rsidRPr="00D8525B">
        <w:rPr>
          <w:i/>
          <w:iCs/>
        </w:rPr>
        <w:t>operandi</w:t>
      </w:r>
      <w:r w:rsidR="00FA6A8E">
        <w:t xml:space="preserve"> of</w:t>
      </w:r>
      <w:r w:rsidR="00584CB2">
        <w:t xml:space="preserve"> </w:t>
      </w:r>
      <w:r w:rsidR="00D8525B" w:rsidRPr="00846DEF">
        <w:t>th</w:t>
      </w:r>
      <w:r w:rsidR="00FA6A8E" w:rsidRPr="00846DEF">
        <w:t>ese</w:t>
      </w:r>
      <w:r w:rsidR="00584CB2">
        <w:t xml:space="preserve"> </w:t>
      </w:r>
      <w:r w:rsidR="00FA6A8E">
        <w:t>offences</w:t>
      </w:r>
      <w:r w:rsidR="00D8525B">
        <w:t>. It</w:t>
      </w:r>
      <w:r>
        <w:t xml:space="preserve"> is evidence adduce</w:t>
      </w:r>
      <w:r w:rsidR="006946EC">
        <w:t xml:space="preserve">d before the Court so far that </w:t>
      </w:r>
      <w:r>
        <w:t>the 1</w:t>
      </w:r>
      <w:r w:rsidRPr="0074321D">
        <w:rPr>
          <w:vertAlign w:val="superscript"/>
        </w:rPr>
        <w:t>st</w:t>
      </w:r>
      <w:r>
        <w:t xml:space="preserve"> and 2</w:t>
      </w:r>
      <w:r w:rsidRPr="0074321D">
        <w:rPr>
          <w:vertAlign w:val="superscript"/>
        </w:rPr>
        <w:t>nd</w:t>
      </w:r>
      <w:r>
        <w:t xml:space="preserve"> accused </w:t>
      </w:r>
      <w:r w:rsidR="00846DEF">
        <w:t>flew</w:t>
      </w:r>
      <w:r>
        <w:t xml:space="preserve"> from Seychelles to</w:t>
      </w:r>
      <w:r w:rsidR="006946EC">
        <w:t xml:space="preserve"> a foreign country, there they </w:t>
      </w:r>
      <w:r>
        <w:t>purchased drugs which is the subject matter of t</w:t>
      </w:r>
      <w:r w:rsidR="006946EC">
        <w:t xml:space="preserve">he charge in this case. It was </w:t>
      </w:r>
      <w:r>
        <w:t>thereafter conveyed to Seychelles through an internation</w:t>
      </w:r>
      <w:r w:rsidR="00B0118A">
        <w:t>al maritime route</w:t>
      </w:r>
      <w:r w:rsidR="008E7943">
        <w:t xml:space="preserve"> and in so doing they </w:t>
      </w:r>
      <w:r w:rsidR="006946EC">
        <w:t xml:space="preserve">managed to breach </w:t>
      </w:r>
      <w:r>
        <w:t xml:space="preserve">the maritime safety </w:t>
      </w:r>
      <w:r w:rsidR="006946EC">
        <w:t xml:space="preserve">administration, the custom and </w:t>
      </w:r>
      <w:r>
        <w:t xml:space="preserve">immigration system of two sovereign </w:t>
      </w:r>
      <w:r w:rsidR="00D8525B">
        <w:t>state</w:t>
      </w:r>
      <w:r w:rsidR="00B0118A">
        <w:t>s,</w:t>
      </w:r>
      <w:r w:rsidR="00584CB2">
        <w:t xml:space="preserve"> </w:t>
      </w:r>
      <w:r w:rsidR="00B0118A">
        <w:t>which are</w:t>
      </w:r>
      <w:r>
        <w:t xml:space="preserve"> Seychelles and Tanzania. Th</w:t>
      </w:r>
      <w:r w:rsidR="006946EC">
        <w:t xml:space="preserve">e drug </w:t>
      </w:r>
      <w:r>
        <w:t>finally came from the high seas into Seychelles water</w:t>
      </w:r>
      <w:r w:rsidR="006946EC">
        <w:t xml:space="preserve">s where it was conveyed into a </w:t>
      </w:r>
      <w:r>
        <w:t>second vessel</w:t>
      </w:r>
      <w:r w:rsidR="008E7943">
        <w:t xml:space="preserve"> near an outlying island</w:t>
      </w:r>
      <w:r>
        <w:t xml:space="preserve"> and from there to Mahe, from Mahe it came ashore on a third vessel.</w:t>
      </w:r>
      <w:r w:rsidR="00E34C30">
        <w:t xml:space="preserve"> The amount of planning, the amount of pr</w:t>
      </w:r>
      <w:r w:rsidR="003B4099">
        <w:t xml:space="preserve">eparation, the methodology and </w:t>
      </w:r>
      <w:r w:rsidR="00E34C30">
        <w:t xml:space="preserve">the sophistication of that </w:t>
      </w:r>
      <w:r w:rsidR="00E34C30">
        <w:lastRenderedPageBreak/>
        <w:t xml:space="preserve">methodology show a high </w:t>
      </w:r>
      <w:r w:rsidR="006946EC">
        <w:t xml:space="preserve">level of organisational skill, </w:t>
      </w:r>
      <w:r w:rsidR="00E34C30">
        <w:t>plan and resources</w:t>
      </w:r>
      <w:r w:rsidR="00846DEF">
        <w:t>.</w:t>
      </w:r>
      <w:r w:rsidR="00584CB2">
        <w:t xml:space="preserve"> </w:t>
      </w:r>
      <w:r w:rsidR="00846DEF">
        <w:t>T</w:t>
      </w:r>
      <w:r w:rsidR="00E34C30">
        <w:t xml:space="preserve">his </w:t>
      </w:r>
      <w:r w:rsidR="00846DEF">
        <w:t xml:space="preserve">makes it </w:t>
      </w:r>
      <w:r w:rsidR="00E34C30">
        <w:t xml:space="preserve">extremely serious. </w:t>
      </w:r>
    </w:p>
    <w:p w:rsidR="00846DEF" w:rsidRDefault="00E34C30" w:rsidP="00D8525B">
      <w:pPr>
        <w:pStyle w:val="JudgmentText"/>
        <w:numPr>
          <w:ilvl w:val="0"/>
          <w:numId w:val="10"/>
        </w:numPr>
      </w:pPr>
      <w:r>
        <w:t>This offen</w:t>
      </w:r>
      <w:r w:rsidR="003B4099">
        <w:t xml:space="preserve">ce is serious given the </w:t>
      </w:r>
      <w:r>
        <w:t xml:space="preserve">amount of individual involved in its commission </w:t>
      </w:r>
      <w:r w:rsidR="006946EC">
        <w:t xml:space="preserve">and their common intention and </w:t>
      </w:r>
      <w:r w:rsidR="00846DEF">
        <w:t>t</w:t>
      </w:r>
      <w:r>
        <w:t>he high level of synchronisation of their efforts and</w:t>
      </w:r>
      <w:r w:rsidR="00846DEF">
        <w:t xml:space="preserve"> skill</w:t>
      </w:r>
      <w:r w:rsidR="008E7943">
        <w:t>s</w:t>
      </w:r>
      <w:r w:rsidR="00846DEF">
        <w:t xml:space="preserve"> in order to ensure that </w:t>
      </w:r>
      <w:r>
        <w:t xml:space="preserve">the objective is met. </w:t>
      </w:r>
    </w:p>
    <w:p w:rsidR="00D8525B" w:rsidRDefault="00E34C30" w:rsidP="00D8525B">
      <w:pPr>
        <w:pStyle w:val="JudgmentText"/>
        <w:numPr>
          <w:ilvl w:val="0"/>
          <w:numId w:val="10"/>
        </w:numPr>
      </w:pPr>
      <w:r>
        <w:t>The offence is serious given the amount of drugs as I</w:t>
      </w:r>
      <w:r w:rsidR="006946EC">
        <w:t xml:space="preserve"> have </w:t>
      </w:r>
      <w:r>
        <w:t xml:space="preserve">said imported which amounted to </w:t>
      </w:r>
      <w:r w:rsidR="00D8525B">
        <w:t xml:space="preserve">Thirty Three Thousand Eight Hundred and Fifty Three and </w:t>
      </w:r>
      <w:r w:rsidR="008E7943">
        <w:t xml:space="preserve">Zero </w:t>
      </w:r>
      <w:r w:rsidR="00D8525B">
        <w:t>Three grams (</w:t>
      </w:r>
      <w:r>
        <w:t>33,853.03 grams</w:t>
      </w:r>
      <w:r w:rsidR="00D8525B">
        <w:t>)</w:t>
      </w:r>
      <w:r>
        <w:t xml:space="preserve"> of cannabis resin. </w:t>
      </w:r>
    </w:p>
    <w:p w:rsidR="00D8525B" w:rsidRDefault="00E34C30" w:rsidP="00192984">
      <w:pPr>
        <w:pStyle w:val="JudgmentText"/>
        <w:numPr>
          <w:ilvl w:val="0"/>
          <w:numId w:val="10"/>
        </w:numPr>
      </w:pPr>
      <w:r>
        <w:t>It is also the view of this Court that there is substantial grounds to believe that the respondent</w:t>
      </w:r>
      <w:r w:rsidR="008E7943">
        <w:t>s</w:t>
      </w:r>
      <w:r>
        <w:t xml:space="preserve"> will likely obstruct the due course of justice in this case by absconding and failing to appear for trial</w:t>
      </w:r>
      <w:r w:rsidR="0098640E">
        <w:t>,</w:t>
      </w:r>
      <w:r>
        <w:t xml:space="preserve"> if released on bail. The level of resources, energy, effort put into </w:t>
      </w:r>
      <w:r w:rsidR="003B4099">
        <w:tab/>
      </w:r>
      <w:r>
        <w:t>place by the accused in the alleged commission of this offence shows a propensity on their part to show t</w:t>
      </w:r>
      <w:r w:rsidR="006946EC">
        <w:t xml:space="preserve">he same level of determination </w:t>
      </w:r>
      <w:r>
        <w:t>and efforts in order to flee the due course of justice, especially knowing the conse</w:t>
      </w:r>
      <w:r w:rsidR="00B0118A">
        <w:t>quences of a conviction and the</w:t>
      </w:r>
      <w:r>
        <w:t xml:space="preserve"> potential high penalties involved. The audacity of the accused is reflected in the way that they formed th</w:t>
      </w:r>
      <w:r w:rsidR="0098640E">
        <w:t>eir</w:t>
      </w:r>
      <w:r>
        <w:t xml:space="preserve"> common intention and put tha</w:t>
      </w:r>
      <w:r w:rsidR="00192984">
        <w:t>t common intention into place</w:t>
      </w:r>
      <w:r w:rsidR="008E7943">
        <w:t>,</w:t>
      </w:r>
      <w:r w:rsidR="00192984">
        <w:t xml:space="preserve"> through</w:t>
      </w:r>
      <w:r w:rsidR="00584CB2">
        <w:t xml:space="preserve"> </w:t>
      </w:r>
      <w:r w:rsidR="00192984">
        <w:t>their unison of</w:t>
      </w:r>
      <w:r>
        <w:t xml:space="preserve"> effort and a consistency </w:t>
      </w:r>
      <w:r w:rsidR="00D8525B">
        <w:t>of approach.  N</w:t>
      </w:r>
      <w:r w:rsidR="00866D8B">
        <w:t xml:space="preserve">o efforts were spared in ensuring that </w:t>
      </w:r>
      <w:r w:rsidR="00666F1C">
        <w:t>their objective</w:t>
      </w:r>
      <w:r w:rsidR="00192984">
        <w:t>s</w:t>
      </w:r>
      <w:r w:rsidR="00584CB2">
        <w:t xml:space="preserve"> </w:t>
      </w:r>
      <w:r w:rsidR="00192984">
        <w:t>were</w:t>
      </w:r>
      <w:r w:rsidR="00866D8B">
        <w:t xml:space="preserve"> met. This lead me to conclude that there exist subst</w:t>
      </w:r>
      <w:r w:rsidR="006946EC">
        <w:t xml:space="preserve">antial grounds also to believe </w:t>
      </w:r>
      <w:r w:rsidR="00866D8B">
        <w:t>that the 1</w:t>
      </w:r>
      <w:r w:rsidR="00866D8B" w:rsidRPr="00192984">
        <w:rPr>
          <w:vertAlign w:val="superscript"/>
        </w:rPr>
        <w:t>st</w:t>
      </w:r>
      <w:r w:rsidR="00866D8B">
        <w:t xml:space="preserve"> to </w:t>
      </w:r>
      <w:r w:rsidR="003B4099">
        <w:tab/>
      </w:r>
      <w:r w:rsidR="00866D8B">
        <w:t>7</w:t>
      </w:r>
      <w:r w:rsidR="00866D8B" w:rsidRPr="00192984">
        <w:rPr>
          <w:vertAlign w:val="superscript"/>
        </w:rPr>
        <w:t>th</w:t>
      </w:r>
      <w:r w:rsidR="00866D8B">
        <w:t xml:space="preserve"> Respondent would likely int</w:t>
      </w:r>
      <w:r w:rsidR="006946EC">
        <w:t xml:space="preserve">erfere with potential civilian </w:t>
      </w:r>
      <w:r w:rsidR="00866D8B">
        <w:t xml:space="preserve">witnesses who are known </w:t>
      </w:r>
      <w:r w:rsidR="00192984">
        <w:t>to the accused and know</w:t>
      </w:r>
      <w:r w:rsidR="0098640E">
        <w:t>ing</w:t>
      </w:r>
      <w:r w:rsidR="00192984">
        <w:t xml:space="preserve"> of the </w:t>
      </w:r>
      <w:r w:rsidR="00866D8B">
        <w:t xml:space="preserve">consequences </w:t>
      </w:r>
      <w:r w:rsidR="0098640E">
        <w:t>for</w:t>
      </w:r>
      <w:r w:rsidR="00584CB2">
        <w:t xml:space="preserve"> </w:t>
      </w:r>
      <w:r w:rsidR="00866D8B">
        <w:t>th</w:t>
      </w:r>
      <w:r w:rsidR="0098640E">
        <w:t>eir</w:t>
      </w:r>
      <w:r w:rsidR="00866D8B">
        <w:t xml:space="preserve"> offence</w:t>
      </w:r>
      <w:r w:rsidR="0098640E">
        <w:t>s</w:t>
      </w:r>
      <w:r w:rsidR="00866D8B">
        <w:t xml:space="preserve"> and the conviction</w:t>
      </w:r>
      <w:r w:rsidR="0098640E">
        <w:t>.  This couple</w:t>
      </w:r>
      <w:r w:rsidR="00866D8B">
        <w:t xml:space="preserve"> with the availability </w:t>
      </w:r>
      <w:r w:rsidR="006946EC">
        <w:t>of resources, human</w:t>
      </w:r>
      <w:r w:rsidR="0098640E">
        <w:t xml:space="preserve"> and</w:t>
      </w:r>
      <w:r w:rsidR="006946EC">
        <w:t xml:space="preserve"> financial </w:t>
      </w:r>
      <w:r w:rsidR="00866D8B">
        <w:t>of the accused, especially the 1</w:t>
      </w:r>
      <w:r w:rsidR="00866D8B" w:rsidRPr="00192984">
        <w:rPr>
          <w:vertAlign w:val="superscript"/>
        </w:rPr>
        <w:t>st</w:t>
      </w:r>
      <w:r w:rsidR="00866D8B">
        <w:t xml:space="preserve"> and the 2</w:t>
      </w:r>
      <w:r w:rsidR="00866D8B" w:rsidRPr="00192984">
        <w:rPr>
          <w:vertAlign w:val="superscript"/>
        </w:rPr>
        <w:t>nd</w:t>
      </w:r>
      <w:r w:rsidR="00192984">
        <w:t xml:space="preserve"> accused </w:t>
      </w:r>
      <w:r w:rsidR="00866D8B">
        <w:t>c</w:t>
      </w:r>
      <w:r w:rsidR="006946EC">
        <w:t xml:space="preserve">ould place a potential risk to </w:t>
      </w:r>
      <w:r w:rsidR="00866D8B">
        <w:t>the witnesses of the Republic and their evidence and thereby taint, interfere an</w:t>
      </w:r>
      <w:r w:rsidR="006946EC">
        <w:t xml:space="preserve">d </w:t>
      </w:r>
      <w:r w:rsidR="00866D8B">
        <w:t xml:space="preserve">affect the due course of justice. </w:t>
      </w:r>
    </w:p>
    <w:p w:rsidR="003B4099" w:rsidRDefault="00192984" w:rsidP="004E5C36">
      <w:pPr>
        <w:pStyle w:val="JudgmentText"/>
        <w:numPr>
          <w:ilvl w:val="0"/>
          <w:numId w:val="0"/>
        </w:numPr>
        <w:ind w:left="720" w:hanging="720"/>
      </w:pPr>
      <w:r>
        <w:t>[12</w:t>
      </w:r>
      <w:r w:rsidR="003B4099">
        <w:t>]</w:t>
      </w:r>
      <w:r w:rsidR="003B4099">
        <w:tab/>
      </w:r>
      <w:r w:rsidR="00866D8B">
        <w:t>Accordingly</w:t>
      </w:r>
      <w:r>
        <w:t>,</w:t>
      </w:r>
      <w:r w:rsidR="00866D8B">
        <w:t xml:space="preserve"> I will remand the 1</w:t>
      </w:r>
      <w:r w:rsidR="00866D8B" w:rsidRPr="00866D8B">
        <w:rPr>
          <w:vertAlign w:val="superscript"/>
        </w:rPr>
        <w:t>st</w:t>
      </w:r>
      <w:r w:rsidR="00866D8B">
        <w:t xml:space="preserve"> to 7</w:t>
      </w:r>
      <w:r w:rsidR="00866D8B" w:rsidRPr="00866D8B">
        <w:rPr>
          <w:vertAlign w:val="superscript"/>
        </w:rPr>
        <w:t>th</w:t>
      </w:r>
      <w:r w:rsidR="00866D8B">
        <w:t xml:space="preserve"> accused in custody</w:t>
      </w:r>
      <w:r w:rsidR="004E5C36">
        <w:t>.  T</w:t>
      </w:r>
      <w:r w:rsidR="00866D8B">
        <w:t>he 3</w:t>
      </w:r>
      <w:r w:rsidR="00866D8B" w:rsidRPr="00866D8B">
        <w:rPr>
          <w:vertAlign w:val="superscript"/>
        </w:rPr>
        <w:t>rd</w:t>
      </w:r>
      <w:r w:rsidR="00866D8B">
        <w:t xml:space="preserve"> accused will remain at the hospital, if he is discharged, </w:t>
      </w:r>
      <w:r w:rsidR="008E7943">
        <w:t>the</w:t>
      </w:r>
      <w:r w:rsidR="00866D8B">
        <w:t xml:space="preserve"> hospital authority is directed to </w:t>
      </w:r>
      <w:r w:rsidR="006946EC">
        <w:t xml:space="preserve">inform </w:t>
      </w:r>
      <w:r w:rsidR="00866D8B">
        <w:t>this Court of his release. I will remand the accused</w:t>
      </w:r>
      <w:r w:rsidR="004E5C36">
        <w:t xml:space="preserve"> and </w:t>
      </w:r>
      <w:r w:rsidR="00866D8B">
        <w:t xml:space="preserve">they will re-appear before this Court on the </w:t>
      </w:r>
      <w:r w:rsidR="00866D8B">
        <w:lastRenderedPageBreak/>
        <w:t>4</w:t>
      </w:r>
      <w:r w:rsidR="00866D8B" w:rsidRPr="00866D8B">
        <w:rPr>
          <w:vertAlign w:val="superscript"/>
        </w:rPr>
        <w:t>th</w:t>
      </w:r>
      <w:r w:rsidR="00D8525B">
        <w:t xml:space="preserve"> October 2017 at 1.45pm. The 8</w:t>
      </w:r>
      <w:r w:rsidR="00D8525B" w:rsidRPr="00D8525B">
        <w:rPr>
          <w:vertAlign w:val="superscript"/>
        </w:rPr>
        <w:t>th</w:t>
      </w:r>
      <w:r w:rsidR="00866D8B">
        <w:t xml:space="preserve"> Respondent's conditions of ba</w:t>
      </w:r>
      <w:r w:rsidR="006946EC">
        <w:t xml:space="preserve">il shall remain the same and </w:t>
      </w:r>
      <w:r w:rsidR="007D2AB0">
        <w:t xml:space="preserve">she </w:t>
      </w:r>
      <w:r w:rsidR="00866D8B">
        <w:t>should appear also on this date and time.</w:t>
      </w:r>
    </w:p>
    <w:p w:rsidR="00132634" w:rsidRDefault="00192984" w:rsidP="003B4099">
      <w:pPr>
        <w:pStyle w:val="JudgmentText"/>
        <w:numPr>
          <w:ilvl w:val="0"/>
          <w:numId w:val="0"/>
        </w:numPr>
      </w:pPr>
      <w:r>
        <w:t>[13</w:t>
      </w:r>
      <w:r w:rsidR="003B4099">
        <w:t>]</w:t>
      </w:r>
      <w:r w:rsidR="003B4099">
        <w:tab/>
      </w:r>
      <w:r w:rsidR="00866D8B">
        <w:t xml:space="preserve">For avoidance of doubts, my opinion on the facts of this case has nothing to do with the </w:t>
      </w:r>
      <w:r w:rsidR="003B4099">
        <w:tab/>
      </w:r>
      <w:r w:rsidR="008A5905">
        <w:t>finding</w:t>
      </w:r>
      <w:r w:rsidR="00866D8B">
        <w:t xml:space="preserve"> of guilt, it is based on the </w:t>
      </w:r>
      <w:r w:rsidR="00866D8B" w:rsidRPr="00D8525B">
        <w:rPr>
          <w:i/>
          <w:iCs/>
        </w:rPr>
        <w:t>prima facie</w:t>
      </w:r>
      <w:r w:rsidR="00866D8B">
        <w:t xml:space="preserve"> case that I find that the prosecution has so </w:t>
      </w:r>
      <w:r w:rsidR="003B4099">
        <w:tab/>
      </w:r>
      <w:r w:rsidR="00866D8B">
        <w:t>far established through its affidavit.</w:t>
      </w:r>
      <w:r w:rsidR="008A5905">
        <w:t xml:space="preserve"> The accused to my mind are still innocent until </w:t>
      </w:r>
      <w:r w:rsidR="003B4099">
        <w:tab/>
      </w:r>
      <w:r w:rsidR="008A5905">
        <w:t xml:space="preserve">proven guilty and any findings of guilt will depend on the evidence to be adduced by the </w:t>
      </w:r>
      <w:r w:rsidR="003B4099">
        <w:tab/>
      </w:r>
      <w:r w:rsidR="008A5905">
        <w:t>prosecution in a full trial.</w:t>
      </w:r>
    </w:p>
    <w:p w:rsidR="007741C5" w:rsidRPr="00132634" w:rsidRDefault="007741C5" w:rsidP="00194F2C">
      <w:pPr>
        <w:pStyle w:val="JudgmentText"/>
        <w:numPr>
          <w:ilvl w:val="0"/>
          <w:numId w:val="0"/>
        </w:numPr>
        <w:sectPr w:rsidR="007741C5" w:rsidRPr="00132634"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8A5905">
        <w:rPr>
          <w:sz w:val="24"/>
          <w:szCs w:val="24"/>
        </w:rPr>
        <w:t>the 22</w:t>
      </w:r>
      <w:r w:rsidR="008A5905" w:rsidRPr="008A5905">
        <w:rPr>
          <w:sz w:val="24"/>
          <w:szCs w:val="24"/>
          <w:vertAlign w:val="superscript"/>
        </w:rPr>
        <w:t>nd</w:t>
      </w:r>
      <w:r w:rsidR="008A5905">
        <w:rPr>
          <w:sz w:val="24"/>
          <w:szCs w:val="24"/>
        </w:rPr>
        <w:t xml:space="preserve"> September</w:t>
      </w:r>
      <w:r w:rsidR="00132634">
        <w:rPr>
          <w:sz w:val="24"/>
          <w:szCs w:val="24"/>
        </w:rPr>
        <w:t xml:space="preserve"> 2017</w:t>
      </w:r>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pPr>
    </w:p>
    <w:p w:rsidR="008A5905" w:rsidRDefault="008A5905" w:rsidP="0006489F">
      <w:pPr>
        <w:pStyle w:val="ListParagraph"/>
        <w:widowControl/>
        <w:autoSpaceDE/>
        <w:autoSpaceDN/>
        <w:adjustRightInd/>
        <w:spacing w:after="120"/>
        <w:ind w:left="0"/>
        <w:contextualSpacing w:val="0"/>
        <w:jc w:val="both"/>
        <w:rPr>
          <w:sz w:val="24"/>
          <w:szCs w:val="24"/>
        </w:rPr>
        <w:sectPr w:rsidR="008A5905"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132634" w:rsidP="0006489F">
      <w:pPr>
        <w:pStyle w:val="ListParagraph"/>
        <w:widowControl/>
        <w:autoSpaceDE/>
        <w:autoSpaceDN/>
        <w:adjustRightInd/>
        <w:ind w:left="0"/>
        <w:contextualSpacing w:val="0"/>
        <w:jc w:val="both"/>
        <w:rPr>
          <w:sz w:val="24"/>
          <w:szCs w:val="24"/>
        </w:rPr>
      </w:pPr>
      <w:r>
        <w:rPr>
          <w:sz w:val="24"/>
          <w:szCs w:val="24"/>
        </w:rPr>
        <w:t>R. Govinden</w:t>
      </w:r>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DC0F29" w:rsidRPr="00E33F35">
        <w:rPr>
          <w:b/>
          <w:sz w:val="24"/>
          <w:szCs w:val="24"/>
        </w:rPr>
        <w:fldChar w:fldCharType="begin"/>
      </w:r>
      <w:r w:rsidR="00DC0F29"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CB2" w:rsidRDefault="00584CB2" w:rsidP="00DB6D34">
      <w:r>
        <w:separator/>
      </w:r>
    </w:p>
  </w:endnote>
  <w:endnote w:type="continuationSeparator" w:id="1">
    <w:p w:rsidR="00584CB2" w:rsidRDefault="00584CB2"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CB2" w:rsidRDefault="00584CB2">
    <w:pPr>
      <w:pStyle w:val="Footer"/>
      <w:jc w:val="center"/>
    </w:pPr>
    <w:fldSimple w:instr=" PAGE   \* MERGEFORMAT ">
      <w:r w:rsidR="004D498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CB2" w:rsidRDefault="00584CB2" w:rsidP="00DB6D34">
      <w:r>
        <w:separator/>
      </w:r>
    </w:p>
  </w:footnote>
  <w:footnote w:type="continuationSeparator" w:id="1">
    <w:p w:rsidR="00584CB2" w:rsidRDefault="00584CB2"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788178F"/>
    <w:multiLevelType w:val="hybridMultilevel"/>
    <w:tmpl w:val="91DAED8A"/>
    <w:lvl w:ilvl="0" w:tplc="6C52E7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A2AC3"/>
    <w:multiLevelType w:val="hybridMultilevel"/>
    <w:tmpl w:val="8604C366"/>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19B1C16"/>
    <w:multiLevelType w:val="hybridMultilevel"/>
    <w:tmpl w:val="6CCEAD12"/>
    <w:lvl w:ilvl="0" w:tplc="ADB47F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4001DC"/>
    <w:multiLevelType w:val="hybridMultilevel"/>
    <w:tmpl w:val="7AAEE6AE"/>
    <w:lvl w:ilvl="0" w:tplc="778CC23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36855B65"/>
    <w:multiLevelType w:val="hybridMultilevel"/>
    <w:tmpl w:val="42B2107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12C56"/>
    <w:multiLevelType w:val="hybridMultilevel"/>
    <w:tmpl w:val="459A85BA"/>
    <w:lvl w:ilvl="0" w:tplc="0409001B">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5E74820"/>
    <w:multiLevelType w:val="multilevel"/>
    <w:tmpl w:val="1CC89892"/>
    <w:numStyleLink w:val="Judgments"/>
  </w:abstractNum>
  <w:abstractNum w:abstractNumId="11">
    <w:nsid w:val="592066BD"/>
    <w:multiLevelType w:val="hybridMultilevel"/>
    <w:tmpl w:val="BDE238AE"/>
    <w:lvl w:ilvl="0" w:tplc="0E30A9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466541"/>
    <w:multiLevelType w:val="hybridMultilevel"/>
    <w:tmpl w:val="67EA164E"/>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6"/>
  </w:num>
  <w:num w:numId="5">
    <w:abstractNumId w:val="10"/>
  </w:num>
  <w:num w:numId="6">
    <w:abstractNumId w:val="5"/>
    <w:lvlOverride w:ilvl="0">
      <w:lvl w:ilvl="0">
        <w:start w:val="1"/>
        <w:numFmt w:val="decimal"/>
        <w:pStyle w:val="JudgmentText"/>
        <w:lvlText w:val="[%1]"/>
        <w:lvlJc w:val="left"/>
        <w:pPr>
          <w:ind w:left="1571" w:hanging="720"/>
        </w:pPr>
        <w:rPr>
          <w:rFonts w:ascii="Times New Roman" w:hAnsi="Times New Roman" w:hint="default"/>
          <w:b w:val="0"/>
          <w:sz w:val="24"/>
        </w:rPr>
      </w:lvl>
    </w:lvlOverride>
  </w:num>
  <w:num w:numId="7">
    <w:abstractNumId w:val="1"/>
  </w:num>
  <w:num w:numId="8">
    <w:abstractNumId w:val="3"/>
  </w:num>
  <w:num w:numId="9">
    <w:abstractNumId w:val="11"/>
  </w:num>
  <w:num w:numId="10">
    <w:abstractNumId w:val="2"/>
  </w:num>
  <w:num w:numId="11">
    <w:abstractNumId w:val="12"/>
  </w:num>
  <w:num w:numId="12">
    <w:abstractNumId w:val="4"/>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attachedTemplate r:id="rId1"/>
  <w:documentProtection w:edit="forms" w:enforcement="0"/>
  <w:defaultTabStop w:val="720"/>
  <w:doNotShadeFormData/>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bAwMDWxNDYzszQwMTZR0lEKTi0uzszPAykwrgUAYsT8CiwAAAA="/>
  </w:docVars>
  <w:rsids>
    <w:rsidRoot w:val="00132634"/>
    <w:rsid w:val="00005BEF"/>
    <w:rsid w:val="00022B5B"/>
    <w:rsid w:val="00030C81"/>
    <w:rsid w:val="00036B28"/>
    <w:rsid w:val="0004275C"/>
    <w:rsid w:val="0006489F"/>
    <w:rsid w:val="00070A36"/>
    <w:rsid w:val="00075573"/>
    <w:rsid w:val="000827FA"/>
    <w:rsid w:val="00085E57"/>
    <w:rsid w:val="00091036"/>
    <w:rsid w:val="000A10B8"/>
    <w:rsid w:val="000B0E14"/>
    <w:rsid w:val="000C3021"/>
    <w:rsid w:val="000D1DD3"/>
    <w:rsid w:val="000E39A5"/>
    <w:rsid w:val="000E3BDD"/>
    <w:rsid w:val="000E7400"/>
    <w:rsid w:val="000F7213"/>
    <w:rsid w:val="001008BC"/>
    <w:rsid w:val="00101D12"/>
    <w:rsid w:val="00117CBF"/>
    <w:rsid w:val="00126A10"/>
    <w:rsid w:val="00131410"/>
    <w:rsid w:val="00132634"/>
    <w:rsid w:val="001376AB"/>
    <w:rsid w:val="0014251A"/>
    <w:rsid w:val="00144612"/>
    <w:rsid w:val="0014744C"/>
    <w:rsid w:val="001529B0"/>
    <w:rsid w:val="00154446"/>
    <w:rsid w:val="00162999"/>
    <w:rsid w:val="0016510C"/>
    <w:rsid w:val="00180158"/>
    <w:rsid w:val="00192984"/>
    <w:rsid w:val="00194F2C"/>
    <w:rsid w:val="001976A3"/>
    <w:rsid w:val="001A0437"/>
    <w:rsid w:val="001D30F7"/>
    <w:rsid w:val="001E4ED8"/>
    <w:rsid w:val="0020244B"/>
    <w:rsid w:val="00224166"/>
    <w:rsid w:val="00231C17"/>
    <w:rsid w:val="00236AAC"/>
    <w:rsid w:val="0024353F"/>
    <w:rsid w:val="00276E5E"/>
    <w:rsid w:val="00290E14"/>
    <w:rsid w:val="002942A1"/>
    <w:rsid w:val="00296DB1"/>
    <w:rsid w:val="002A7376"/>
    <w:rsid w:val="002A7C41"/>
    <w:rsid w:val="002B2255"/>
    <w:rsid w:val="002B4478"/>
    <w:rsid w:val="002C1A20"/>
    <w:rsid w:val="002C7560"/>
    <w:rsid w:val="002C7B8C"/>
    <w:rsid w:val="002D06AA"/>
    <w:rsid w:val="002D67FC"/>
    <w:rsid w:val="002E61AC"/>
    <w:rsid w:val="002E6963"/>
    <w:rsid w:val="002F40A1"/>
    <w:rsid w:val="002F436E"/>
    <w:rsid w:val="00301D88"/>
    <w:rsid w:val="00304E76"/>
    <w:rsid w:val="003366F4"/>
    <w:rsid w:val="00342A3E"/>
    <w:rsid w:val="00362044"/>
    <w:rsid w:val="003647E7"/>
    <w:rsid w:val="003668FF"/>
    <w:rsid w:val="0037270D"/>
    <w:rsid w:val="00377341"/>
    <w:rsid w:val="003838CC"/>
    <w:rsid w:val="00384A50"/>
    <w:rsid w:val="003862CB"/>
    <w:rsid w:val="0038700C"/>
    <w:rsid w:val="00387DF8"/>
    <w:rsid w:val="003B4099"/>
    <w:rsid w:val="003B461C"/>
    <w:rsid w:val="003B4C19"/>
    <w:rsid w:val="003D58AA"/>
    <w:rsid w:val="003D7B97"/>
    <w:rsid w:val="003E2ABC"/>
    <w:rsid w:val="003F0F8D"/>
    <w:rsid w:val="00400DBF"/>
    <w:rsid w:val="004156B9"/>
    <w:rsid w:val="004233B0"/>
    <w:rsid w:val="00427905"/>
    <w:rsid w:val="00445BFA"/>
    <w:rsid w:val="00452BB6"/>
    <w:rsid w:val="0046133B"/>
    <w:rsid w:val="00490E6F"/>
    <w:rsid w:val="004B357E"/>
    <w:rsid w:val="004C3D80"/>
    <w:rsid w:val="004D30C6"/>
    <w:rsid w:val="004D34EF"/>
    <w:rsid w:val="004D4983"/>
    <w:rsid w:val="004D65EE"/>
    <w:rsid w:val="004E275C"/>
    <w:rsid w:val="004E5C36"/>
    <w:rsid w:val="004F3823"/>
    <w:rsid w:val="005207C8"/>
    <w:rsid w:val="00525FA8"/>
    <w:rsid w:val="00530663"/>
    <w:rsid w:val="00543C37"/>
    <w:rsid w:val="0055036F"/>
    <w:rsid w:val="005514D6"/>
    <w:rsid w:val="00552704"/>
    <w:rsid w:val="00560AAD"/>
    <w:rsid w:val="00572AB3"/>
    <w:rsid w:val="005836AC"/>
    <w:rsid w:val="00584583"/>
    <w:rsid w:val="00584CB2"/>
    <w:rsid w:val="00593C18"/>
    <w:rsid w:val="00594FAC"/>
    <w:rsid w:val="005B0C49"/>
    <w:rsid w:val="005B7F60"/>
    <w:rsid w:val="005E0CA4"/>
    <w:rsid w:val="005F5FB0"/>
    <w:rsid w:val="005F7303"/>
    <w:rsid w:val="00606587"/>
    <w:rsid w:val="00606EEA"/>
    <w:rsid w:val="006174DB"/>
    <w:rsid w:val="00626914"/>
    <w:rsid w:val="0064023C"/>
    <w:rsid w:val="006578C2"/>
    <w:rsid w:val="00666D33"/>
    <w:rsid w:val="00666F1C"/>
    <w:rsid w:val="0067532F"/>
    <w:rsid w:val="006931E5"/>
    <w:rsid w:val="006946EC"/>
    <w:rsid w:val="00695110"/>
    <w:rsid w:val="006A58E4"/>
    <w:rsid w:val="006B0E32"/>
    <w:rsid w:val="006C16E8"/>
    <w:rsid w:val="006D36C9"/>
    <w:rsid w:val="006D4751"/>
    <w:rsid w:val="006E1E0A"/>
    <w:rsid w:val="006E4F7F"/>
    <w:rsid w:val="007057EF"/>
    <w:rsid w:val="0071048F"/>
    <w:rsid w:val="007175A6"/>
    <w:rsid w:val="00736B45"/>
    <w:rsid w:val="0074321D"/>
    <w:rsid w:val="00744508"/>
    <w:rsid w:val="007741C5"/>
    <w:rsid w:val="007779A2"/>
    <w:rsid w:val="007A47DC"/>
    <w:rsid w:val="007A6B80"/>
    <w:rsid w:val="007B6178"/>
    <w:rsid w:val="007C2809"/>
    <w:rsid w:val="007D2AB0"/>
    <w:rsid w:val="007D416E"/>
    <w:rsid w:val="007E65A5"/>
    <w:rsid w:val="00804251"/>
    <w:rsid w:val="0080486F"/>
    <w:rsid w:val="00807411"/>
    <w:rsid w:val="00811847"/>
    <w:rsid w:val="00814CF5"/>
    <w:rsid w:val="00816425"/>
    <w:rsid w:val="008169B4"/>
    <w:rsid w:val="0082067F"/>
    <w:rsid w:val="00821758"/>
    <w:rsid w:val="00823079"/>
    <w:rsid w:val="0083298A"/>
    <w:rsid w:val="00841387"/>
    <w:rsid w:val="00846DEF"/>
    <w:rsid w:val="008472B3"/>
    <w:rsid w:val="008478D6"/>
    <w:rsid w:val="00852737"/>
    <w:rsid w:val="00855BC2"/>
    <w:rsid w:val="00861092"/>
    <w:rsid w:val="00866D8B"/>
    <w:rsid w:val="008857A7"/>
    <w:rsid w:val="008A5208"/>
    <w:rsid w:val="008A528C"/>
    <w:rsid w:val="008A5905"/>
    <w:rsid w:val="008B089C"/>
    <w:rsid w:val="008B77B2"/>
    <w:rsid w:val="008C0FD6"/>
    <w:rsid w:val="008C522D"/>
    <w:rsid w:val="008E1DB1"/>
    <w:rsid w:val="008E512C"/>
    <w:rsid w:val="008E7749"/>
    <w:rsid w:val="008E7943"/>
    <w:rsid w:val="008E7F92"/>
    <w:rsid w:val="008F07A6"/>
    <w:rsid w:val="008F0C10"/>
    <w:rsid w:val="008F38F7"/>
    <w:rsid w:val="00902D3C"/>
    <w:rsid w:val="00914679"/>
    <w:rsid w:val="00926D09"/>
    <w:rsid w:val="009336BA"/>
    <w:rsid w:val="00937FB4"/>
    <w:rsid w:val="0094087C"/>
    <w:rsid w:val="00951EC0"/>
    <w:rsid w:val="0096041D"/>
    <w:rsid w:val="0096251D"/>
    <w:rsid w:val="00981287"/>
    <w:rsid w:val="00983045"/>
    <w:rsid w:val="00985DB7"/>
    <w:rsid w:val="0098640E"/>
    <w:rsid w:val="00990D0F"/>
    <w:rsid w:val="009C02C9"/>
    <w:rsid w:val="009E05E5"/>
    <w:rsid w:val="009F1B68"/>
    <w:rsid w:val="009F4DC4"/>
    <w:rsid w:val="00A11166"/>
    <w:rsid w:val="00A14038"/>
    <w:rsid w:val="00A26E91"/>
    <w:rsid w:val="00A42850"/>
    <w:rsid w:val="00A53837"/>
    <w:rsid w:val="00A57954"/>
    <w:rsid w:val="00A64EF1"/>
    <w:rsid w:val="00A67EA4"/>
    <w:rsid w:val="00A80E4E"/>
    <w:rsid w:val="00A86D72"/>
    <w:rsid w:val="00AB1A4A"/>
    <w:rsid w:val="00AB352B"/>
    <w:rsid w:val="00AB4A4F"/>
    <w:rsid w:val="00AB552D"/>
    <w:rsid w:val="00AC3885"/>
    <w:rsid w:val="00AD0BF3"/>
    <w:rsid w:val="00AD75CD"/>
    <w:rsid w:val="00B0118A"/>
    <w:rsid w:val="00B05D6E"/>
    <w:rsid w:val="00B119B1"/>
    <w:rsid w:val="00B14612"/>
    <w:rsid w:val="00B23E73"/>
    <w:rsid w:val="00B260C7"/>
    <w:rsid w:val="00B33668"/>
    <w:rsid w:val="00B40898"/>
    <w:rsid w:val="00B4124C"/>
    <w:rsid w:val="00B4625E"/>
    <w:rsid w:val="00B66559"/>
    <w:rsid w:val="00B75AE2"/>
    <w:rsid w:val="00B905E1"/>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0E37"/>
    <w:rsid w:val="00C411C9"/>
    <w:rsid w:val="00C42B2E"/>
    <w:rsid w:val="00C55FDF"/>
    <w:rsid w:val="00C5739F"/>
    <w:rsid w:val="00C70CD5"/>
    <w:rsid w:val="00C7399E"/>
    <w:rsid w:val="00C80F58"/>
    <w:rsid w:val="00C87FCA"/>
    <w:rsid w:val="00C97019"/>
    <w:rsid w:val="00CA1B0C"/>
    <w:rsid w:val="00CA7795"/>
    <w:rsid w:val="00CA7F40"/>
    <w:rsid w:val="00CB3C7E"/>
    <w:rsid w:val="00CD4F50"/>
    <w:rsid w:val="00D01DFE"/>
    <w:rsid w:val="00D03314"/>
    <w:rsid w:val="00D04267"/>
    <w:rsid w:val="00D06A0F"/>
    <w:rsid w:val="00D14292"/>
    <w:rsid w:val="00D3512C"/>
    <w:rsid w:val="00D47C19"/>
    <w:rsid w:val="00D62A6C"/>
    <w:rsid w:val="00D8003D"/>
    <w:rsid w:val="00D82047"/>
    <w:rsid w:val="00D8525B"/>
    <w:rsid w:val="00DA6DC7"/>
    <w:rsid w:val="00DB3886"/>
    <w:rsid w:val="00DB6D34"/>
    <w:rsid w:val="00DC0F29"/>
    <w:rsid w:val="00DD4E02"/>
    <w:rsid w:val="00DE08C1"/>
    <w:rsid w:val="00DF2970"/>
    <w:rsid w:val="00DF303A"/>
    <w:rsid w:val="00E0467F"/>
    <w:rsid w:val="00E0505F"/>
    <w:rsid w:val="00E05FFF"/>
    <w:rsid w:val="00E0720B"/>
    <w:rsid w:val="00E07F07"/>
    <w:rsid w:val="00E30B60"/>
    <w:rsid w:val="00E33F35"/>
    <w:rsid w:val="00E34C30"/>
    <w:rsid w:val="00E35862"/>
    <w:rsid w:val="00E37DA5"/>
    <w:rsid w:val="00E41E94"/>
    <w:rsid w:val="00E55C69"/>
    <w:rsid w:val="00E57D4D"/>
    <w:rsid w:val="00E6492F"/>
    <w:rsid w:val="00E65691"/>
    <w:rsid w:val="00E71522"/>
    <w:rsid w:val="00E72C95"/>
    <w:rsid w:val="00E91FA1"/>
    <w:rsid w:val="00E944E2"/>
    <w:rsid w:val="00E9512E"/>
    <w:rsid w:val="00EA6F17"/>
    <w:rsid w:val="00EB0712"/>
    <w:rsid w:val="00EC12D0"/>
    <w:rsid w:val="00EC2355"/>
    <w:rsid w:val="00EC2898"/>
    <w:rsid w:val="00EC6290"/>
    <w:rsid w:val="00ED76D9"/>
    <w:rsid w:val="00EF2051"/>
    <w:rsid w:val="00F00A19"/>
    <w:rsid w:val="00F34041"/>
    <w:rsid w:val="00F444A5"/>
    <w:rsid w:val="00F627FF"/>
    <w:rsid w:val="00F804CC"/>
    <w:rsid w:val="00F82A83"/>
    <w:rsid w:val="00F83B3D"/>
    <w:rsid w:val="00FA6A8E"/>
    <w:rsid w:val="00FB0AFB"/>
    <w:rsid w:val="00FB2453"/>
    <w:rsid w:val="00FB39BA"/>
    <w:rsid w:val="00FC61E3"/>
    <w:rsid w:val="00FC782F"/>
    <w:rsid w:val="00FF1A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ind w:left="1430"/>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nguignon\AppData\Local\Microsoft\Windows\INetCache\Content.MSO\C7A1BB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6DEB-4ED8-4B65-8167-2F71ABC8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C7A1BB17</Template>
  <TotalTime>40</TotalTime>
  <Pages>9</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shena labrosse</dc:creator>
  <cp:lastModifiedBy>s.sanguignon</cp:lastModifiedBy>
  <cp:revision>15</cp:revision>
  <cp:lastPrinted>2017-10-04T11:35:00Z</cp:lastPrinted>
  <dcterms:created xsi:type="dcterms:W3CDTF">2017-10-02T06:11:00Z</dcterms:created>
  <dcterms:modified xsi:type="dcterms:W3CDTF">2017-10-04T11:36:00Z</dcterms:modified>
</cp:coreProperties>
</file>