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F34FB5" w:rsidRPr="00F338A9" w:rsidRDefault="00661E88" w:rsidP="00F34FB5">
      <w:pPr>
        <w:jc w:val="center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F338A9">
        <w:rPr>
          <w:b/>
          <w:sz w:val="24"/>
          <w:szCs w:val="24"/>
        </w:rPr>
        <w:instrText xml:space="preserve"> FORMTEXT </w:instrText>
      </w:r>
      <w:r w:rsidRPr="00F338A9">
        <w:rPr>
          <w:b/>
          <w:sz w:val="24"/>
          <w:szCs w:val="24"/>
        </w:rPr>
      </w:r>
      <w:r w:rsidRPr="00F338A9">
        <w:rPr>
          <w:b/>
          <w:sz w:val="24"/>
          <w:szCs w:val="24"/>
        </w:rPr>
        <w:fldChar w:fldCharType="separate"/>
      </w:r>
      <w:r w:rsidR="00A573DD" w:rsidRPr="00F338A9">
        <w:rPr>
          <w:b/>
          <w:sz w:val="24"/>
          <w:szCs w:val="24"/>
        </w:rPr>
        <w:t> </w:t>
      </w:r>
      <w:r w:rsidR="00A573DD" w:rsidRPr="00F338A9">
        <w:rPr>
          <w:b/>
          <w:sz w:val="24"/>
          <w:szCs w:val="24"/>
        </w:rPr>
        <w:t> </w:t>
      </w:r>
      <w:r w:rsidR="00A573DD" w:rsidRPr="00F338A9">
        <w:rPr>
          <w:b/>
          <w:sz w:val="24"/>
          <w:szCs w:val="24"/>
        </w:rPr>
        <w:t> </w:t>
      </w:r>
      <w:r w:rsidR="00A573DD" w:rsidRPr="00F338A9">
        <w:rPr>
          <w:b/>
          <w:sz w:val="24"/>
          <w:szCs w:val="24"/>
        </w:rPr>
        <w:t> </w:t>
      </w:r>
      <w:r w:rsidR="00A573DD" w:rsidRPr="00F338A9">
        <w:rPr>
          <w:b/>
          <w:sz w:val="24"/>
          <w:szCs w:val="24"/>
        </w:rPr>
        <w:t> </w:t>
      </w:r>
      <w:r w:rsidRPr="00F338A9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F338A9" w:rsidRDefault="00661E88" w:rsidP="00F34FB5">
      <w:pPr>
        <w:jc w:val="center"/>
        <w:rPr>
          <w:i/>
          <w:sz w:val="24"/>
          <w:szCs w:val="24"/>
        </w:rPr>
      </w:pPr>
      <w:r w:rsidRPr="00F338A9"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 w:rsidRPr="00F338A9">
        <w:rPr>
          <w:i/>
          <w:sz w:val="24"/>
          <w:szCs w:val="24"/>
        </w:rPr>
        <w:instrText xml:space="preserve"> FORMTEXT </w:instrText>
      </w:r>
      <w:r w:rsidRPr="00F338A9">
        <w:rPr>
          <w:i/>
          <w:sz w:val="24"/>
          <w:szCs w:val="24"/>
        </w:rPr>
      </w:r>
      <w:r w:rsidRPr="00F338A9">
        <w:rPr>
          <w:i/>
          <w:sz w:val="24"/>
          <w:szCs w:val="24"/>
        </w:rPr>
        <w:fldChar w:fldCharType="separate"/>
      </w:r>
      <w:r w:rsidR="00A573DD" w:rsidRPr="00F338A9">
        <w:rPr>
          <w:i/>
          <w:sz w:val="24"/>
          <w:szCs w:val="24"/>
        </w:rPr>
        <w:t> </w:t>
      </w:r>
      <w:r w:rsidR="00A573DD" w:rsidRPr="00F338A9">
        <w:rPr>
          <w:i/>
          <w:sz w:val="24"/>
          <w:szCs w:val="24"/>
        </w:rPr>
        <w:t> </w:t>
      </w:r>
      <w:r w:rsidR="00A573DD" w:rsidRPr="00F338A9">
        <w:rPr>
          <w:i/>
          <w:sz w:val="24"/>
          <w:szCs w:val="24"/>
        </w:rPr>
        <w:t> </w:t>
      </w:r>
      <w:r w:rsidR="00A573DD" w:rsidRPr="00F338A9">
        <w:rPr>
          <w:i/>
          <w:sz w:val="24"/>
          <w:szCs w:val="24"/>
        </w:rPr>
        <w:t> </w:t>
      </w:r>
      <w:r w:rsidR="00A573DD" w:rsidRPr="00F338A9">
        <w:rPr>
          <w:i/>
          <w:sz w:val="24"/>
          <w:szCs w:val="24"/>
        </w:rPr>
        <w:t> </w:t>
      </w:r>
      <w:r w:rsidRPr="00F338A9">
        <w:rPr>
          <w:i/>
          <w:sz w:val="24"/>
          <w:szCs w:val="24"/>
        </w:rPr>
        <w:fldChar w:fldCharType="end"/>
      </w:r>
      <w:bookmarkEnd w:id="1"/>
    </w:p>
    <w:p w:rsidR="00F34FB5" w:rsidRPr="00F338A9" w:rsidRDefault="00F34FB5" w:rsidP="00CA7795">
      <w:pPr>
        <w:jc w:val="center"/>
        <w:rPr>
          <w:b/>
          <w:sz w:val="24"/>
          <w:szCs w:val="24"/>
        </w:rPr>
      </w:pPr>
    </w:p>
    <w:p w:rsidR="00AD75CD" w:rsidRPr="00F338A9" w:rsidRDefault="00C55FDF" w:rsidP="00CA7795">
      <w:pPr>
        <w:jc w:val="center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>IN THE SUPREME COURT OF SEYCHELLES</w:t>
      </w:r>
    </w:p>
    <w:p w:rsidR="00C55FDF" w:rsidRPr="00F338A9" w:rsidRDefault="00C55FDF" w:rsidP="0006489F">
      <w:pPr>
        <w:spacing w:before="240"/>
        <w:jc w:val="center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>C</w:t>
      </w:r>
      <w:r w:rsidR="00B23E73" w:rsidRPr="00F338A9">
        <w:rPr>
          <w:b/>
          <w:sz w:val="24"/>
          <w:szCs w:val="24"/>
        </w:rPr>
        <w:t xml:space="preserve">ivil </w:t>
      </w:r>
      <w:r w:rsidRPr="00F338A9">
        <w:rPr>
          <w:b/>
          <w:sz w:val="24"/>
          <w:szCs w:val="24"/>
        </w:rPr>
        <w:t>S</w:t>
      </w:r>
      <w:r w:rsidR="00BF5CC9" w:rsidRPr="00F338A9">
        <w:rPr>
          <w:b/>
          <w:sz w:val="24"/>
          <w:szCs w:val="24"/>
        </w:rPr>
        <w:t xml:space="preserve">ide: </w:t>
      </w:r>
      <w:bookmarkStart w:id="2" w:name="Dropdown10"/>
      <w:r w:rsidR="00661E88" w:rsidRPr="00F338A9">
        <w:rPr>
          <w:b/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 w:rsidRPr="00F338A9">
        <w:rPr>
          <w:b/>
          <w:sz w:val="24"/>
          <w:szCs w:val="24"/>
        </w:rPr>
        <w:instrText xml:space="preserve"> FORMDROPDOWN </w:instrText>
      </w:r>
      <w:r w:rsidR="00661E88" w:rsidRPr="00F338A9">
        <w:rPr>
          <w:b/>
          <w:sz w:val="24"/>
          <w:szCs w:val="24"/>
        </w:rPr>
      </w:r>
      <w:r w:rsidR="00661E88" w:rsidRPr="00F338A9">
        <w:rPr>
          <w:b/>
          <w:sz w:val="24"/>
          <w:szCs w:val="24"/>
        </w:rPr>
        <w:fldChar w:fldCharType="end"/>
      </w:r>
      <w:bookmarkEnd w:id="2"/>
      <w:r w:rsidR="00F701B1" w:rsidRPr="00F338A9">
        <w:rPr>
          <w:b/>
          <w:sz w:val="24"/>
          <w:szCs w:val="24"/>
        </w:rPr>
        <w:t>04</w:t>
      </w:r>
      <w:r w:rsidRPr="00F338A9">
        <w:rPr>
          <w:b/>
          <w:sz w:val="24"/>
          <w:szCs w:val="24"/>
        </w:rPr>
        <w:t>/</w:t>
      </w:r>
      <w:r w:rsidR="00C87FCA" w:rsidRPr="00F338A9">
        <w:rPr>
          <w:b/>
          <w:sz w:val="24"/>
          <w:szCs w:val="24"/>
        </w:rPr>
        <w:t>20</w:t>
      </w:r>
      <w:r w:rsidR="00F701B1" w:rsidRPr="00F338A9">
        <w:rPr>
          <w:b/>
          <w:sz w:val="24"/>
          <w:szCs w:val="24"/>
        </w:rPr>
        <w:t>17</w:t>
      </w:r>
    </w:p>
    <w:p w:rsidR="00DB6D34" w:rsidRPr="00F338A9" w:rsidRDefault="00DB6D34" w:rsidP="003651F4">
      <w:pPr>
        <w:spacing w:before="240" w:after="160"/>
        <w:ind w:left="6480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>[201</w:t>
      </w:r>
      <w:r w:rsidR="00F701B1" w:rsidRPr="00F338A9">
        <w:rPr>
          <w:b/>
          <w:sz w:val="24"/>
          <w:szCs w:val="24"/>
        </w:rPr>
        <w:t>8</w:t>
      </w:r>
      <w:r w:rsidR="00661E88" w:rsidRPr="00F338A9">
        <w:rPr>
          <w:b/>
          <w:sz w:val="24"/>
          <w:szCs w:val="24"/>
        </w:rPr>
        <w:fldChar w:fldCharType="begin"/>
      </w:r>
      <w:r w:rsidR="00661E88" w:rsidRPr="00F338A9">
        <w:rPr>
          <w:b/>
          <w:sz w:val="24"/>
          <w:szCs w:val="24"/>
        </w:rPr>
        <w:fldChar w:fldCharType="end"/>
      </w:r>
      <w:r w:rsidRPr="00F338A9">
        <w:rPr>
          <w:b/>
          <w:sz w:val="24"/>
          <w:szCs w:val="24"/>
        </w:rPr>
        <w:t>] SCSC</w:t>
      </w:r>
      <w:r w:rsidR="00E94F32">
        <w:rPr>
          <w:b/>
          <w:sz w:val="24"/>
          <w:szCs w:val="24"/>
        </w:rPr>
        <w:t xml:space="preserve"> 33</w:t>
      </w:r>
      <w:r w:rsidR="00661E88" w:rsidRPr="00F338A9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3651F4" w:rsidRPr="00F338A9">
        <w:rPr>
          <w:b/>
          <w:sz w:val="24"/>
          <w:szCs w:val="24"/>
        </w:rPr>
        <w:instrText xml:space="preserve"> FORMTEXT </w:instrText>
      </w:r>
      <w:r w:rsidR="00661E88" w:rsidRPr="00F338A9">
        <w:rPr>
          <w:b/>
          <w:sz w:val="24"/>
          <w:szCs w:val="24"/>
        </w:rPr>
      </w:r>
      <w:r w:rsidR="00661E88" w:rsidRPr="00F338A9">
        <w:rPr>
          <w:b/>
          <w:sz w:val="24"/>
          <w:szCs w:val="24"/>
        </w:rPr>
        <w:fldChar w:fldCharType="separate"/>
      </w:r>
      <w:r w:rsidR="003651F4" w:rsidRPr="00F338A9">
        <w:rPr>
          <w:b/>
          <w:noProof/>
          <w:sz w:val="24"/>
          <w:szCs w:val="24"/>
        </w:rPr>
        <w:t> </w:t>
      </w:r>
      <w:r w:rsidR="003651F4" w:rsidRPr="00F338A9">
        <w:rPr>
          <w:b/>
          <w:noProof/>
          <w:sz w:val="24"/>
          <w:szCs w:val="24"/>
        </w:rPr>
        <w:t> </w:t>
      </w:r>
      <w:r w:rsidR="003651F4" w:rsidRPr="00F338A9">
        <w:rPr>
          <w:b/>
          <w:noProof/>
          <w:sz w:val="24"/>
          <w:szCs w:val="24"/>
        </w:rPr>
        <w:t> </w:t>
      </w:r>
      <w:r w:rsidR="003651F4" w:rsidRPr="00F338A9">
        <w:rPr>
          <w:b/>
          <w:noProof/>
          <w:sz w:val="24"/>
          <w:szCs w:val="24"/>
        </w:rPr>
        <w:t> </w:t>
      </w:r>
      <w:r w:rsidR="003651F4" w:rsidRPr="00F338A9">
        <w:rPr>
          <w:b/>
          <w:noProof/>
          <w:sz w:val="24"/>
          <w:szCs w:val="24"/>
        </w:rPr>
        <w:t> </w:t>
      </w:r>
      <w:r w:rsidR="00661E88" w:rsidRPr="00F338A9">
        <w:rPr>
          <w:b/>
          <w:sz w:val="24"/>
          <w:szCs w:val="24"/>
        </w:rPr>
        <w:fldChar w:fldCharType="end"/>
      </w:r>
      <w:bookmarkEnd w:id="3"/>
    </w:p>
    <w:p w:rsidR="00C55FDF" w:rsidRPr="00F338A9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612AD5" w:rsidRPr="00F338A9" w:rsidRDefault="00612AD5" w:rsidP="0096428F">
      <w:pPr>
        <w:jc w:val="center"/>
        <w:rPr>
          <w:sz w:val="24"/>
          <w:szCs w:val="24"/>
        </w:rPr>
      </w:pPr>
      <w:bookmarkStart w:id="4" w:name="Text20"/>
    </w:p>
    <w:bookmarkEnd w:id="4"/>
    <w:p w:rsidR="00FB2453" w:rsidRPr="00F338A9" w:rsidRDefault="00A7518C" w:rsidP="00612AD5">
      <w:pPr>
        <w:ind w:left="720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>JULIETTE RUBY RITA MALVINA OF TAKAMAKA, MAHE, SEYCHELLES</w:t>
      </w:r>
    </w:p>
    <w:p w:rsidR="00323C56" w:rsidRDefault="00323C56" w:rsidP="00A7518C">
      <w:pPr>
        <w:spacing w:after="240"/>
        <w:jc w:val="center"/>
        <w:rPr>
          <w:b/>
          <w:sz w:val="24"/>
          <w:szCs w:val="24"/>
        </w:rPr>
      </w:pPr>
      <w:bookmarkStart w:id="5" w:name="Dropdown13"/>
    </w:p>
    <w:p w:rsidR="0096428F" w:rsidRPr="00F338A9" w:rsidRDefault="00A7518C" w:rsidP="00323C56">
      <w:pPr>
        <w:spacing w:after="240"/>
        <w:ind w:hanging="360"/>
        <w:jc w:val="center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>PASCAL ROBIN MALVINA OF TAKAMAKA, MAHE, SEYCHELLES</w:t>
      </w:r>
    </w:p>
    <w:p w:rsidR="00A7518C" w:rsidRPr="00F338A9" w:rsidRDefault="00A7518C" w:rsidP="00612AD5">
      <w:pPr>
        <w:spacing w:after="240"/>
        <w:ind w:left="720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 xml:space="preserve">TRACY LETISHA MALVINA OF TAKAMAKA, MAHE, SEYCHELLES </w:t>
      </w:r>
    </w:p>
    <w:p w:rsidR="00A7518C" w:rsidRPr="00F338A9" w:rsidRDefault="00661E88" w:rsidP="00A7518C">
      <w:pPr>
        <w:spacing w:after="240"/>
        <w:jc w:val="center"/>
        <w:rPr>
          <w:sz w:val="24"/>
          <w:szCs w:val="24"/>
        </w:rPr>
        <w:sectPr w:rsidR="00A7518C" w:rsidRPr="00F338A9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F338A9"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A7518C" w:rsidRPr="00F338A9">
        <w:rPr>
          <w:sz w:val="24"/>
          <w:szCs w:val="24"/>
        </w:rPr>
        <w:instrText xml:space="preserve"> FORMDROPDOWN </w:instrText>
      </w:r>
      <w:r w:rsidRPr="00F338A9">
        <w:rPr>
          <w:sz w:val="24"/>
          <w:szCs w:val="24"/>
        </w:rPr>
      </w:r>
      <w:r w:rsidRPr="00F338A9">
        <w:rPr>
          <w:sz w:val="24"/>
          <w:szCs w:val="24"/>
        </w:rPr>
        <w:fldChar w:fldCharType="end"/>
      </w:r>
      <w:r w:rsidR="00A7518C" w:rsidRPr="00F338A9">
        <w:rPr>
          <w:sz w:val="24"/>
          <w:szCs w:val="24"/>
        </w:rPr>
        <w:t>s</w:t>
      </w:r>
    </w:p>
    <w:p w:rsidR="00A7518C" w:rsidRPr="00F338A9" w:rsidRDefault="00A7518C" w:rsidP="00A7518C">
      <w:pPr>
        <w:spacing w:before="120"/>
        <w:jc w:val="center"/>
        <w:rPr>
          <w:sz w:val="24"/>
          <w:szCs w:val="24"/>
        </w:rPr>
      </w:pPr>
    </w:p>
    <w:p w:rsidR="00A7518C" w:rsidRPr="00F338A9" w:rsidRDefault="00A7518C" w:rsidP="00A7518C">
      <w:pPr>
        <w:spacing w:before="120"/>
        <w:jc w:val="center"/>
        <w:rPr>
          <w:sz w:val="24"/>
          <w:szCs w:val="24"/>
        </w:rPr>
      </w:pPr>
      <w:r w:rsidRPr="00F338A9">
        <w:rPr>
          <w:sz w:val="24"/>
          <w:szCs w:val="24"/>
        </w:rPr>
        <w:t>Versus</w:t>
      </w:r>
    </w:p>
    <w:p w:rsidR="00A7518C" w:rsidRPr="00F338A9" w:rsidRDefault="00A7518C" w:rsidP="00A7518C">
      <w:pPr>
        <w:spacing w:before="120"/>
        <w:jc w:val="center"/>
        <w:rPr>
          <w:sz w:val="24"/>
          <w:szCs w:val="24"/>
        </w:rPr>
      </w:pPr>
    </w:p>
    <w:p w:rsidR="00A7518C" w:rsidRPr="00F338A9" w:rsidRDefault="00A7518C" w:rsidP="00A7518C">
      <w:pPr>
        <w:spacing w:after="240"/>
        <w:ind w:firstLine="720"/>
        <w:jc w:val="center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>MARCEL ESAPRON OF PETIT PARIS</w:t>
      </w:r>
    </w:p>
    <w:p w:rsidR="00A7518C" w:rsidRPr="002B5115" w:rsidRDefault="002B5115" w:rsidP="00A7518C">
      <w:pPr>
        <w:spacing w:after="240"/>
        <w:ind w:firstLine="720"/>
        <w:jc w:val="center"/>
        <w:rPr>
          <w:sz w:val="24"/>
          <w:szCs w:val="24"/>
        </w:rPr>
      </w:pPr>
      <w:r w:rsidRPr="002B5115">
        <w:rPr>
          <w:sz w:val="24"/>
          <w:szCs w:val="24"/>
        </w:rPr>
        <w:t xml:space="preserve">First </w:t>
      </w:r>
      <w:r w:rsidR="00B60BD9">
        <w:rPr>
          <w:sz w:val="24"/>
          <w:szCs w:val="24"/>
        </w:rPr>
        <w:t>Defendant</w:t>
      </w:r>
      <w:r w:rsidRPr="002B5115">
        <w:rPr>
          <w:sz w:val="24"/>
          <w:szCs w:val="24"/>
        </w:rPr>
        <w:t xml:space="preserve"> </w:t>
      </w:r>
    </w:p>
    <w:p w:rsidR="0096428F" w:rsidRPr="00F338A9" w:rsidRDefault="00A7518C" w:rsidP="00612AD5">
      <w:pPr>
        <w:spacing w:after="240"/>
        <w:ind w:left="720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>MR. REGINALD ELIZABETH, COMMISSIONER OF POLICE OF CENTRAL POLICE STATION, VICTORIA, MAHE</w:t>
      </w:r>
    </w:p>
    <w:p w:rsidR="002B5115" w:rsidRPr="002B5115" w:rsidRDefault="002B5115" w:rsidP="002B5115">
      <w:pPr>
        <w:spacing w:after="240"/>
        <w:ind w:firstLine="720"/>
        <w:jc w:val="center"/>
        <w:rPr>
          <w:sz w:val="24"/>
          <w:szCs w:val="24"/>
        </w:rPr>
      </w:pPr>
      <w:r w:rsidRPr="002B5115">
        <w:rPr>
          <w:sz w:val="24"/>
          <w:szCs w:val="24"/>
        </w:rPr>
        <w:t xml:space="preserve">Second </w:t>
      </w:r>
      <w:r w:rsidR="00B60BD9">
        <w:rPr>
          <w:sz w:val="24"/>
          <w:szCs w:val="24"/>
        </w:rPr>
        <w:t>Defendant</w:t>
      </w:r>
      <w:r w:rsidRPr="002B5115">
        <w:rPr>
          <w:sz w:val="24"/>
          <w:szCs w:val="24"/>
        </w:rPr>
        <w:t xml:space="preserve"> </w:t>
      </w:r>
    </w:p>
    <w:p w:rsidR="0096428F" w:rsidRPr="00F338A9" w:rsidRDefault="00A7518C" w:rsidP="00612AD5">
      <w:pPr>
        <w:spacing w:after="240"/>
        <w:ind w:left="720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 xml:space="preserve">THE ATTORNEY GENERAL OF NATIONAL HOUSE, VICTORIA, MAHE, SEYCHELLES REPRESENTING THE GOVERNMENT OF SEYCHELELS AS PER SECTION 29 OF THE CIVIL PROCEDURE CODE </w:t>
      </w:r>
    </w:p>
    <w:bookmarkEnd w:id="5"/>
    <w:p w:rsidR="002B5115" w:rsidRPr="002B5115" w:rsidRDefault="002B5115" w:rsidP="002B5115">
      <w:pPr>
        <w:spacing w:after="24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Third </w:t>
      </w:r>
      <w:r w:rsidR="00B60BD9">
        <w:rPr>
          <w:sz w:val="24"/>
          <w:szCs w:val="24"/>
        </w:rPr>
        <w:t>Defendant</w:t>
      </w:r>
      <w:r w:rsidRPr="002B5115">
        <w:rPr>
          <w:sz w:val="24"/>
          <w:szCs w:val="24"/>
        </w:rPr>
        <w:t xml:space="preserve"> </w:t>
      </w:r>
    </w:p>
    <w:p w:rsidR="00E0467F" w:rsidRPr="00F338A9" w:rsidRDefault="00E0467F" w:rsidP="00E57D4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F338A9" w:rsidRDefault="00E0467F" w:rsidP="00C22967">
      <w:pPr>
        <w:spacing w:before="240" w:after="120"/>
        <w:rPr>
          <w:sz w:val="24"/>
          <w:szCs w:val="24"/>
        </w:rPr>
      </w:pPr>
      <w:r w:rsidRPr="00F338A9">
        <w:rPr>
          <w:sz w:val="24"/>
          <w:szCs w:val="24"/>
        </w:rPr>
        <w:t>Hear</w:t>
      </w:r>
      <w:r w:rsidR="00E6492F" w:rsidRPr="00F338A9">
        <w:rPr>
          <w:sz w:val="24"/>
          <w:szCs w:val="24"/>
        </w:rPr>
        <w:t>d</w:t>
      </w:r>
      <w:r w:rsidRPr="00F338A9">
        <w:rPr>
          <w:sz w:val="24"/>
          <w:szCs w:val="24"/>
        </w:rPr>
        <w:t>:</w:t>
      </w:r>
      <w:r w:rsidR="002B5115">
        <w:rPr>
          <w:sz w:val="24"/>
          <w:szCs w:val="24"/>
        </w:rPr>
        <w:tab/>
      </w:r>
      <w:r w:rsidRPr="00F338A9">
        <w:rPr>
          <w:sz w:val="24"/>
          <w:szCs w:val="24"/>
        </w:rPr>
        <w:tab/>
      </w:r>
      <w:r w:rsidR="00A7518C" w:rsidRPr="00F338A9">
        <w:rPr>
          <w:sz w:val="24"/>
          <w:szCs w:val="24"/>
        </w:rPr>
        <w:t>19</w:t>
      </w:r>
      <w:r w:rsidR="00A7518C" w:rsidRPr="00F338A9">
        <w:rPr>
          <w:sz w:val="24"/>
          <w:szCs w:val="24"/>
          <w:vertAlign w:val="superscript"/>
        </w:rPr>
        <w:t>th</w:t>
      </w:r>
      <w:r w:rsidR="00A7518C" w:rsidRPr="00F338A9">
        <w:rPr>
          <w:sz w:val="24"/>
          <w:szCs w:val="24"/>
        </w:rPr>
        <w:t xml:space="preserve"> day of July 2017</w:t>
      </w:r>
      <w:r w:rsidR="00661E88" w:rsidRPr="00F338A9">
        <w:rPr>
          <w:sz w:val="24"/>
          <w:szCs w:val="24"/>
        </w:rPr>
        <w:fldChar w:fldCharType="begin"/>
      </w:r>
      <w:r w:rsidR="00661E88" w:rsidRPr="00F338A9">
        <w:rPr>
          <w:sz w:val="24"/>
          <w:szCs w:val="24"/>
        </w:rPr>
        <w:fldChar w:fldCharType="end"/>
      </w:r>
    </w:p>
    <w:p w:rsidR="005F5FB0" w:rsidRPr="00F338A9" w:rsidRDefault="002B5115" w:rsidP="009E05E5">
      <w:pPr>
        <w:rPr>
          <w:sz w:val="24"/>
          <w:szCs w:val="24"/>
        </w:rPr>
      </w:pPr>
      <w:r>
        <w:rPr>
          <w:sz w:val="24"/>
          <w:szCs w:val="24"/>
        </w:rPr>
        <w:t>Counsel:</w:t>
      </w:r>
      <w:r>
        <w:rPr>
          <w:sz w:val="24"/>
          <w:szCs w:val="24"/>
        </w:rPr>
        <w:tab/>
      </w:r>
      <w:r w:rsidR="00323C56">
        <w:rPr>
          <w:sz w:val="24"/>
          <w:szCs w:val="24"/>
        </w:rPr>
        <w:t>Mr. N. Gab</w:t>
      </w:r>
      <w:r w:rsidR="0073450B" w:rsidRPr="00F338A9">
        <w:rPr>
          <w:sz w:val="24"/>
          <w:szCs w:val="24"/>
        </w:rPr>
        <w:t>riel for Plaintiffs</w:t>
      </w:r>
      <w:r w:rsidR="00661E88" w:rsidRPr="00F338A9">
        <w:rPr>
          <w:sz w:val="24"/>
          <w:szCs w:val="24"/>
        </w:rPr>
        <w:fldChar w:fldCharType="begin"/>
      </w:r>
      <w:r w:rsidR="00F804CC" w:rsidRPr="00F338A9">
        <w:rPr>
          <w:sz w:val="24"/>
          <w:szCs w:val="24"/>
        </w:rPr>
        <w:instrText xml:space="preserve"> ASK  "Enter Appellant Lawyer full name"  \* MERGEFORMAT </w:instrText>
      </w:r>
      <w:r w:rsidR="00661E88" w:rsidRPr="00F338A9">
        <w:rPr>
          <w:sz w:val="24"/>
          <w:szCs w:val="24"/>
        </w:rPr>
        <w:fldChar w:fldCharType="end"/>
      </w:r>
      <w:r w:rsidR="00661E88" w:rsidRPr="00F338A9">
        <w:rPr>
          <w:sz w:val="24"/>
          <w:szCs w:val="24"/>
        </w:rPr>
        <w:fldChar w:fldCharType="begin"/>
      </w:r>
      <w:r w:rsidR="00661E88" w:rsidRPr="00F338A9">
        <w:rPr>
          <w:sz w:val="24"/>
          <w:szCs w:val="24"/>
        </w:rPr>
        <w:fldChar w:fldCharType="end"/>
      </w:r>
    </w:p>
    <w:p w:rsidR="0073450B" w:rsidRPr="00F338A9" w:rsidRDefault="0073450B" w:rsidP="009E05E5">
      <w:pPr>
        <w:rPr>
          <w:sz w:val="24"/>
          <w:szCs w:val="24"/>
        </w:rPr>
        <w:sectPr w:rsidR="0073450B" w:rsidRPr="00F338A9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50B" w:rsidRPr="00F338A9" w:rsidRDefault="002B5115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96428F" w:rsidRPr="00F338A9">
        <w:rPr>
          <w:sz w:val="24"/>
          <w:szCs w:val="24"/>
        </w:rPr>
        <w:t xml:space="preserve">Mr. </w:t>
      </w:r>
      <w:r w:rsidR="00B60BD9">
        <w:rPr>
          <w:sz w:val="24"/>
          <w:szCs w:val="24"/>
        </w:rPr>
        <w:t>B. Hoareau</w:t>
      </w:r>
      <w:r w:rsidR="0073450B" w:rsidRPr="00F338A9">
        <w:rPr>
          <w:sz w:val="24"/>
          <w:szCs w:val="24"/>
        </w:rPr>
        <w:t xml:space="preserve"> and E. Chetty for first </w:t>
      </w:r>
      <w:r w:rsidR="00B60BD9">
        <w:rPr>
          <w:sz w:val="24"/>
          <w:szCs w:val="24"/>
        </w:rPr>
        <w:t>Defendant</w:t>
      </w:r>
    </w:p>
    <w:p w:rsidR="005F5FB0" w:rsidRPr="00F338A9" w:rsidRDefault="002B5115" w:rsidP="00A53837">
      <w:pPr>
        <w:rPr>
          <w:sz w:val="24"/>
          <w:szCs w:val="24"/>
        </w:rPr>
        <w:sectPr w:rsidR="005F5FB0" w:rsidRPr="00F338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50B" w:rsidRPr="00F338A9">
        <w:rPr>
          <w:sz w:val="24"/>
          <w:szCs w:val="24"/>
        </w:rPr>
        <w:t xml:space="preserve">Mr. </w:t>
      </w:r>
      <w:r w:rsidR="00CF4041" w:rsidRPr="00F338A9">
        <w:rPr>
          <w:sz w:val="24"/>
          <w:szCs w:val="24"/>
        </w:rPr>
        <w:t>G. T. Tha</w:t>
      </w:r>
      <w:r w:rsidR="00B60BD9">
        <w:rPr>
          <w:sz w:val="24"/>
          <w:szCs w:val="24"/>
        </w:rPr>
        <w:t>t</w:t>
      </w:r>
      <w:r w:rsidR="00CF4041" w:rsidRPr="00F338A9">
        <w:rPr>
          <w:sz w:val="24"/>
          <w:szCs w:val="24"/>
        </w:rPr>
        <w:t>chett</w:t>
      </w:r>
      <w:r w:rsidR="00B60BD9">
        <w:rPr>
          <w:sz w:val="24"/>
          <w:szCs w:val="24"/>
        </w:rPr>
        <w:t xml:space="preserve"> </w:t>
      </w:r>
      <w:r w:rsidR="00661E88" w:rsidRPr="00F338A9">
        <w:rPr>
          <w:sz w:val="24"/>
          <w:szCs w:val="24"/>
        </w:rPr>
        <w:fldChar w:fldCharType="begin"/>
      </w:r>
      <w:r w:rsidR="00F804CC" w:rsidRPr="00F338A9">
        <w:rPr>
          <w:sz w:val="24"/>
          <w:szCs w:val="24"/>
        </w:rPr>
        <w:instrText xml:space="preserve"> ASK  "Enter Respondent Lawyer Full Name"  \* MERGEFORMAT </w:instrText>
      </w:r>
      <w:r w:rsidR="00661E88" w:rsidRPr="00F338A9">
        <w:rPr>
          <w:sz w:val="24"/>
          <w:szCs w:val="24"/>
        </w:rPr>
        <w:fldChar w:fldCharType="end"/>
      </w:r>
      <w:r w:rsidR="00661E88" w:rsidRPr="00F338A9">
        <w:rPr>
          <w:sz w:val="24"/>
          <w:szCs w:val="24"/>
        </w:rPr>
        <w:fldChar w:fldCharType="begin"/>
      </w:r>
      <w:r w:rsidR="00661E88" w:rsidRPr="00F338A9">
        <w:rPr>
          <w:sz w:val="24"/>
          <w:szCs w:val="24"/>
        </w:rPr>
        <w:fldChar w:fldCharType="end"/>
      </w:r>
      <w:r w:rsidR="009E05E5" w:rsidRPr="00F338A9">
        <w:rPr>
          <w:sz w:val="24"/>
          <w:szCs w:val="24"/>
        </w:rPr>
        <w:t xml:space="preserve">for </w:t>
      </w:r>
      <w:bookmarkStart w:id="6" w:name="Dropdown12"/>
      <w:r w:rsidR="0073450B" w:rsidRPr="00F338A9">
        <w:rPr>
          <w:sz w:val="24"/>
          <w:szCs w:val="24"/>
        </w:rPr>
        <w:t xml:space="preserve">second and third </w:t>
      </w:r>
      <w:bookmarkEnd w:id="6"/>
      <w:r w:rsidR="00B60BD9">
        <w:rPr>
          <w:sz w:val="24"/>
          <w:szCs w:val="24"/>
        </w:rPr>
        <w:t>Defendant</w:t>
      </w:r>
      <w:r w:rsidR="0073450B" w:rsidRPr="00F338A9">
        <w:rPr>
          <w:sz w:val="24"/>
          <w:szCs w:val="24"/>
        </w:rPr>
        <w:t>s</w:t>
      </w:r>
    </w:p>
    <w:p w:rsidR="005F5FB0" w:rsidRPr="00F338A9" w:rsidRDefault="005F5FB0" w:rsidP="00A53837">
      <w:pPr>
        <w:rPr>
          <w:sz w:val="24"/>
          <w:szCs w:val="24"/>
        </w:rPr>
        <w:sectPr w:rsidR="005F5FB0" w:rsidRPr="00F338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38A9">
        <w:rPr>
          <w:sz w:val="24"/>
          <w:szCs w:val="24"/>
        </w:rPr>
        <w:lastRenderedPageBreak/>
        <w:tab/>
      </w:r>
      <w:r w:rsidRPr="00F338A9">
        <w:rPr>
          <w:sz w:val="24"/>
          <w:szCs w:val="24"/>
        </w:rPr>
        <w:tab/>
      </w:r>
      <w:r w:rsidRPr="00F338A9">
        <w:rPr>
          <w:sz w:val="24"/>
          <w:szCs w:val="24"/>
        </w:rPr>
        <w:tab/>
      </w:r>
      <w:r w:rsidR="00661E88" w:rsidRPr="00F338A9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F338A9">
        <w:rPr>
          <w:sz w:val="24"/>
          <w:szCs w:val="24"/>
        </w:rPr>
        <w:instrText xml:space="preserve"> FORMTEXT </w:instrText>
      </w:r>
      <w:r w:rsidR="00661E88" w:rsidRPr="00F338A9">
        <w:rPr>
          <w:sz w:val="24"/>
          <w:szCs w:val="24"/>
        </w:rPr>
      </w:r>
      <w:r w:rsidR="00661E88" w:rsidRPr="00F338A9">
        <w:rPr>
          <w:sz w:val="24"/>
          <w:szCs w:val="24"/>
        </w:rPr>
        <w:fldChar w:fldCharType="separate"/>
      </w:r>
      <w:r w:rsidRPr="00F338A9">
        <w:rPr>
          <w:noProof/>
          <w:sz w:val="24"/>
          <w:szCs w:val="24"/>
        </w:rPr>
        <w:t> </w:t>
      </w:r>
      <w:r w:rsidRPr="00F338A9">
        <w:rPr>
          <w:noProof/>
          <w:sz w:val="24"/>
          <w:szCs w:val="24"/>
        </w:rPr>
        <w:t> </w:t>
      </w:r>
      <w:r w:rsidRPr="00F338A9">
        <w:rPr>
          <w:noProof/>
          <w:sz w:val="24"/>
          <w:szCs w:val="24"/>
        </w:rPr>
        <w:t> </w:t>
      </w:r>
      <w:r w:rsidRPr="00F338A9">
        <w:rPr>
          <w:noProof/>
          <w:sz w:val="24"/>
          <w:szCs w:val="24"/>
        </w:rPr>
        <w:t> </w:t>
      </w:r>
      <w:r w:rsidRPr="00F338A9">
        <w:rPr>
          <w:noProof/>
          <w:sz w:val="24"/>
          <w:szCs w:val="24"/>
        </w:rPr>
        <w:t> </w:t>
      </w:r>
      <w:r w:rsidR="00661E88" w:rsidRPr="00F338A9">
        <w:rPr>
          <w:sz w:val="24"/>
          <w:szCs w:val="24"/>
        </w:rPr>
        <w:fldChar w:fldCharType="end"/>
      </w:r>
      <w:bookmarkEnd w:id="7"/>
    </w:p>
    <w:p w:rsidR="00E6492F" w:rsidRPr="00F338A9" w:rsidRDefault="00E6492F" w:rsidP="006578C2">
      <w:pPr>
        <w:spacing w:before="120" w:after="240"/>
        <w:rPr>
          <w:b/>
          <w:sz w:val="24"/>
          <w:szCs w:val="24"/>
        </w:rPr>
      </w:pPr>
      <w:r w:rsidRPr="00F338A9">
        <w:rPr>
          <w:sz w:val="24"/>
          <w:szCs w:val="24"/>
        </w:rPr>
        <w:lastRenderedPageBreak/>
        <w:t>Delivered</w:t>
      </w:r>
      <w:r w:rsidR="002B5115">
        <w:rPr>
          <w:sz w:val="24"/>
          <w:szCs w:val="24"/>
        </w:rPr>
        <w:t>:</w:t>
      </w:r>
      <w:r w:rsidR="002B5115">
        <w:rPr>
          <w:sz w:val="24"/>
          <w:szCs w:val="24"/>
        </w:rPr>
        <w:tab/>
      </w:r>
      <w:r w:rsidR="0073450B" w:rsidRPr="00F338A9">
        <w:rPr>
          <w:sz w:val="24"/>
          <w:szCs w:val="24"/>
        </w:rPr>
        <w:t>19</w:t>
      </w:r>
      <w:r w:rsidR="0073450B" w:rsidRPr="00F338A9">
        <w:rPr>
          <w:sz w:val="24"/>
          <w:szCs w:val="24"/>
          <w:vertAlign w:val="superscript"/>
        </w:rPr>
        <w:t>th</w:t>
      </w:r>
      <w:r w:rsidR="00B60BD9">
        <w:rPr>
          <w:sz w:val="24"/>
          <w:szCs w:val="24"/>
          <w:vertAlign w:val="superscript"/>
        </w:rPr>
        <w:t xml:space="preserve"> </w:t>
      </w:r>
      <w:r w:rsidR="00720EA9" w:rsidRPr="00F338A9">
        <w:rPr>
          <w:sz w:val="24"/>
          <w:szCs w:val="24"/>
        </w:rPr>
        <w:t xml:space="preserve">day of </w:t>
      </w:r>
      <w:r w:rsidR="0073450B" w:rsidRPr="00F338A9">
        <w:rPr>
          <w:sz w:val="24"/>
          <w:szCs w:val="24"/>
        </w:rPr>
        <w:t>January 2018</w:t>
      </w:r>
    </w:p>
    <w:p w:rsidR="00D06A0F" w:rsidRPr="00F338A9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8" w:name="Dropdown2"/>
    </w:p>
    <w:bookmarkStart w:id="9" w:name="Dropdown8"/>
    <w:bookmarkEnd w:id="8"/>
    <w:p w:rsidR="001008BC" w:rsidRPr="00F338A9" w:rsidRDefault="00661E88" w:rsidP="004A69A8">
      <w:pPr>
        <w:pBdr>
          <w:top w:val="dotted" w:sz="4" w:space="1" w:color="auto"/>
          <w:bottom w:val="dotted" w:sz="4" w:space="1" w:color="auto"/>
        </w:pBdr>
        <w:jc w:val="both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lastRenderedPageBreak/>
        <w:fldChar w:fldCharType="begin">
          <w:ffData>
            <w:name w:val="Dropdown8"/>
            <w:enabled/>
            <w:calcOnExit w:val="0"/>
            <w:ddList>
              <w:result w:val="2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 w:rsidRPr="00F338A9">
        <w:rPr>
          <w:b/>
          <w:sz w:val="24"/>
          <w:szCs w:val="24"/>
        </w:rPr>
        <w:instrText xml:space="preserve"> FORMDROPDOWN </w:instrText>
      </w:r>
      <w:r w:rsidRPr="00F338A9">
        <w:rPr>
          <w:b/>
          <w:sz w:val="24"/>
          <w:szCs w:val="24"/>
        </w:rPr>
      </w:r>
      <w:r w:rsidRPr="00F338A9">
        <w:rPr>
          <w:b/>
          <w:sz w:val="24"/>
          <w:szCs w:val="24"/>
        </w:rPr>
        <w:fldChar w:fldCharType="end"/>
      </w:r>
      <w:bookmarkEnd w:id="9"/>
      <w:r w:rsidR="0073450B" w:rsidRPr="00F338A9">
        <w:rPr>
          <w:b/>
          <w:sz w:val="24"/>
          <w:szCs w:val="24"/>
        </w:rPr>
        <w:t xml:space="preserve"> ON PLEA IN LIMINE LITIS AS RAISED BY THE SECOND AND THIRD </w:t>
      </w:r>
      <w:r w:rsidR="00B60BD9">
        <w:rPr>
          <w:b/>
          <w:sz w:val="24"/>
          <w:szCs w:val="24"/>
        </w:rPr>
        <w:t>DEFENDANT</w:t>
      </w:r>
      <w:r w:rsidR="0073450B" w:rsidRPr="00F338A9">
        <w:rPr>
          <w:b/>
          <w:sz w:val="24"/>
          <w:szCs w:val="24"/>
        </w:rPr>
        <w:t>S</w:t>
      </w:r>
    </w:p>
    <w:p w:rsidR="001008BC" w:rsidRPr="00F338A9" w:rsidRDefault="001008BC" w:rsidP="004A69A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1008BC" w:rsidRDefault="0073450B" w:rsidP="004A69A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 xml:space="preserve">S. </w:t>
      </w:r>
      <w:r w:rsidR="00661E88" w:rsidRPr="00F338A9"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0" w:name="Dropdown9"/>
      <w:r w:rsidR="001439BF" w:rsidRPr="00F338A9">
        <w:rPr>
          <w:b/>
          <w:sz w:val="24"/>
          <w:szCs w:val="24"/>
        </w:rPr>
        <w:instrText xml:space="preserve"> FORMDROPDOWN </w:instrText>
      </w:r>
      <w:r w:rsidR="00661E88" w:rsidRPr="00F338A9">
        <w:rPr>
          <w:b/>
          <w:sz w:val="24"/>
          <w:szCs w:val="24"/>
        </w:rPr>
      </w:r>
      <w:r w:rsidR="00661E88" w:rsidRPr="00F338A9">
        <w:rPr>
          <w:b/>
          <w:sz w:val="24"/>
          <w:szCs w:val="24"/>
        </w:rPr>
        <w:fldChar w:fldCharType="end"/>
      </w:r>
      <w:bookmarkEnd w:id="10"/>
    </w:p>
    <w:p w:rsidR="00B60BD9" w:rsidRPr="00F338A9" w:rsidRDefault="00B60BD9" w:rsidP="004A69A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B60BD9" w:rsidRPr="00F338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3C9" w:rsidRPr="00F338A9" w:rsidRDefault="00721FF1" w:rsidP="004A69A8">
      <w:pPr>
        <w:pStyle w:val="JudgmentText"/>
      </w:pPr>
      <w:r w:rsidRPr="00F338A9">
        <w:lastRenderedPageBreak/>
        <w:t xml:space="preserve">This Ruling arises out of a </w:t>
      </w:r>
      <w:r w:rsidRPr="00323C56">
        <w:rPr>
          <w:i/>
        </w:rPr>
        <w:t>plea in limine litis</w:t>
      </w:r>
      <w:r w:rsidRPr="00F338A9">
        <w:t xml:space="preserve"> as raised by the 2</w:t>
      </w:r>
      <w:r w:rsidRPr="00F338A9">
        <w:rPr>
          <w:vertAlign w:val="superscript"/>
        </w:rPr>
        <w:t>nd</w:t>
      </w:r>
      <w:r w:rsidRPr="00F338A9">
        <w:t xml:space="preserve"> and 3</w:t>
      </w:r>
      <w:r w:rsidRPr="00F338A9">
        <w:rPr>
          <w:vertAlign w:val="superscript"/>
        </w:rPr>
        <w:t>rd</w:t>
      </w:r>
      <w:r w:rsidRPr="00F338A9">
        <w:t xml:space="preserve"> </w:t>
      </w:r>
      <w:r w:rsidR="00B60BD9">
        <w:t>Defendant</w:t>
      </w:r>
      <w:r w:rsidRPr="00F338A9">
        <w:t xml:space="preserve">s </w:t>
      </w:r>
      <w:r w:rsidR="00E56C6B">
        <w:t>“alleged preposé</w:t>
      </w:r>
      <w:r w:rsidR="001B23C9" w:rsidRPr="00F338A9">
        <w:t xml:space="preserve">s” of the first </w:t>
      </w:r>
      <w:r w:rsidR="00B60BD9">
        <w:t>Defendant</w:t>
      </w:r>
      <w:r w:rsidR="001B23C9" w:rsidRPr="00F338A9">
        <w:t xml:space="preserve"> at all material times, and </w:t>
      </w:r>
      <w:r w:rsidRPr="00F338A9">
        <w:t>dated the 6</w:t>
      </w:r>
      <w:r w:rsidRPr="00F338A9">
        <w:rPr>
          <w:vertAlign w:val="superscript"/>
        </w:rPr>
        <w:t>th</w:t>
      </w:r>
      <w:r w:rsidRPr="00F338A9">
        <w:t xml:space="preserve"> day of April 2017</w:t>
      </w:r>
      <w:r w:rsidR="001B23C9" w:rsidRPr="00F338A9">
        <w:t xml:space="preserve"> as part of their statement of defence of the 6</w:t>
      </w:r>
      <w:r w:rsidR="001B23C9" w:rsidRPr="00F338A9">
        <w:rPr>
          <w:vertAlign w:val="superscript"/>
        </w:rPr>
        <w:t>th</w:t>
      </w:r>
      <w:r w:rsidR="001B23C9" w:rsidRPr="00F338A9">
        <w:t xml:space="preserve"> April 2017. </w:t>
      </w:r>
    </w:p>
    <w:p w:rsidR="001B23C9" w:rsidRPr="00F338A9" w:rsidRDefault="00721FF1" w:rsidP="004A69A8">
      <w:pPr>
        <w:pStyle w:val="JudgmentText"/>
      </w:pPr>
      <w:r w:rsidRPr="00F338A9">
        <w:t xml:space="preserve">The </w:t>
      </w:r>
      <w:r w:rsidRPr="00323C56">
        <w:rPr>
          <w:i/>
        </w:rPr>
        <w:t xml:space="preserve">plea in limine </w:t>
      </w:r>
      <w:r w:rsidR="00323C56" w:rsidRPr="00323C56">
        <w:rPr>
          <w:i/>
        </w:rPr>
        <w:t>litis</w:t>
      </w:r>
      <w:r w:rsidR="00B60BD9">
        <w:rPr>
          <w:i/>
        </w:rPr>
        <w:t xml:space="preserve"> </w:t>
      </w:r>
      <w:r w:rsidRPr="00F338A9">
        <w:t xml:space="preserve">as raised arises out of </w:t>
      </w:r>
      <w:r w:rsidRPr="00F338A9">
        <w:rPr>
          <w:noProof/>
        </w:rPr>
        <w:t>Civil</w:t>
      </w:r>
      <w:r w:rsidR="001B23C9" w:rsidRPr="00F338A9">
        <w:t>Side No. 04</w:t>
      </w:r>
      <w:r w:rsidRPr="00F338A9">
        <w:t xml:space="preserve"> of 2017 </w:t>
      </w:r>
      <w:r w:rsidR="001B23C9" w:rsidRPr="00F338A9">
        <w:t xml:space="preserve">filed </w:t>
      </w:r>
      <w:r w:rsidRPr="00F338A9">
        <w:t xml:space="preserve">by </w:t>
      </w:r>
      <w:r w:rsidR="001B23C9" w:rsidRPr="00F338A9">
        <w:t>the three Plaintiffs above-referred</w:t>
      </w:r>
      <w:r w:rsidRPr="00F338A9">
        <w:t xml:space="preserve"> (hereinafter referred to as the “Plaintiff</w:t>
      </w:r>
      <w:r w:rsidR="001B23C9" w:rsidRPr="00F338A9">
        <w:t>s</w:t>
      </w:r>
      <w:r w:rsidRPr="00F338A9">
        <w:t xml:space="preserve">”), </w:t>
      </w:r>
      <w:r w:rsidR="001B23C9" w:rsidRPr="00F338A9">
        <w:t xml:space="preserve">in a claim as children and </w:t>
      </w:r>
      <w:r w:rsidR="001B23C9" w:rsidRPr="00323C56">
        <w:rPr>
          <w:i/>
        </w:rPr>
        <w:t>“ayant droits”</w:t>
      </w:r>
      <w:r w:rsidR="001B23C9" w:rsidRPr="00F338A9">
        <w:t xml:space="preserve"> of one late Emmanuel Malvina who passed away accidentally on the 30</w:t>
      </w:r>
      <w:r w:rsidR="001B23C9" w:rsidRPr="00F338A9">
        <w:rPr>
          <w:vertAlign w:val="superscript"/>
        </w:rPr>
        <w:t>th</w:t>
      </w:r>
      <w:r w:rsidR="001B23C9" w:rsidRPr="00F338A9">
        <w:t xml:space="preserve"> October 2014 on the Providence Highway (“deceased”). </w:t>
      </w:r>
    </w:p>
    <w:p w:rsidR="001B23C9" w:rsidRPr="00F338A9" w:rsidRDefault="00721FF1" w:rsidP="004A69A8">
      <w:pPr>
        <w:pStyle w:val="JudgmentText"/>
      </w:pPr>
      <w:r w:rsidRPr="00F338A9">
        <w:t xml:space="preserve">In its </w:t>
      </w:r>
      <w:r w:rsidR="001B23C9" w:rsidRPr="00323C56">
        <w:rPr>
          <w:i/>
        </w:rPr>
        <w:t>plea in limine litis</w:t>
      </w:r>
      <w:r w:rsidR="001B23C9" w:rsidRPr="00F338A9">
        <w:t xml:space="preserve"> the 2</w:t>
      </w:r>
      <w:r w:rsidR="001B23C9" w:rsidRPr="00F338A9">
        <w:rPr>
          <w:vertAlign w:val="superscript"/>
        </w:rPr>
        <w:t>nd</w:t>
      </w:r>
      <w:r w:rsidR="001B23C9" w:rsidRPr="00F338A9">
        <w:t xml:space="preserve"> and 3</w:t>
      </w:r>
      <w:r w:rsidR="001B23C9" w:rsidRPr="00F338A9">
        <w:rPr>
          <w:vertAlign w:val="superscript"/>
        </w:rPr>
        <w:t>rd</w:t>
      </w:r>
      <w:r w:rsidR="001B23C9" w:rsidRPr="00F338A9">
        <w:t xml:space="preserve"> </w:t>
      </w:r>
      <w:r w:rsidR="00B60BD9">
        <w:t>Defendant</w:t>
      </w:r>
      <w:r w:rsidR="001B23C9" w:rsidRPr="00F338A9">
        <w:t>s seek for the Plaint to be dismissed as against them on the following grounds:</w:t>
      </w:r>
    </w:p>
    <w:p w:rsidR="001B23C9" w:rsidRPr="00F338A9" w:rsidRDefault="001B23C9" w:rsidP="004A69A8">
      <w:pPr>
        <w:pStyle w:val="JudgmentText"/>
        <w:numPr>
          <w:ilvl w:val="0"/>
          <w:numId w:val="0"/>
        </w:numPr>
        <w:ind w:left="720"/>
      </w:pPr>
      <w:r w:rsidRPr="00F338A9">
        <w:t>(i)</w:t>
      </w:r>
      <w:r w:rsidRPr="00F338A9">
        <w:tab/>
      </w:r>
      <w:r w:rsidR="00C175AC" w:rsidRPr="00F338A9">
        <w:t>Firstly, that t</w:t>
      </w:r>
      <w:r w:rsidR="00323C56">
        <w:t>he P</w:t>
      </w:r>
      <w:r w:rsidRPr="00F338A9">
        <w:t xml:space="preserve">laint is prescribed under section 3 of the Public Officers </w:t>
      </w:r>
      <w:r w:rsidR="002B5115">
        <w:tab/>
      </w:r>
      <w:r w:rsidR="00C175AC" w:rsidRPr="00F338A9">
        <w:t>P</w:t>
      </w:r>
      <w:r w:rsidRPr="00F338A9">
        <w:t xml:space="preserve">rotection Act (Cap 24 of 1976) </w:t>
      </w:r>
      <w:r w:rsidR="00C175AC" w:rsidRPr="00F338A9">
        <w:t xml:space="preserve">(“POPA”) </w:t>
      </w:r>
      <w:r w:rsidRPr="00F338A9">
        <w:t>as ag</w:t>
      </w:r>
      <w:r w:rsidR="00C175AC" w:rsidRPr="00F338A9">
        <w:t>a</w:t>
      </w:r>
      <w:r w:rsidRPr="00F338A9">
        <w:t>inst the 2</w:t>
      </w:r>
      <w:r w:rsidRPr="00F338A9">
        <w:rPr>
          <w:vertAlign w:val="superscript"/>
        </w:rPr>
        <w:t>nd</w:t>
      </w:r>
      <w:r w:rsidRPr="00F338A9">
        <w:t xml:space="preserve"> and the 3</w:t>
      </w:r>
      <w:r w:rsidRPr="00F338A9">
        <w:rPr>
          <w:vertAlign w:val="superscript"/>
        </w:rPr>
        <w:t>rd</w:t>
      </w:r>
      <w:r w:rsidR="002B5115">
        <w:tab/>
      </w:r>
      <w:r w:rsidR="00B60BD9">
        <w:t>Defendant</w:t>
      </w:r>
      <w:r w:rsidRPr="00F338A9">
        <w:t xml:space="preserve">s in that the </w:t>
      </w:r>
      <w:r w:rsidR="00C175AC" w:rsidRPr="00F338A9">
        <w:t>a</w:t>
      </w:r>
      <w:r w:rsidRPr="00F338A9">
        <w:t>lleged accident happened on the 30</w:t>
      </w:r>
      <w:r w:rsidRPr="00F338A9">
        <w:rPr>
          <w:vertAlign w:val="superscript"/>
        </w:rPr>
        <w:t>th</w:t>
      </w:r>
      <w:r w:rsidRPr="00F338A9">
        <w:t xml:space="preserve"> October 2014 </w:t>
      </w:r>
      <w:r w:rsidR="002B5115">
        <w:tab/>
      </w:r>
      <w:r w:rsidRPr="00F338A9">
        <w:t>and the Plaint file</w:t>
      </w:r>
      <w:r w:rsidR="00C175AC" w:rsidRPr="00F338A9">
        <w:t xml:space="preserve">d only </w:t>
      </w:r>
      <w:r w:rsidRPr="00F338A9">
        <w:t>on the 23</w:t>
      </w:r>
      <w:r w:rsidRPr="00F338A9">
        <w:rPr>
          <w:vertAlign w:val="superscript"/>
        </w:rPr>
        <w:t>rd</w:t>
      </w:r>
      <w:r w:rsidR="00C175AC" w:rsidRPr="00F338A9">
        <w:t>January 2017</w:t>
      </w:r>
      <w:r w:rsidR="00323C56">
        <w:t xml:space="preserve">, </w:t>
      </w:r>
      <w:r w:rsidR="00C175AC" w:rsidRPr="00F338A9">
        <w:t xml:space="preserve">hence time barred in the </w:t>
      </w:r>
      <w:r w:rsidR="002B5115">
        <w:tab/>
        <w:t xml:space="preserve">light of </w:t>
      </w:r>
      <w:r w:rsidR="00B60BD9">
        <w:tab/>
      </w:r>
      <w:r w:rsidR="002B5115">
        <w:t xml:space="preserve">the </w:t>
      </w:r>
      <w:r w:rsidR="00C175AC" w:rsidRPr="00F338A9">
        <w:t>prescriptive period applicable at the time as per the POPA;</w:t>
      </w:r>
    </w:p>
    <w:p w:rsidR="00C175AC" w:rsidRPr="00F338A9" w:rsidRDefault="00C175AC" w:rsidP="004A69A8">
      <w:pPr>
        <w:pStyle w:val="JudgmentText"/>
        <w:numPr>
          <w:ilvl w:val="0"/>
          <w:numId w:val="0"/>
        </w:numPr>
        <w:ind w:left="720"/>
      </w:pPr>
      <w:r w:rsidRPr="00F338A9">
        <w:t>(ii)</w:t>
      </w:r>
      <w:r w:rsidRPr="00F338A9">
        <w:tab/>
        <w:t>Secondly, that the 1</w:t>
      </w:r>
      <w:r w:rsidRPr="00F338A9">
        <w:rPr>
          <w:vertAlign w:val="superscript"/>
        </w:rPr>
        <w:t>st</w:t>
      </w:r>
      <w:r w:rsidRPr="00F338A9">
        <w:t xml:space="preserve"> </w:t>
      </w:r>
      <w:r w:rsidR="00B60BD9">
        <w:t>Defendant</w:t>
      </w:r>
      <w:r w:rsidRPr="00F338A9">
        <w:t xml:space="preserve"> was acting as self-employed part time mechanic </w:t>
      </w:r>
      <w:r w:rsidR="002B5115">
        <w:tab/>
      </w:r>
      <w:r w:rsidRPr="00F338A9">
        <w:t xml:space="preserve">with the Seychelles Police Force after his retirement from the Police Force and </w:t>
      </w:r>
      <w:r w:rsidR="00B60BD9">
        <w:tab/>
      </w:r>
      <w:r w:rsidRPr="00F338A9">
        <w:t>was not an employee of the 2</w:t>
      </w:r>
      <w:r w:rsidRPr="00F338A9">
        <w:rPr>
          <w:vertAlign w:val="superscript"/>
        </w:rPr>
        <w:t>nd</w:t>
      </w:r>
      <w:r w:rsidRPr="00F338A9">
        <w:t xml:space="preserve"> and 3</w:t>
      </w:r>
      <w:r w:rsidRPr="00F338A9">
        <w:rPr>
          <w:vertAlign w:val="superscript"/>
        </w:rPr>
        <w:t>rd</w:t>
      </w:r>
      <w:r w:rsidR="00B60BD9">
        <w:t>Defendant</w:t>
      </w:r>
      <w:r w:rsidR="00323C56">
        <w:t>s on the 30</w:t>
      </w:r>
      <w:r w:rsidR="00323C56" w:rsidRPr="00323C56">
        <w:rPr>
          <w:vertAlign w:val="superscript"/>
        </w:rPr>
        <w:t>th</w:t>
      </w:r>
      <w:r w:rsidRPr="00F338A9">
        <w:t xml:space="preserve">October 2014. That </w:t>
      </w:r>
      <w:r w:rsidR="002B5115">
        <w:tab/>
      </w:r>
      <w:r w:rsidRPr="00F338A9">
        <w:t>the 1</w:t>
      </w:r>
      <w:r w:rsidRPr="00F338A9">
        <w:rPr>
          <w:vertAlign w:val="superscript"/>
        </w:rPr>
        <w:t>st</w:t>
      </w:r>
      <w:r w:rsidR="00B60BD9">
        <w:t>Defendant</w:t>
      </w:r>
      <w:r w:rsidR="002B5115">
        <w:t xml:space="preserve"> </w:t>
      </w:r>
      <w:r w:rsidRPr="00F338A9">
        <w:t xml:space="preserve">pleaded guilty to the offence of causing death by dangerous </w:t>
      </w:r>
      <w:r w:rsidR="002B5115">
        <w:tab/>
      </w:r>
      <w:r w:rsidRPr="00F338A9">
        <w:t>driving contrary to and punishable under section</w:t>
      </w:r>
      <w:r w:rsidR="00323C56">
        <w:t xml:space="preserve"> 25 of the Road Transport </w:t>
      </w:r>
      <w:r w:rsidR="00323C56">
        <w:tab/>
        <w:t>Act i</w:t>
      </w:r>
      <w:r w:rsidRPr="00F338A9">
        <w:t xml:space="preserve">n </w:t>
      </w:r>
      <w:r w:rsidR="002B5115">
        <w:tab/>
      </w:r>
      <w:r w:rsidR="00323C56">
        <w:t>CR</w:t>
      </w:r>
      <w:r w:rsidRPr="00F338A9">
        <w:t>. No. 69 of 2014 before the Supreme Court on the 15</w:t>
      </w:r>
      <w:r w:rsidRPr="00F338A9">
        <w:rPr>
          <w:vertAlign w:val="superscript"/>
        </w:rPr>
        <w:t>th</w:t>
      </w:r>
      <w:r w:rsidRPr="00F338A9">
        <w:t xml:space="preserve">September 2016 in </w:t>
      </w:r>
      <w:r w:rsidR="00B60BD9">
        <w:tab/>
      </w:r>
      <w:r w:rsidRPr="00F338A9">
        <w:t xml:space="preserve">respect of the cause of action for the present </w:t>
      </w:r>
      <w:r w:rsidRPr="00F338A9">
        <w:tab/>
        <w:t>Plaint. That in the said case, the 1</w:t>
      </w:r>
      <w:r w:rsidRPr="00F338A9">
        <w:rPr>
          <w:vertAlign w:val="superscript"/>
        </w:rPr>
        <w:t>st</w:t>
      </w:r>
      <w:r w:rsidRPr="00F338A9">
        <w:t xml:space="preserve"> </w:t>
      </w:r>
      <w:r w:rsidR="00B60BD9">
        <w:tab/>
        <w:t>Defendant</w:t>
      </w:r>
      <w:r w:rsidRPr="00F338A9">
        <w:t xml:space="preserve"> admitted to have caused the death of the rid</w:t>
      </w:r>
      <w:r w:rsidR="00323C56">
        <w:t>er</w:t>
      </w:r>
      <w:r w:rsidRPr="00F338A9">
        <w:t xml:space="preserve"> of a motor bike S. 9032</w:t>
      </w:r>
      <w:r w:rsidR="00323C56">
        <w:t>,</w:t>
      </w:r>
      <w:r w:rsidRPr="00F338A9">
        <w:t xml:space="preserve"> </w:t>
      </w:r>
      <w:r w:rsidR="00B60BD9">
        <w:tab/>
      </w:r>
      <w:r w:rsidRPr="00F338A9">
        <w:t>the deceased</w:t>
      </w:r>
      <w:r w:rsidR="00323C56">
        <w:t>,</w:t>
      </w:r>
      <w:r w:rsidR="00B60BD9">
        <w:tab/>
        <w:t xml:space="preserve">on </w:t>
      </w:r>
      <w:r w:rsidRPr="00F338A9">
        <w:t>the stated date and th</w:t>
      </w:r>
      <w:r w:rsidR="002B5115">
        <w:t xml:space="preserve">ereafter sentenced to one year </w:t>
      </w:r>
      <w:r w:rsidR="00B60BD9">
        <w:tab/>
      </w:r>
      <w:r w:rsidRPr="00F338A9">
        <w:t xml:space="preserve">imprisonment </w:t>
      </w:r>
      <w:r w:rsidR="00B60BD9">
        <w:t>suspended for three years and a fine of SR.20,000</w:t>
      </w:r>
      <w:r w:rsidR="00E56C6B">
        <w:t>/-</w:t>
      </w:r>
      <w:r w:rsidR="00B60BD9">
        <w:t xml:space="preserve"> and suspension </w:t>
      </w:r>
      <w:r w:rsidR="00B60BD9">
        <w:tab/>
      </w:r>
      <w:r w:rsidRPr="00F338A9">
        <w:t xml:space="preserve">of driving licence for one </w:t>
      </w:r>
      <w:r w:rsidR="002B5115">
        <w:t xml:space="preserve">year. Hence, on that </w:t>
      </w:r>
      <w:r w:rsidRPr="00F338A9">
        <w:t xml:space="preserve">basis, there is no vicarious liability </w:t>
      </w:r>
      <w:r w:rsidR="00B60BD9">
        <w:lastRenderedPageBreak/>
        <w:tab/>
      </w:r>
      <w:r w:rsidRPr="00F338A9">
        <w:t>for the 2</w:t>
      </w:r>
      <w:r w:rsidRPr="00F338A9">
        <w:rPr>
          <w:vertAlign w:val="superscript"/>
        </w:rPr>
        <w:t>nd</w:t>
      </w:r>
      <w:r w:rsidRPr="00F338A9">
        <w:t xml:space="preserve"> and 3</w:t>
      </w:r>
      <w:r w:rsidRPr="00F338A9">
        <w:rPr>
          <w:vertAlign w:val="superscript"/>
        </w:rPr>
        <w:t>rd</w:t>
      </w:r>
      <w:r w:rsidR="00B60BD9">
        <w:t>Defendant</w:t>
      </w:r>
      <w:r w:rsidRPr="00F338A9">
        <w:t xml:space="preserve">s as alleged in the Plaint and accordingly to cause of </w:t>
      </w:r>
      <w:r w:rsidR="00B60BD9">
        <w:tab/>
        <w:t xml:space="preserve">action as against </w:t>
      </w:r>
      <w:r w:rsidRPr="00F338A9">
        <w:t xml:space="preserve">them towards the Plaintiffs. </w:t>
      </w:r>
    </w:p>
    <w:p w:rsidR="002F7473" w:rsidRPr="00F338A9" w:rsidRDefault="00C175AC" w:rsidP="004A69A8">
      <w:pPr>
        <w:pStyle w:val="JudgmentText"/>
        <w:numPr>
          <w:ilvl w:val="0"/>
          <w:numId w:val="0"/>
        </w:numPr>
        <w:ind w:left="720"/>
      </w:pPr>
      <w:r w:rsidRPr="00F338A9">
        <w:t>(iii)</w:t>
      </w:r>
      <w:r w:rsidRPr="00F338A9">
        <w:tab/>
        <w:t xml:space="preserve">Thirdly, that the Plaint is bad in </w:t>
      </w:r>
      <w:r w:rsidR="002B5115">
        <w:t xml:space="preserve">law for the non-joinder of the </w:t>
      </w:r>
      <w:r w:rsidRPr="00F338A9">
        <w:t xml:space="preserve">necessary party, </w:t>
      </w:r>
      <w:r w:rsidR="002B5115">
        <w:tab/>
      </w:r>
      <w:r w:rsidRPr="00F338A9">
        <w:t xml:space="preserve">SACOS Insurance Company, with whom the Government Vehicle GS 12611 was </w:t>
      </w:r>
      <w:r w:rsidR="002B5115">
        <w:tab/>
        <w:t xml:space="preserve">insured with a comprehensive </w:t>
      </w:r>
      <w:r w:rsidR="00323C56">
        <w:t>Insurance Policy, having C</w:t>
      </w:r>
      <w:r w:rsidRPr="00F338A9">
        <w:t xml:space="preserve">ertificate of </w:t>
      </w:r>
      <w:r w:rsidR="00323C56">
        <w:t>I</w:t>
      </w:r>
      <w:r w:rsidRPr="00F338A9">
        <w:t xml:space="preserve">nsurance </w:t>
      </w:r>
      <w:r w:rsidR="00B60BD9">
        <w:tab/>
      </w:r>
      <w:r w:rsidRPr="00F338A9">
        <w:t>No. 1254, Policy No. AMAMFLTOOOOO5 commencing form the 15</w:t>
      </w:r>
      <w:r w:rsidRPr="00F338A9">
        <w:rPr>
          <w:vertAlign w:val="superscript"/>
        </w:rPr>
        <w:t>th</w:t>
      </w:r>
      <w:r w:rsidRPr="00F338A9">
        <w:t xml:space="preserve"> July 2014 </w:t>
      </w:r>
      <w:r w:rsidR="00B60BD9">
        <w:tab/>
        <w:t xml:space="preserve">and </w:t>
      </w:r>
      <w:r w:rsidRPr="00F338A9">
        <w:t>expiring on the 14</w:t>
      </w:r>
      <w:r w:rsidRPr="00F338A9">
        <w:rPr>
          <w:vertAlign w:val="superscript"/>
        </w:rPr>
        <w:t>th</w:t>
      </w:r>
      <w:r w:rsidRPr="00F338A9">
        <w:t xml:space="preserve"> July 2015.</w:t>
      </w:r>
    </w:p>
    <w:p w:rsidR="002F7473" w:rsidRPr="00F338A9" w:rsidRDefault="002F7473" w:rsidP="004A69A8">
      <w:pPr>
        <w:pStyle w:val="JudgmentText"/>
      </w:pPr>
      <w:r w:rsidRPr="00F338A9">
        <w:t xml:space="preserve">Both Learned Counsels as above-referred filed written submissions on behalf of their respective Plaintiffs and </w:t>
      </w:r>
      <w:r w:rsidR="00E56C6B">
        <w:t>2</w:t>
      </w:r>
      <w:r w:rsidR="00E56C6B" w:rsidRPr="00E56C6B">
        <w:rPr>
          <w:vertAlign w:val="superscript"/>
        </w:rPr>
        <w:t>nd</w:t>
      </w:r>
      <w:r w:rsidR="00E56C6B">
        <w:t xml:space="preserve"> and 3</w:t>
      </w:r>
      <w:r w:rsidR="00E56C6B" w:rsidRPr="00E56C6B">
        <w:rPr>
          <w:vertAlign w:val="superscript"/>
        </w:rPr>
        <w:t>rd</w:t>
      </w:r>
      <w:r w:rsidR="00E56C6B">
        <w:t xml:space="preserve"> </w:t>
      </w:r>
      <w:r w:rsidR="00B60BD9">
        <w:t>Defendant</w:t>
      </w:r>
      <w:r w:rsidRPr="00F338A9">
        <w:t>s as to their legal stance vis-a-vis the points of law as raised and of which contents have been duly considered for the purpose of this Ruling.</w:t>
      </w:r>
    </w:p>
    <w:p w:rsidR="00721FF1" w:rsidRPr="00F338A9" w:rsidRDefault="00721FF1" w:rsidP="004A69A8">
      <w:pPr>
        <w:pStyle w:val="JudgmentText"/>
      </w:pPr>
      <w:r w:rsidRPr="00F338A9">
        <w:t xml:space="preserve">The relevant factual </w:t>
      </w:r>
      <w:r w:rsidR="002F7473" w:rsidRPr="00F338A9">
        <w:t xml:space="preserve">background of the Plaint and hence arising </w:t>
      </w:r>
      <w:r w:rsidR="002F7473" w:rsidRPr="00323C56">
        <w:rPr>
          <w:i/>
        </w:rPr>
        <w:t>Plea in limine litis</w:t>
      </w:r>
      <w:r w:rsidR="00B60BD9">
        <w:rPr>
          <w:i/>
        </w:rPr>
        <w:t xml:space="preserve"> </w:t>
      </w:r>
      <w:r w:rsidRPr="00F338A9">
        <w:t xml:space="preserve">is in essence </w:t>
      </w:r>
      <w:r w:rsidRPr="00F338A9">
        <w:rPr>
          <w:noProof/>
        </w:rPr>
        <w:t>as follows</w:t>
      </w:r>
      <w:r w:rsidRPr="00F338A9">
        <w:t>.</w:t>
      </w:r>
    </w:p>
    <w:p w:rsidR="002F7473" w:rsidRPr="00F338A9" w:rsidRDefault="005248A7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</w:t>
      </w:r>
      <w:r w:rsidR="002F7473" w:rsidRPr="00F338A9">
        <w:t>6</w:t>
      </w:r>
      <w:r w:rsidRPr="00F338A9">
        <w:t>]</w:t>
      </w:r>
      <w:r w:rsidRPr="00F338A9">
        <w:tab/>
      </w:r>
      <w:r w:rsidR="004B05AE" w:rsidRPr="00F338A9">
        <w:t xml:space="preserve">A brief history of the facts of the case giving rise to the </w:t>
      </w:r>
      <w:r w:rsidR="002F7473" w:rsidRPr="00F338A9">
        <w:t xml:space="preserve">Amended Plaint (“Plaint”) </w:t>
      </w:r>
      <w:r w:rsidR="004B05AE" w:rsidRPr="00F338A9">
        <w:t>as transpired on pleadings fi</w:t>
      </w:r>
      <w:r w:rsidR="002F7473" w:rsidRPr="00F338A9">
        <w:t>led thus far, reveals that the P</w:t>
      </w:r>
      <w:r w:rsidR="004B05AE" w:rsidRPr="00F338A9">
        <w:t>laint alleges that</w:t>
      </w:r>
      <w:r w:rsidR="002F7473" w:rsidRPr="00F338A9">
        <w:t xml:space="preserve"> the plaintiffs were at all material times the children and </w:t>
      </w:r>
      <w:r w:rsidR="00323C56" w:rsidRPr="00323C56">
        <w:rPr>
          <w:i/>
        </w:rPr>
        <w:t>“</w:t>
      </w:r>
      <w:r w:rsidR="00323C56">
        <w:rPr>
          <w:i/>
        </w:rPr>
        <w:t>ay</w:t>
      </w:r>
      <w:r w:rsidR="002F7473" w:rsidRPr="00323C56">
        <w:rPr>
          <w:i/>
        </w:rPr>
        <w:t>ant droits</w:t>
      </w:r>
      <w:r w:rsidR="00323C56" w:rsidRPr="00323C56">
        <w:rPr>
          <w:i/>
        </w:rPr>
        <w:t>”</w:t>
      </w:r>
      <w:r w:rsidR="00323C56">
        <w:t xml:space="preserve"> of the deceased </w:t>
      </w:r>
      <w:r w:rsidR="002F7473" w:rsidRPr="00F338A9">
        <w:t>who accidentally p</w:t>
      </w:r>
      <w:r w:rsidR="004C502B" w:rsidRPr="00F338A9">
        <w:t xml:space="preserve">assed </w:t>
      </w:r>
      <w:r w:rsidR="00323C56">
        <w:t>a</w:t>
      </w:r>
      <w:r w:rsidR="004C502B" w:rsidRPr="00F338A9">
        <w:t>way on the 30</w:t>
      </w:r>
      <w:r w:rsidR="004C502B" w:rsidRPr="00F338A9">
        <w:rPr>
          <w:vertAlign w:val="superscript"/>
        </w:rPr>
        <w:t>th</w:t>
      </w:r>
      <w:r w:rsidR="00B60BD9">
        <w:rPr>
          <w:vertAlign w:val="superscript"/>
        </w:rPr>
        <w:t xml:space="preserve"> </w:t>
      </w:r>
      <w:r w:rsidR="002F7473" w:rsidRPr="00F338A9">
        <w:t xml:space="preserve">October 2014 on the providence Highway. </w:t>
      </w:r>
    </w:p>
    <w:p w:rsidR="002F7473" w:rsidRPr="00F338A9" w:rsidRDefault="002F7473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[7]</w:t>
      </w:r>
      <w:r w:rsidRPr="00F338A9">
        <w:tab/>
        <w:t>It is further averred by the Plaintiffs that at the material time the 1</w:t>
      </w:r>
      <w:r w:rsidRPr="00F338A9">
        <w:rPr>
          <w:vertAlign w:val="superscript"/>
        </w:rPr>
        <w:t>st</w:t>
      </w:r>
      <w:r w:rsidR="00B60BD9">
        <w:t xml:space="preserve"> Defendant</w:t>
      </w:r>
      <w:r w:rsidR="00D32E06" w:rsidRPr="00F338A9">
        <w:t xml:space="preserve"> wa</w:t>
      </w:r>
      <w:r w:rsidRPr="00F338A9">
        <w:t>s</w:t>
      </w:r>
      <w:r w:rsidR="004C502B" w:rsidRPr="00F338A9">
        <w:t xml:space="preserve"> a</w:t>
      </w:r>
      <w:r w:rsidR="00E56C6B">
        <w:t xml:space="preserve"> mechanic employed by the 2</w:t>
      </w:r>
      <w:r w:rsidR="00E56C6B" w:rsidRPr="00E56C6B">
        <w:rPr>
          <w:vertAlign w:val="superscript"/>
        </w:rPr>
        <w:t>nd</w:t>
      </w:r>
      <w:r w:rsidR="00E56C6B">
        <w:t xml:space="preserve"> </w:t>
      </w:r>
      <w:r w:rsidR="00B60BD9">
        <w:t>Defendant</w:t>
      </w:r>
      <w:r w:rsidR="004C502B" w:rsidRPr="00F338A9">
        <w:t xml:space="preserve"> and th</w:t>
      </w:r>
      <w:r w:rsidR="00E56C6B">
        <w:t>e latter employed by the 3</w:t>
      </w:r>
      <w:r w:rsidR="00E56C6B" w:rsidRPr="00E56C6B">
        <w:rPr>
          <w:vertAlign w:val="superscript"/>
        </w:rPr>
        <w:t>rd</w:t>
      </w:r>
      <w:r w:rsidR="00B60BD9">
        <w:t xml:space="preserve"> Defendant</w:t>
      </w:r>
      <w:r w:rsidR="004C502B" w:rsidRPr="00F338A9">
        <w:t xml:space="preserve"> represented by the Attorney General’s Chambers.</w:t>
      </w:r>
    </w:p>
    <w:p w:rsidR="004C502B" w:rsidRPr="00F338A9" w:rsidRDefault="004C502B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[8</w:t>
      </w:r>
      <w:r w:rsidR="005248A7" w:rsidRPr="00F338A9">
        <w:t>]</w:t>
      </w:r>
      <w:r w:rsidR="005248A7" w:rsidRPr="00F338A9">
        <w:tab/>
      </w:r>
      <w:r w:rsidR="00FA1D82" w:rsidRPr="00F338A9">
        <w:t xml:space="preserve">In essence, Learned Counsel Mr. G. </w:t>
      </w:r>
      <w:r w:rsidR="00720EA9" w:rsidRPr="00F338A9">
        <w:t>T. Tha</w:t>
      </w:r>
      <w:r w:rsidR="00B60BD9">
        <w:t>t</w:t>
      </w:r>
      <w:r w:rsidR="00720EA9" w:rsidRPr="00F338A9">
        <w:t xml:space="preserve">chett </w:t>
      </w:r>
      <w:r w:rsidR="00FA1D82" w:rsidRPr="00F338A9">
        <w:t>submitted in support of the plea in limine litis</w:t>
      </w:r>
      <w:r w:rsidR="00B60BD9">
        <w:t xml:space="preserve"> </w:t>
      </w:r>
      <w:r w:rsidR="00720EA9" w:rsidRPr="00F338A9">
        <w:t xml:space="preserve">as </w:t>
      </w:r>
      <w:r w:rsidRPr="00F338A9">
        <w:t>raised at paragraph [3</w:t>
      </w:r>
      <w:r w:rsidR="00514CB6" w:rsidRPr="00F338A9">
        <w:t xml:space="preserve">] </w:t>
      </w:r>
      <w:r w:rsidRPr="00F338A9">
        <w:t xml:space="preserve">(i) (ii) and (iii) (supra) </w:t>
      </w:r>
      <w:r w:rsidR="004B05AE" w:rsidRPr="00F338A9">
        <w:t>of this R</w:t>
      </w:r>
      <w:r w:rsidR="00720EA9" w:rsidRPr="00F338A9">
        <w:t xml:space="preserve">uling </w:t>
      </w:r>
      <w:r w:rsidR="00E77C1F" w:rsidRPr="00F338A9">
        <w:t xml:space="preserve">on behalf of the </w:t>
      </w:r>
      <w:r w:rsidR="00E56C6B">
        <w:t>2</w:t>
      </w:r>
      <w:r w:rsidR="00E56C6B" w:rsidRPr="00E56C6B">
        <w:rPr>
          <w:vertAlign w:val="superscript"/>
        </w:rPr>
        <w:t>nd</w:t>
      </w:r>
      <w:r w:rsidR="00E56C6B">
        <w:t xml:space="preserve"> and 3</w:t>
      </w:r>
      <w:r w:rsidR="00E56C6B" w:rsidRPr="00E56C6B">
        <w:rPr>
          <w:vertAlign w:val="superscript"/>
        </w:rPr>
        <w:t>rd</w:t>
      </w:r>
      <w:r w:rsidR="00E56C6B">
        <w:t xml:space="preserve"> </w:t>
      </w:r>
      <w:r w:rsidR="00B60BD9">
        <w:t>Defendant</w:t>
      </w:r>
      <w:r w:rsidR="004B05AE" w:rsidRPr="00F338A9">
        <w:t>s</w:t>
      </w:r>
      <w:r w:rsidR="00B60BD9">
        <w:t xml:space="preserve"> </w:t>
      </w:r>
      <w:r w:rsidR="004B05AE" w:rsidRPr="00F338A9">
        <w:t>in a gist as follows.</w:t>
      </w:r>
    </w:p>
    <w:p w:rsidR="007641E5" w:rsidRPr="00F338A9" w:rsidRDefault="00E56C6B" w:rsidP="004A69A8">
      <w:pPr>
        <w:pStyle w:val="JudgmentText"/>
        <w:numPr>
          <w:ilvl w:val="0"/>
          <w:numId w:val="0"/>
        </w:numPr>
        <w:ind w:left="720" w:hanging="720"/>
      </w:pPr>
      <w:r>
        <w:t>[9]</w:t>
      </w:r>
      <w:r>
        <w:tab/>
        <w:t>That the 1</w:t>
      </w:r>
      <w:r w:rsidRPr="00E56C6B">
        <w:rPr>
          <w:vertAlign w:val="superscript"/>
        </w:rPr>
        <w:t>st</w:t>
      </w:r>
      <w:r>
        <w:t xml:space="preserve"> </w:t>
      </w:r>
      <w:r w:rsidR="00B60BD9">
        <w:t>Defendant</w:t>
      </w:r>
      <w:r w:rsidR="004C502B" w:rsidRPr="00F338A9">
        <w:t xml:space="preserve"> filed his de</w:t>
      </w:r>
      <w:r w:rsidR="007641E5" w:rsidRPr="00F338A9">
        <w:t>fence admitting the accident b</w:t>
      </w:r>
      <w:r w:rsidR="004C502B" w:rsidRPr="00F338A9">
        <w:t>ut denying liab</w:t>
      </w:r>
      <w:r>
        <w:t>ility. Further, that the 1</w:t>
      </w:r>
      <w:r w:rsidRPr="00E56C6B">
        <w:rPr>
          <w:vertAlign w:val="superscript"/>
        </w:rPr>
        <w:t>st</w:t>
      </w:r>
      <w:r>
        <w:t xml:space="preserve"> </w:t>
      </w:r>
      <w:r w:rsidR="00B60BD9">
        <w:t>Defendant</w:t>
      </w:r>
      <w:r w:rsidR="004C502B" w:rsidRPr="00F338A9">
        <w:t xml:space="preserve"> further contended that he was employed by the </w:t>
      </w:r>
      <w:r w:rsidR="007641E5" w:rsidRPr="00F338A9">
        <w:t>Government of Seychelle</w:t>
      </w:r>
      <w:r w:rsidR="004C502B" w:rsidRPr="00F338A9">
        <w:t>s and not by the 2</w:t>
      </w:r>
      <w:r w:rsidR="004C502B" w:rsidRPr="00F338A9">
        <w:rPr>
          <w:vertAlign w:val="superscript"/>
        </w:rPr>
        <w:t>nd</w:t>
      </w:r>
      <w:r w:rsidR="004C502B" w:rsidRPr="00F338A9">
        <w:t xml:space="preserve"> </w:t>
      </w:r>
      <w:r w:rsidR="00B60BD9">
        <w:t>Defendant</w:t>
      </w:r>
      <w:r w:rsidR="004C502B" w:rsidRPr="00F338A9">
        <w:t>.</w:t>
      </w:r>
    </w:p>
    <w:p w:rsidR="007641E5" w:rsidRPr="00F338A9" w:rsidRDefault="007641E5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lastRenderedPageBreak/>
        <w:t>[10]</w:t>
      </w:r>
      <w:r w:rsidRPr="00F338A9">
        <w:tab/>
        <w:t>That the 2</w:t>
      </w:r>
      <w:r w:rsidRPr="00F338A9">
        <w:rPr>
          <w:vertAlign w:val="superscript"/>
        </w:rPr>
        <w:t>nd</w:t>
      </w:r>
      <w:r w:rsidRPr="00F338A9">
        <w:t xml:space="preserve"> and 3</w:t>
      </w:r>
      <w:r w:rsidRPr="00F338A9">
        <w:rPr>
          <w:vertAlign w:val="superscript"/>
        </w:rPr>
        <w:t>rd</w:t>
      </w:r>
      <w:r w:rsidRPr="00F338A9">
        <w:t xml:space="preserve"> </w:t>
      </w:r>
      <w:r w:rsidR="00B60BD9">
        <w:t>Defendant</w:t>
      </w:r>
      <w:r w:rsidRPr="00F338A9">
        <w:t>s filed their defence admitting the accident by denying their liability towards alleged loss and damages as per above-mentioned objections (re: contents of paragraph 3] (supra).</w:t>
      </w:r>
    </w:p>
    <w:p w:rsidR="007641E5" w:rsidRPr="00F338A9" w:rsidRDefault="007641E5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[11]</w:t>
      </w:r>
      <w:r w:rsidRPr="00F338A9">
        <w:tab/>
        <w:t xml:space="preserve">As to the first objection, it is submitted that according to the </w:t>
      </w:r>
      <w:r w:rsidR="00323C56">
        <w:t>P</w:t>
      </w:r>
      <w:r w:rsidRPr="00F338A9">
        <w:t>laint the alleged accident occurred on the 30</w:t>
      </w:r>
      <w:r w:rsidRPr="00F338A9">
        <w:rPr>
          <w:vertAlign w:val="superscript"/>
        </w:rPr>
        <w:t>th</w:t>
      </w:r>
      <w:r w:rsidR="00323C56">
        <w:t xml:space="preserve"> October 2014 but the P</w:t>
      </w:r>
      <w:r w:rsidRPr="00F338A9">
        <w:t>laint is seen to be filed before the Registry of the Supreme Court on the 13</w:t>
      </w:r>
      <w:r w:rsidRPr="00F338A9">
        <w:rPr>
          <w:vertAlign w:val="superscript"/>
        </w:rPr>
        <w:t>th</w:t>
      </w:r>
      <w:r w:rsidRPr="00F338A9">
        <w:t xml:space="preserve"> January 2017 more than 26 months after the death of the deceased. </w:t>
      </w:r>
    </w:p>
    <w:p w:rsidR="007641E5" w:rsidRPr="00F338A9" w:rsidRDefault="007641E5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 w:rsidRPr="00F338A9">
        <w:t>[12</w:t>
      </w:r>
      <w:r w:rsidR="002B5115">
        <w:t>]</w:t>
      </w:r>
      <w:r w:rsidR="002B5115">
        <w:tab/>
        <w:t xml:space="preserve">That section 3 of POPA as it </w:t>
      </w:r>
      <w:r w:rsidRPr="00F338A9">
        <w:t xml:space="preserve">stood at the time at the date of the accident provided that </w:t>
      </w:r>
      <w:r w:rsidRPr="00F338A9">
        <w:rPr>
          <w:i/>
        </w:rPr>
        <w:t>“3.  No action to enforce any claim in respect of (a) any action to enforce any claim in respect of- (a) any act done or omitted to be done by a public officer in the execution of his office; (b) any act done or omitted to be done by nay person in the lawful performance of a public duty; or (c) ….. sh</w:t>
      </w:r>
      <w:r w:rsidR="00C96DA1" w:rsidRPr="00F338A9">
        <w:rPr>
          <w:i/>
        </w:rPr>
        <w:t>all be en</w:t>
      </w:r>
      <w:r w:rsidRPr="00F338A9">
        <w:rPr>
          <w:i/>
        </w:rPr>
        <w:t xml:space="preserve">tertained by a court unless the action is commenced not later than six months after the claim arose. </w:t>
      </w:r>
    </w:p>
    <w:p w:rsidR="007641E5" w:rsidRPr="00F338A9" w:rsidRDefault="007641E5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[13]</w:t>
      </w:r>
      <w:r w:rsidRPr="00F338A9">
        <w:tab/>
      </w:r>
      <w:r w:rsidR="00C96DA1" w:rsidRPr="00F338A9">
        <w:t xml:space="preserve">The Authorities of </w:t>
      </w:r>
      <w:r w:rsidR="00323C56">
        <w:t>(</w:t>
      </w:r>
      <w:r w:rsidR="00C96DA1" w:rsidRPr="00E56C6B">
        <w:rPr>
          <w:i/>
        </w:rPr>
        <w:t>Jenna Danielle Forte &amp; 5 others v/s The Commissioner of Police &amp; the Government of Seychelles (CS. No. 25/2015)</w:t>
      </w:r>
      <w:r w:rsidR="00B610A1" w:rsidRPr="00E56C6B">
        <w:rPr>
          <w:i/>
        </w:rPr>
        <w:t>)</w:t>
      </w:r>
      <w:r w:rsidR="00C96DA1" w:rsidRPr="00F338A9">
        <w:t xml:space="preserve"> is cited on the point in issue</w:t>
      </w:r>
      <w:r w:rsidR="00CB34E8" w:rsidRPr="00F338A9">
        <w:t xml:space="preserve"> in that the right of action accrues when the essential facts manifest themselves. That the death of the deceased occurred on the 30</w:t>
      </w:r>
      <w:r w:rsidR="00CB34E8" w:rsidRPr="00F338A9">
        <w:rPr>
          <w:vertAlign w:val="superscript"/>
        </w:rPr>
        <w:t>th</w:t>
      </w:r>
      <w:r w:rsidR="00CB34E8" w:rsidRPr="00F338A9">
        <w:t xml:space="preserve"> October 2014. That is the Plaintiffs were not having a cause of fault and resultant damages as on that date against the 2</w:t>
      </w:r>
      <w:r w:rsidR="00CB34E8" w:rsidRPr="00F338A9">
        <w:rPr>
          <w:vertAlign w:val="superscript"/>
        </w:rPr>
        <w:t>nd</w:t>
      </w:r>
      <w:r w:rsidR="00CB34E8" w:rsidRPr="00F338A9">
        <w:t xml:space="preserve"> an 3</w:t>
      </w:r>
      <w:r w:rsidR="00CB34E8" w:rsidRPr="00F338A9">
        <w:rPr>
          <w:vertAlign w:val="superscript"/>
        </w:rPr>
        <w:t>rd</w:t>
      </w:r>
      <w:r w:rsidR="00CB34E8" w:rsidRPr="00F338A9">
        <w:t xml:space="preserve"> </w:t>
      </w:r>
      <w:r w:rsidR="00B60BD9">
        <w:t>Defendant</w:t>
      </w:r>
      <w:r w:rsidR="00CB34E8" w:rsidRPr="00F338A9">
        <w:t>s, there cannot be any cause of action against them as on the 15</w:t>
      </w:r>
      <w:r w:rsidR="00CB34E8" w:rsidRPr="00F338A9">
        <w:rPr>
          <w:vertAlign w:val="superscript"/>
        </w:rPr>
        <w:t>th</w:t>
      </w:r>
      <w:r w:rsidR="00CB34E8" w:rsidRPr="00F338A9">
        <w:t xml:space="preserve"> September 2016 being the date of the plea of guilt</w:t>
      </w:r>
      <w:r w:rsidR="002B5115">
        <w:t>y</w:t>
      </w:r>
      <w:r w:rsidR="00CB34E8" w:rsidRPr="00F338A9">
        <w:t xml:space="preserve"> of the 1</w:t>
      </w:r>
      <w:r w:rsidR="00CB34E8" w:rsidRPr="00F338A9">
        <w:rPr>
          <w:vertAlign w:val="superscript"/>
        </w:rPr>
        <w:t>st</w:t>
      </w:r>
      <w:r w:rsidR="00B60BD9">
        <w:t>Defendant</w:t>
      </w:r>
      <w:r w:rsidR="00CB34E8" w:rsidRPr="00F338A9">
        <w:t xml:space="preserve">. </w:t>
      </w:r>
    </w:p>
    <w:p w:rsidR="00CB34E8" w:rsidRPr="00F338A9" w:rsidRDefault="00CB34E8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[14]</w:t>
      </w:r>
      <w:r w:rsidRPr="00F338A9">
        <w:tab/>
        <w:t>It is further submitted in that light, that the 2</w:t>
      </w:r>
      <w:r w:rsidRPr="00F338A9">
        <w:rPr>
          <w:vertAlign w:val="superscript"/>
        </w:rPr>
        <w:t>nd</w:t>
      </w:r>
      <w:r w:rsidRPr="00F338A9">
        <w:t xml:space="preserve"> and 3</w:t>
      </w:r>
      <w:r w:rsidRPr="00F338A9">
        <w:rPr>
          <w:vertAlign w:val="superscript"/>
        </w:rPr>
        <w:t>rd</w:t>
      </w:r>
      <w:r w:rsidR="00B610A1">
        <w:t xml:space="preserve"> </w:t>
      </w:r>
      <w:r w:rsidR="00B60BD9">
        <w:t>Defendant</w:t>
      </w:r>
      <w:r w:rsidRPr="00F338A9">
        <w:t>s are public offic</w:t>
      </w:r>
      <w:r w:rsidR="00B610A1">
        <w:t xml:space="preserve">ers and any action against the </w:t>
      </w:r>
      <w:r w:rsidR="00B60BD9">
        <w:t>Defendant</w:t>
      </w:r>
      <w:r w:rsidRPr="00F338A9">
        <w:t>s, has to be initiated within the statutory period of 6 months prescribed under section 3 of POPA.</w:t>
      </w:r>
      <w:r w:rsidR="00B60BD9">
        <w:t xml:space="preserve"> </w:t>
      </w:r>
      <w:r w:rsidRPr="00F338A9">
        <w:t>That in the instant case, the alleged accident occurred on</w:t>
      </w:r>
      <w:r w:rsidR="00B610A1">
        <w:t xml:space="preserve"> the 30</w:t>
      </w:r>
      <w:r w:rsidR="00B610A1" w:rsidRPr="00B610A1">
        <w:rPr>
          <w:vertAlign w:val="superscript"/>
        </w:rPr>
        <w:t>th</w:t>
      </w:r>
      <w:r w:rsidR="00B610A1">
        <w:t xml:space="preserve"> October 2014 and the P</w:t>
      </w:r>
      <w:r w:rsidRPr="00F338A9">
        <w:t>laint filed on the 13</w:t>
      </w:r>
      <w:r w:rsidRPr="00F338A9">
        <w:rPr>
          <w:vertAlign w:val="superscript"/>
        </w:rPr>
        <w:t>th</w:t>
      </w:r>
      <w:r w:rsidRPr="00F338A9">
        <w:t xml:space="preserve"> January 2017 namely more than 26 months after the death of the deceased.</w:t>
      </w:r>
    </w:p>
    <w:p w:rsidR="00CB34E8" w:rsidRPr="00F338A9" w:rsidRDefault="00CB34E8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[15]</w:t>
      </w:r>
      <w:r w:rsidRPr="00F338A9">
        <w:tab/>
        <w:t>It further emphasi</w:t>
      </w:r>
      <w:r w:rsidR="002B5115">
        <w:t>z</w:t>
      </w:r>
      <w:r w:rsidRPr="00F338A9">
        <w:t xml:space="preserve">ed by the </w:t>
      </w:r>
      <w:r w:rsidR="00E56C6B">
        <w:t>2</w:t>
      </w:r>
      <w:r w:rsidR="00E56C6B" w:rsidRPr="00E56C6B">
        <w:rPr>
          <w:vertAlign w:val="superscript"/>
        </w:rPr>
        <w:t>nd</w:t>
      </w:r>
      <w:r w:rsidR="00E56C6B">
        <w:t xml:space="preserve"> and 3</w:t>
      </w:r>
      <w:r w:rsidR="00E56C6B" w:rsidRPr="00E56C6B">
        <w:rPr>
          <w:vertAlign w:val="superscript"/>
        </w:rPr>
        <w:t>rd</w:t>
      </w:r>
      <w:r w:rsidR="00E56C6B">
        <w:t xml:space="preserve"> </w:t>
      </w:r>
      <w:r w:rsidR="00B60BD9">
        <w:t>Defendant</w:t>
      </w:r>
      <w:r w:rsidRPr="00F338A9">
        <w:t xml:space="preserve">s that Chapters IV </w:t>
      </w:r>
      <w:r w:rsidR="00B610A1">
        <w:t>of</w:t>
      </w:r>
      <w:r w:rsidRPr="00F338A9">
        <w:t xml:space="preserve"> Title XX of the C</w:t>
      </w:r>
      <w:r w:rsidR="002B5115">
        <w:t xml:space="preserve">ivil Code (“Code”) provides for the </w:t>
      </w:r>
      <w:r w:rsidRPr="00F338A9">
        <w:t xml:space="preserve">grounds upon which prescription is interrupted or suspended and the Plaintiffs’ case does not fall under any of the provisions of the relevant </w:t>
      </w:r>
      <w:r w:rsidRPr="00F338A9">
        <w:lastRenderedPageBreak/>
        <w:t>Articles of the Code</w:t>
      </w:r>
      <w:r w:rsidR="008D2D2C" w:rsidRPr="00F338A9">
        <w:t xml:space="preserve"> interrupting and or suspendi</w:t>
      </w:r>
      <w:r w:rsidR="002B5115">
        <w:t xml:space="preserve">ng </w:t>
      </w:r>
      <w:r w:rsidR="008D2D2C" w:rsidRPr="00F338A9">
        <w:t xml:space="preserve">prescription. That the </w:t>
      </w:r>
      <w:r w:rsidR="00B60BD9" w:rsidRPr="00F338A9">
        <w:t>plea</w:t>
      </w:r>
      <w:r w:rsidR="008D2D2C" w:rsidRPr="00F338A9">
        <w:t xml:space="preserve"> of guilt</w:t>
      </w:r>
      <w:r w:rsidR="00B610A1">
        <w:t>y</w:t>
      </w:r>
      <w:r w:rsidR="008D2D2C" w:rsidRPr="00F338A9">
        <w:t xml:space="preserve"> of the 1</w:t>
      </w:r>
      <w:r w:rsidR="008D2D2C"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="008D2D2C" w:rsidRPr="00F338A9">
        <w:t xml:space="preserve"> could not give rise to fresh cause of action as against the 2</w:t>
      </w:r>
      <w:r w:rsidR="008D2D2C" w:rsidRPr="00F338A9">
        <w:rPr>
          <w:vertAlign w:val="superscript"/>
        </w:rPr>
        <w:t>nd</w:t>
      </w:r>
      <w:r w:rsidR="008D2D2C" w:rsidRPr="00F338A9">
        <w:t xml:space="preserve"> and 3</w:t>
      </w:r>
      <w:r w:rsidR="008D2D2C" w:rsidRPr="00F338A9">
        <w:rPr>
          <w:vertAlign w:val="superscript"/>
        </w:rPr>
        <w:t>rd</w:t>
      </w:r>
      <w:r w:rsidR="00B610A1">
        <w:t xml:space="preserve"> </w:t>
      </w:r>
      <w:r w:rsidR="00B60BD9">
        <w:t>Defendant</w:t>
      </w:r>
      <w:r w:rsidR="008D2D2C" w:rsidRPr="00F338A9">
        <w:t>s.</w:t>
      </w:r>
    </w:p>
    <w:p w:rsidR="008D2D2C" w:rsidRPr="00F338A9" w:rsidRDefault="008D2D2C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[16]</w:t>
      </w:r>
      <w:r w:rsidRPr="00F338A9">
        <w:tab/>
        <w:t xml:space="preserve">With respect to the recent amendments of the POPA namely Act No. 2 of 2017 , it was argued by the </w:t>
      </w:r>
      <w:r w:rsidR="00E56C6B">
        <w:t>2</w:t>
      </w:r>
      <w:r w:rsidR="00E56C6B" w:rsidRPr="00E56C6B">
        <w:rPr>
          <w:vertAlign w:val="superscript"/>
        </w:rPr>
        <w:t>nd</w:t>
      </w:r>
      <w:r w:rsidR="00E56C6B">
        <w:t xml:space="preserve"> and 3</w:t>
      </w:r>
      <w:r w:rsidR="00E56C6B" w:rsidRPr="00E56C6B">
        <w:rPr>
          <w:vertAlign w:val="superscript"/>
        </w:rPr>
        <w:t>rd</w:t>
      </w:r>
      <w:r w:rsidR="00E56C6B">
        <w:t xml:space="preserve"> </w:t>
      </w:r>
      <w:r w:rsidR="00B60BD9">
        <w:t>Defendant</w:t>
      </w:r>
      <w:r w:rsidRPr="00F338A9">
        <w:t>s that it stands amended with effect from the 3</w:t>
      </w:r>
      <w:r w:rsidRPr="00F338A9">
        <w:rPr>
          <w:vertAlign w:val="superscript"/>
        </w:rPr>
        <w:t>rd</w:t>
      </w:r>
      <w:r w:rsidRPr="00F338A9">
        <w:t xml:space="preserve"> April 2017 in that the period of six months is substituted with five years. Copy of the Offic</w:t>
      </w:r>
      <w:r w:rsidR="002B5115">
        <w:t>i</w:t>
      </w:r>
      <w:r w:rsidRPr="00F338A9">
        <w:t xml:space="preserve">al Gazette attesting to same was enclosed as proof of publication status). In the same regards, the provisions of section 25 (2) of </w:t>
      </w:r>
      <w:r w:rsidR="002B5115">
        <w:t>the Interpretation and General P</w:t>
      </w:r>
      <w:r w:rsidRPr="00F338A9">
        <w:t xml:space="preserve">rovisions Act (“IGCPA”) was referred to in support of the contention that an Act comes into operation on the date on which it is published in the Gazette </w:t>
      </w:r>
      <w:r w:rsidR="00E56C6B">
        <w:rPr>
          <w:i/>
        </w:rPr>
        <w:t xml:space="preserve">"unless </w:t>
      </w:r>
      <w:r w:rsidRPr="00B610A1">
        <w:rPr>
          <w:i/>
        </w:rPr>
        <w:t xml:space="preserve">otherwise </w:t>
      </w:r>
      <w:r w:rsidR="00B610A1">
        <w:rPr>
          <w:i/>
        </w:rPr>
        <w:t xml:space="preserve">provided </w:t>
      </w:r>
      <w:r w:rsidRPr="00B610A1">
        <w:rPr>
          <w:i/>
        </w:rPr>
        <w:t xml:space="preserve">for in the Act itself” and that would imply to my mind retrospective effect </w:t>
      </w:r>
      <w:r w:rsidR="006230A0" w:rsidRPr="00B610A1">
        <w:rPr>
          <w:i/>
        </w:rPr>
        <w:t>of laws if any)</w:t>
      </w:r>
      <w:r w:rsidR="006230A0" w:rsidRPr="00F338A9">
        <w:t xml:space="preserve"> in line with the provisions of Article 2 of the Code. </w:t>
      </w:r>
    </w:p>
    <w:p w:rsidR="006230A0" w:rsidRPr="00F338A9" w:rsidRDefault="008D2D2C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[17]</w:t>
      </w:r>
      <w:r w:rsidRPr="00F338A9">
        <w:tab/>
      </w:r>
      <w:r w:rsidR="006230A0" w:rsidRPr="00F338A9">
        <w:t>It is thus submitted that the amend</w:t>
      </w:r>
      <w:r w:rsidR="002B5115">
        <w:t xml:space="preserve">ment </w:t>
      </w:r>
      <w:r w:rsidR="006230A0" w:rsidRPr="00F338A9">
        <w:t>to POPA has no relevancy to the current cause of action as filed on the 13</w:t>
      </w:r>
      <w:r w:rsidR="006230A0" w:rsidRPr="00F338A9">
        <w:rPr>
          <w:vertAlign w:val="superscript"/>
        </w:rPr>
        <w:t>th</w:t>
      </w:r>
      <w:r w:rsidR="006230A0" w:rsidRPr="00F338A9">
        <w:t xml:space="preserve"> Jan</w:t>
      </w:r>
      <w:r w:rsidR="002B5115">
        <w:t xml:space="preserve">uary 2017 prescribed </w:t>
      </w:r>
      <w:r w:rsidR="006230A0" w:rsidRPr="00F338A9">
        <w:t xml:space="preserve">as per the law on the date of the accident/cause of action arising namely six months therefrom. </w:t>
      </w:r>
    </w:p>
    <w:p w:rsidR="004F2059" w:rsidRPr="00F338A9" w:rsidRDefault="006230A0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[18]</w:t>
      </w:r>
      <w:r w:rsidRPr="00F338A9">
        <w:tab/>
        <w:t>With respect to the second plea in limine litis</w:t>
      </w:r>
      <w:r w:rsidR="002B5115">
        <w:t xml:space="preserve"> [paragraph 3 (ii) refers], it </w:t>
      </w:r>
      <w:r w:rsidRPr="00F338A9">
        <w:t xml:space="preserve">is submitted by the </w:t>
      </w:r>
      <w:r w:rsidR="00E56C6B">
        <w:t>2</w:t>
      </w:r>
      <w:r w:rsidR="00E56C6B" w:rsidRPr="00E56C6B">
        <w:rPr>
          <w:vertAlign w:val="superscript"/>
        </w:rPr>
        <w:t>nd</w:t>
      </w:r>
      <w:r w:rsidR="00E56C6B">
        <w:t xml:space="preserve"> and 3</w:t>
      </w:r>
      <w:r w:rsidR="00E56C6B" w:rsidRPr="00E56C6B">
        <w:rPr>
          <w:vertAlign w:val="superscript"/>
        </w:rPr>
        <w:t>rd</w:t>
      </w:r>
      <w:r w:rsidR="00E56C6B">
        <w:t xml:space="preserve"> </w:t>
      </w:r>
      <w:r w:rsidR="00B60BD9">
        <w:t>Defendant</w:t>
      </w:r>
      <w:r w:rsidRPr="00F338A9">
        <w:t>s that at the time of the accident the 1</w:t>
      </w:r>
      <w:r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Pr="00F338A9">
        <w:t xml:space="preserve"> was acting as a self-employed part time mechanic w</w:t>
      </w:r>
      <w:r w:rsidR="002B5115">
        <w:t>ith the Seychelles Police F</w:t>
      </w:r>
      <w:r w:rsidRPr="00F338A9">
        <w:t>orc</w:t>
      </w:r>
      <w:r w:rsidR="00B610A1">
        <w:t>e after his retirement for the P</w:t>
      </w:r>
      <w:r w:rsidRPr="00F338A9">
        <w:t xml:space="preserve">olice </w:t>
      </w:r>
      <w:r w:rsidR="00B610A1">
        <w:t>F</w:t>
      </w:r>
      <w:r w:rsidRPr="00F338A9">
        <w:t>orce and was not an employee of the 2</w:t>
      </w:r>
      <w:r w:rsidRPr="00F338A9">
        <w:rPr>
          <w:vertAlign w:val="superscript"/>
        </w:rPr>
        <w:t>nd</w:t>
      </w:r>
      <w:r w:rsidRPr="00F338A9">
        <w:t xml:space="preserve"> </w:t>
      </w:r>
      <w:r w:rsidR="00B60BD9">
        <w:t>Defendant</w:t>
      </w:r>
      <w:r w:rsidRPr="00F338A9">
        <w:t xml:space="preserve"> or 3</w:t>
      </w:r>
      <w:r w:rsidRPr="00F338A9">
        <w:rPr>
          <w:vertAlign w:val="superscript"/>
        </w:rPr>
        <w:t>rd</w:t>
      </w:r>
      <w:r w:rsidRPr="00F338A9">
        <w:t xml:space="preserve"> </w:t>
      </w:r>
      <w:r w:rsidR="00B60BD9">
        <w:t>Defendant</w:t>
      </w:r>
      <w:r w:rsidRPr="00F338A9">
        <w:t xml:space="preserve"> on the 30</w:t>
      </w:r>
      <w:r w:rsidRPr="00F338A9">
        <w:rPr>
          <w:vertAlign w:val="superscript"/>
        </w:rPr>
        <w:t>th</w:t>
      </w:r>
      <w:r w:rsidRPr="00F338A9">
        <w:t xml:space="preserve"> October 2014, the date of the accident. Furt</w:t>
      </w:r>
      <w:r w:rsidR="002B5115">
        <w:t>her, that the 1</w:t>
      </w:r>
      <w:r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Pr="00F338A9">
        <w:t xml:space="preserve"> pleaded guilty to </w:t>
      </w:r>
      <w:r w:rsidR="002B5115">
        <w:t>the offence of causing death by dan</w:t>
      </w:r>
      <w:r w:rsidRPr="00F338A9">
        <w:t>gero</w:t>
      </w:r>
      <w:r w:rsidR="002B5115">
        <w:t>us driving as referred hence ad</w:t>
      </w:r>
      <w:r w:rsidRPr="00F338A9">
        <w:t>mitting to have caused the death of the deceased by driving recklessly and at a speed in a manner which is dangerous to the pu</w:t>
      </w:r>
      <w:r w:rsidR="002B5115">
        <w:t xml:space="preserve">blic in GS 12611 on a road and </w:t>
      </w:r>
      <w:r w:rsidRPr="00F338A9">
        <w:t>crossing over to the opposite lane while going towards Victoria o</w:t>
      </w:r>
      <w:r w:rsidR="002B5115">
        <w:t>ver</w:t>
      </w:r>
      <w:r w:rsidR="00B610A1">
        <w:t>taking two</w:t>
      </w:r>
      <w:r w:rsidRPr="00F338A9">
        <w:t xml:space="preserve"> vehicles </w:t>
      </w:r>
      <w:r w:rsidR="00B60BD9" w:rsidRPr="00F338A9">
        <w:t>in front</w:t>
      </w:r>
      <w:r w:rsidRPr="00F338A9">
        <w:t xml:space="preserve"> of him. That further, prior to sentencing in mitigation it is revealed that the 1</w:t>
      </w:r>
      <w:r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Pr="00F338A9">
        <w:t xml:space="preserve"> is a pensioner who has no occupation hence submitting that there is no merit in the contention that the 1</w:t>
      </w:r>
      <w:r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Pr="00F338A9">
        <w:t xml:space="preserve"> who is past all possible employable age, that he was employed by the </w:t>
      </w:r>
      <w:r w:rsidR="00B610A1">
        <w:t>G</w:t>
      </w:r>
      <w:r w:rsidRPr="00F338A9">
        <w:t xml:space="preserve">overnment of Seychelles. </w:t>
      </w:r>
    </w:p>
    <w:p w:rsidR="004F2059" w:rsidRPr="00B610A1" w:rsidRDefault="004F2059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 w:rsidRPr="00F338A9">
        <w:lastRenderedPageBreak/>
        <w:t>[19]</w:t>
      </w:r>
      <w:r w:rsidRPr="00F338A9">
        <w:tab/>
        <w:t>It is further submitted in the alternative with respect to</w:t>
      </w:r>
      <w:r w:rsidR="002B5115">
        <w:t xml:space="preserve"> the </w:t>
      </w:r>
      <w:r w:rsidRPr="00F338A9">
        <w:t>second plea in limine litis that the 1</w:t>
      </w:r>
      <w:r w:rsidRPr="00F338A9">
        <w:rPr>
          <w:vertAlign w:val="superscript"/>
        </w:rPr>
        <w:t>st</w:t>
      </w:r>
      <w:r w:rsidR="00B60BD9">
        <w:t>Defendant</w:t>
      </w:r>
      <w:r w:rsidR="00F356BF">
        <w:t xml:space="preserve"> was </w:t>
      </w:r>
      <w:r w:rsidR="002B5115">
        <w:t>self-</w:t>
      </w:r>
      <w:r w:rsidRPr="00F338A9">
        <w:t xml:space="preserve">employed </w:t>
      </w:r>
      <w:r w:rsidR="00B610A1">
        <w:t xml:space="preserve">as </w:t>
      </w:r>
      <w:r w:rsidR="002B5115">
        <w:t xml:space="preserve">part-time </w:t>
      </w:r>
      <w:r w:rsidRPr="00F338A9">
        <w:t xml:space="preserve">mechanic </w:t>
      </w:r>
      <w:r w:rsidR="002B5115">
        <w:t>with the Seychelles P</w:t>
      </w:r>
      <w:r w:rsidRPr="00F338A9">
        <w:t xml:space="preserve">olice after his retirement </w:t>
      </w:r>
      <w:r w:rsidR="00B610A1">
        <w:t xml:space="preserve">and was not an employee of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</w:t>
      </w:r>
      <w:r w:rsidR="00F356BF">
        <w:t>and 3</w:t>
      </w:r>
      <w:r w:rsidR="00F356BF" w:rsidRPr="00F356BF">
        <w:rPr>
          <w:vertAlign w:val="superscript"/>
        </w:rPr>
        <w:t>rd</w:t>
      </w:r>
      <w:r w:rsidR="00F356BF">
        <w:t xml:space="preserve"> </w:t>
      </w:r>
      <w:r w:rsidR="00B60BD9">
        <w:t>Defendant</w:t>
      </w:r>
      <w:r w:rsidR="002B5115">
        <w:t xml:space="preserve">s </w:t>
      </w:r>
      <w:r w:rsidRPr="00F338A9">
        <w:t>and even if assuming that the 1</w:t>
      </w:r>
      <w:r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="002B5115">
        <w:t xml:space="preserve"> </w:t>
      </w:r>
      <w:r w:rsidRPr="00F338A9">
        <w:t>was under the</w:t>
      </w:r>
      <w:r w:rsidR="00B610A1">
        <w:t xml:space="preserve"> control or supervision of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</w:t>
      </w:r>
      <w:r w:rsidR="00F356BF">
        <w:t>and 3</w:t>
      </w:r>
      <w:r w:rsidR="00F356BF" w:rsidRPr="00F356BF">
        <w:rPr>
          <w:vertAlign w:val="superscript"/>
        </w:rPr>
        <w:t>rd</w:t>
      </w:r>
      <w:r w:rsidR="00F356BF">
        <w:t xml:space="preserve"> </w:t>
      </w:r>
      <w:r w:rsidR="00B60BD9">
        <w:t>Defendant</w:t>
      </w:r>
      <w:r w:rsidRPr="00F338A9">
        <w:t>s that at the time of the accident there was no v</w:t>
      </w:r>
      <w:r w:rsidR="002B5115">
        <w:t>i</w:t>
      </w:r>
      <w:r w:rsidR="00B610A1">
        <w:t xml:space="preserve">carious liability for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and 3</w:t>
      </w:r>
      <w:r w:rsidR="00576041" w:rsidRPr="00576041">
        <w:rPr>
          <w:vertAlign w:val="superscript"/>
        </w:rPr>
        <w:t>rd</w:t>
      </w:r>
      <w:r w:rsidR="00576041">
        <w:t xml:space="preserve"> </w:t>
      </w:r>
      <w:r w:rsidR="00B60BD9">
        <w:t>Defendant</w:t>
      </w:r>
      <w:r w:rsidRPr="00F338A9">
        <w:t>s due to the negligent, reckless and dangerous acts of the 1</w:t>
      </w:r>
      <w:r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="002B5115">
        <w:t xml:space="preserve"> hence relevancy of the </w:t>
      </w:r>
      <w:r w:rsidRPr="00F338A9">
        <w:t>provi</w:t>
      </w:r>
      <w:r w:rsidR="002B5115">
        <w:t xml:space="preserve">sions </w:t>
      </w:r>
      <w:r w:rsidRPr="00F338A9">
        <w:t>of Articles 1383 and 1384 (3). The former with respect to liabi</w:t>
      </w:r>
      <w:r w:rsidR="002B5115">
        <w:t xml:space="preserve">lity of every person for the </w:t>
      </w:r>
      <w:r w:rsidR="00B610A1" w:rsidRPr="00B610A1">
        <w:rPr>
          <w:i/>
        </w:rPr>
        <w:t>“</w:t>
      </w:r>
      <w:r w:rsidR="002B5115" w:rsidRPr="00B610A1">
        <w:rPr>
          <w:i/>
        </w:rPr>
        <w:t>dam</w:t>
      </w:r>
      <w:r w:rsidRPr="00B610A1">
        <w:rPr>
          <w:i/>
        </w:rPr>
        <w:t>age caused not mer</w:t>
      </w:r>
      <w:r w:rsidR="002B5115" w:rsidRPr="00B610A1">
        <w:rPr>
          <w:i/>
        </w:rPr>
        <w:t xml:space="preserve">ely by his act, but by his negligence </w:t>
      </w:r>
      <w:r w:rsidRPr="00B610A1">
        <w:rPr>
          <w:i/>
        </w:rPr>
        <w:t xml:space="preserve">and imprudence and that the driver of a motor vehicle which by reason of its </w:t>
      </w:r>
      <w:r w:rsidR="002B5115" w:rsidRPr="00B610A1">
        <w:rPr>
          <w:i/>
        </w:rPr>
        <w:t>operation, causes damage to pe</w:t>
      </w:r>
      <w:r w:rsidRPr="00B610A1">
        <w:rPr>
          <w:i/>
        </w:rPr>
        <w:t>rsons or property shall be presumed to be at fault and shall accordingly be liable excepted in instances of sole negligence of the injured party or the act of a third party or an act of god external to the operation or functioning of the vehicle..”</w:t>
      </w:r>
    </w:p>
    <w:p w:rsidR="00760DAB" w:rsidRPr="00F338A9" w:rsidRDefault="004F2059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[20]</w:t>
      </w:r>
      <w:r w:rsidRPr="00F338A9">
        <w:tab/>
        <w:t>It is submitted in respect of the facts of</w:t>
      </w:r>
      <w:r w:rsidR="002B5115">
        <w:t xml:space="preserve"> the case as revealed on the ple</w:t>
      </w:r>
      <w:r w:rsidRPr="00F338A9">
        <w:t>adings that the 1</w:t>
      </w:r>
      <w:r w:rsidRPr="00F338A9">
        <w:rPr>
          <w:vertAlign w:val="superscript"/>
        </w:rPr>
        <w:t>st</w:t>
      </w:r>
      <w:r w:rsidR="00B60BD9">
        <w:t>Defendant</w:t>
      </w:r>
      <w:r w:rsidRPr="00F338A9">
        <w:t xml:space="preserve"> is solely liable for his negligent acts as per the above-cited prov</w:t>
      </w:r>
      <w:r w:rsidR="00B610A1">
        <w:t xml:space="preserve">isions of the Code and not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and 3</w:t>
      </w:r>
      <w:r w:rsidR="00576041" w:rsidRPr="00576041">
        <w:rPr>
          <w:vertAlign w:val="superscript"/>
        </w:rPr>
        <w:t>rd</w:t>
      </w:r>
      <w:r w:rsidR="00576041">
        <w:t xml:space="preserve"> </w:t>
      </w:r>
      <w:r w:rsidR="00B60BD9">
        <w:t>Defendant</w:t>
      </w:r>
      <w:r w:rsidRPr="00F338A9">
        <w:t xml:space="preserve"> (on the assumption of their being </w:t>
      </w:r>
      <w:r w:rsidR="002B5115" w:rsidRPr="002B5115">
        <w:rPr>
          <w:i/>
        </w:rPr>
        <w:t>“</w:t>
      </w:r>
      <w:r w:rsidR="00576041">
        <w:t>preposé</w:t>
      </w:r>
      <w:r w:rsidR="00576041" w:rsidRPr="00F338A9">
        <w:t>s</w:t>
      </w:r>
      <w:r w:rsidR="002B5115" w:rsidRPr="002B5115">
        <w:rPr>
          <w:i/>
        </w:rPr>
        <w:t>”</w:t>
      </w:r>
      <w:r w:rsidRPr="00F338A9">
        <w:t>)</w:t>
      </w:r>
      <w:r w:rsidR="002B5115">
        <w:t xml:space="preserve"> hence the prayer for the P</w:t>
      </w:r>
      <w:r w:rsidR="00760DAB" w:rsidRPr="00F338A9">
        <w:t xml:space="preserve">laint to be struck out as against </w:t>
      </w:r>
      <w:r w:rsidR="002B5115">
        <w:t xml:space="preserve">the </w:t>
      </w:r>
      <w:r w:rsidR="00B60BD9">
        <w:t>Defendant</w:t>
      </w:r>
      <w:r w:rsidR="002B5115">
        <w:t>s under Section 92 of the Civil Procedure C</w:t>
      </w:r>
      <w:r w:rsidR="00760DAB" w:rsidRPr="00F338A9">
        <w:t xml:space="preserve">ode </w:t>
      </w:r>
      <w:r w:rsidR="00B610A1">
        <w:t xml:space="preserve">(Cap 213) </w:t>
      </w:r>
      <w:r w:rsidR="00760DAB" w:rsidRPr="00F338A9">
        <w:t xml:space="preserve">as the </w:t>
      </w:r>
      <w:r w:rsidR="002B5115">
        <w:t>P</w:t>
      </w:r>
      <w:r w:rsidR="00760DAB" w:rsidRPr="00F338A9">
        <w:t>laint does not disclose any reasonable cause of</w:t>
      </w:r>
      <w:r w:rsidR="00B60BD9">
        <w:t xml:space="preserve"> </w:t>
      </w:r>
      <w:r w:rsidR="00760DAB" w:rsidRPr="00F338A9">
        <w:t xml:space="preserve">action as against </w:t>
      </w:r>
      <w:r w:rsidR="002B5115">
        <w:t>t</w:t>
      </w:r>
      <w:r w:rsidR="00760DAB" w:rsidRPr="00F338A9">
        <w:t xml:space="preserve">he </w:t>
      </w:r>
      <w:r w:rsidR="00B60BD9">
        <w:t>Defendant</w:t>
      </w:r>
      <w:r w:rsidR="00760DAB" w:rsidRPr="00F338A9">
        <w:t>s ex</w:t>
      </w:r>
      <w:r w:rsidR="002B5115">
        <w:t>-facie the ple</w:t>
      </w:r>
      <w:r w:rsidR="00760DAB" w:rsidRPr="00F338A9">
        <w:t xml:space="preserve">adings. </w:t>
      </w:r>
    </w:p>
    <w:p w:rsidR="008D2D2C" w:rsidRPr="00F338A9" w:rsidRDefault="00760DAB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[21]</w:t>
      </w:r>
      <w:r w:rsidRPr="00F338A9">
        <w:tab/>
        <w:t xml:space="preserve">The last </w:t>
      </w:r>
      <w:r w:rsidRPr="00B610A1">
        <w:rPr>
          <w:i/>
        </w:rPr>
        <w:t>plea in lim</w:t>
      </w:r>
      <w:r w:rsidR="005C3BDD" w:rsidRPr="00B610A1">
        <w:rPr>
          <w:i/>
        </w:rPr>
        <w:t>i</w:t>
      </w:r>
      <w:r w:rsidRPr="00B610A1">
        <w:rPr>
          <w:i/>
        </w:rPr>
        <w:t>ne</w:t>
      </w:r>
      <w:r w:rsidR="00B60BD9">
        <w:rPr>
          <w:i/>
        </w:rPr>
        <w:t xml:space="preserve"> </w:t>
      </w:r>
      <w:r w:rsidR="00B610A1" w:rsidRPr="00B610A1">
        <w:rPr>
          <w:i/>
        </w:rPr>
        <w:t>litis</w:t>
      </w:r>
      <w:r w:rsidR="00B60BD9">
        <w:rPr>
          <w:i/>
        </w:rPr>
        <w:t xml:space="preserve"> </w:t>
      </w:r>
      <w:r w:rsidRPr="00F338A9">
        <w:t>refers to the non-</w:t>
      </w:r>
      <w:r w:rsidR="005C3BDD" w:rsidRPr="00F338A9">
        <w:t>joinder of the SACOS hence the P</w:t>
      </w:r>
      <w:r w:rsidRPr="00F338A9">
        <w:t>laint being bad in law on that basis in view of the existence of a Policy of Insurance as above refe</w:t>
      </w:r>
      <w:r w:rsidR="005C3BDD" w:rsidRPr="00F338A9">
        <w:t xml:space="preserve">rred </w:t>
      </w:r>
      <w:r w:rsidR="002B5115">
        <w:t>[paragrap</w:t>
      </w:r>
      <w:r w:rsidRPr="00F338A9">
        <w:t>h 3] (supra</w:t>
      </w:r>
      <w:r w:rsidR="00576041">
        <w:t>).</w:t>
      </w:r>
    </w:p>
    <w:p w:rsidR="00760DAB" w:rsidRPr="00B610A1" w:rsidRDefault="00760DAB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 w:rsidRPr="00F338A9">
        <w:t>[22</w:t>
      </w:r>
      <w:r w:rsidR="00FA1D82" w:rsidRPr="00F338A9">
        <w:t>]</w:t>
      </w:r>
      <w:r w:rsidR="00FA1D82" w:rsidRPr="00F338A9">
        <w:tab/>
      </w:r>
      <w:r w:rsidRPr="00F338A9">
        <w:t>It is to be noted at this juncture that the 1</w:t>
      </w:r>
      <w:r w:rsidRPr="00F338A9">
        <w:rPr>
          <w:vertAlign w:val="superscript"/>
        </w:rPr>
        <w:t>st</w:t>
      </w:r>
      <w:r w:rsidRPr="00F338A9">
        <w:t xml:space="preserve"> </w:t>
      </w:r>
      <w:r w:rsidR="00B60BD9">
        <w:t>Defendant</w:t>
      </w:r>
      <w:r w:rsidRPr="00F338A9">
        <w:t xml:space="preserve"> did not file any submissions to the </w:t>
      </w:r>
      <w:r w:rsidRPr="00B610A1">
        <w:rPr>
          <w:i/>
        </w:rPr>
        <w:t>plea in limine litis.</w:t>
      </w:r>
    </w:p>
    <w:p w:rsidR="00760DAB" w:rsidRPr="00F338A9" w:rsidRDefault="00760DAB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[23]</w:t>
      </w:r>
      <w:r w:rsidRPr="00F338A9">
        <w:tab/>
      </w:r>
      <w:r w:rsidR="005D68A3" w:rsidRPr="00F338A9">
        <w:t>The Plaintiffs o</w:t>
      </w:r>
      <w:r w:rsidRPr="00F338A9">
        <w:t>n their part vehemently objected to</w:t>
      </w:r>
      <w:r w:rsidR="005D68A3" w:rsidRPr="00F338A9">
        <w:t xml:space="preserve"> the </w:t>
      </w:r>
      <w:r w:rsidRPr="00B610A1">
        <w:rPr>
          <w:i/>
        </w:rPr>
        <w:t>plea in limine litis</w:t>
      </w:r>
      <w:r w:rsidRPr="00F338A9">
        <w:t xml:space="preserve"> as raised and submitted in essence that </w:t>
      </w:r>
      <w:r w:rsidR="005D68A3" w:rsidRPr="00F338A9">
        <w:t>the deceased death arose as a result of being hit by a p</w:t>
      </w:r>
      <w:r w:rsidR="003E2151">
        <w:t>olice vehicle owned by the 3</w:t>
      </w:r>
      <w:r w:rsidR="003E2151" w:rsidRPr="003E2151">
        <w:rPr>
          <w:vertAlign w:val="superscript"/>
        </w:rPr>
        <w:t>rd</w:t>
      </w:r>
      <w:r w:rsidR="003E2151">
        <w:t xml:space="preserve"> </w:t>
      </w:r>
      <w:r w:rsidR="00B60BD9">
        <w:t>Defendant</w:t>
      </w:r>
      <w:r w:rsidR="00576041">
        <w:t xml:space="preserve"> and that the 2</w:t>
      </w:r>
      <w:r w:rsidR="00576041" w:rsidRPr="00576041">
        <w:rPr>
          <w:vertAlign w:val="superscript"/>
        </w:rPr>
        <w:t>nd</w:t>
      </w:r>
      <w:r w:rsidR="00576041">
        <w:t xml:space="preserve"> </w:t>
      </w:r>
      <w:r w:rsidR="00B60BD9">
        <w:t>Defendant</w:t>
      </w:r>
      <w:r w:rsidR="005D68A3" w:rsidRPr="00F338A9">
        <w:t xml:space="preserve"> was the employer of the 1</w:t>
      </w:r>
      <w:r w:rsidR="005D68A3" w:rsidRPr="00F338A9">
        <w:rPr>
          <w:vertAlign w:val="superscript"/>
        </w:rPr>
        <w:t>st</w:t>
      </w:r>
      <w:r w:rsidR="00B610A1">
        <w:t xml:space="preserve"> </w:t>
      </w:r>
      <w:r w:rsidR="00B60BD9">
        <w:t>Defendant</w:t>
      </w:r>
      <w:r w:rsidR="005D68A3" w:rsidRPr="00F338A9">
        <w:t xml:space="preserve"> .</w:t>
      </w:r>
    </w:p>
    <w:p w:rsidR="005D68A3" w:rsidRPr="00F338A9" w:rsidRDefault="005D68A3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lastRenderedPageBreak/>
        <w:t>[24]</w:t>
      </w:r>
      <w:r w:rsidRPr="00F338A9">
        <w:tab/>
        <w:t>With reference to the POPA limitation period, Learned Counsel Mr. Gabriel submitted in a gist that the relevant POPA provision with respect to six months limitation applicable to suits agai</w:t>
      </w:r>
      <w:r w:rsidR="00DB3FAC" w:rsidRPr="00F338A9">
        <w:t>n</w:t>
      </w:r>
      <w:r w:rsidRPr="00F338A9">
        <w:t xml:space="preserve">st public officers have been amended in April 2017 (supra). The principle of </w:t>
      </w:r>
      <w:r w:rsidRPr="002B5115">
        <w:rPr>
          <w:i/>
        </w:rPr>
        <w:t>“La peine la plus douce”</w:t>
      </w:r>
      <w:r w:rsidRPr="00F338A9">
        <w:t xml:space="preserve"> applicable in criminal cases was according to th</w:t>
      </w:r>
      <w:r w:rsidR="00DB3FAC" w:rsidRPr="00F338A9">
        <w:t>e Learned Couns</w:t>
      </w:r>
      <w:r w:rsidRPr="00F338A9">
        <w:t>el to be applied similarly in civil</w:t>
      </w:r>
      <w:r w:rsidR="00DB3FAC" w:rsidRPr="00F338A9">
        <w:t xml:space="preserve"> cases in line with the Amendmen</w:t>
      </w:r>
      <w:r w:rsidRPr="00F338A9">
        <w:t xml:space="preserve">t hence retroactive effect in favour </w:t>
      </w:r>
      <w:r w:rsidR="00DF72BD" w:rsidRPr="00F338A9">
        <w:t xml:space="preserve">of the </w:t>
      </w:r>
      <w:r w:rsidRPr="00F338A9">
        <w:t>Plaintiffs.</w:t>
      </w:r>
    </w:p>
    <w:p w:rsidR="005D68A3" w:rsidRPr="00F338A9" w:rsidRDefault="005D68A3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[25]</w:t>
      </w:r>
      <w:r w:rsidRPr="00F338A9">
        <w:tab/>
      </w:r>
      <w:r w:rsidR="00DF72BD" w:rsidRPr="00F338A9">
        <w:t xml:space="preserve">In the alternative, it is submitted, that the first </w:t>
      </w:r>
      <w:r w:rsidR="00B60BD9">
        <w:t>Defendant</w:t>
      </w:r>
      <w:r w:rsidR="00DF72BD" w:rsidRPr="00F338A9">
        <w:t xml:space="preserve"> pleaded guilty to the charge on the 15</w:t>
      </w:r>
      <w:r w:rsidR="00DF72BD" w:rsidRPr="00F338A9">
        <w:rPr>
          <w:vertAlign w:val="superscript"/>
        </w:rPr>
        <w:t>th</w:t>
      </w:r>
      <w:r w:rsidR="00DF72BD" w:rsidRPr="00F338A9">
        <w:t xml:space="preserve"> September 2016 (supra) and that that as a result the cause of action would then start on this date and the six months limit would begin also on that date and would only end on the 15</w:t>
      </w:r>
      <w:r w:rsidR="00DF72BD" w:rsidRPr="00F338A9">
        <w:rPr>
          <w:vertAlign w:val="superscript"/>
        </w:rPr>
        <w:t>th</w:t>
      </w:r>
      <w:r w:rsidR="00DF72BD" w:rsidRPr="00F338A9">
        <w:t xml:space="preserve"> March 2017. </w:t>
      </w:r>
    </w:p>
    <w:p w:rsidR="00B610A1" w:rsidRPr="00B610A1" w:rsidRDefault="00DF72BD" w:rsidP="004A6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10A1">
        <w:rPr>
          <w:rFonts w:ascii="Times New Roman" w:hAnsi="Times New Roman" w:cs="Times New Roman"/>
          <w:sz w:val="24"/>
          <w:szCs w:val="24"/>
        </w:rPr>
        <w:t>[26]</w:t>
      </w:r>
      <w:r w:rsidRPr="00B610A1">
        <w:rPr>
          <w:rFonts w:ascii="Times New Roman" w:hAnsi="Times New Roman" w:cs="Times New Roman"/>
          <w:sz w:val="24"/>
          <w:szCs w:val="24"/>
        </w:rPr>
        <w:tab/>
      </w:r>
      <w:r w:rsidR="00322816" w:rsidRPr="00B610A1">
        <w:rPr>
          <w:rFonts w:ascii="Times New Roman" w:hAnsi="Times New Roman" w:cs="Times New Roman"/>
          <w:sz w:val="24"/>
          <w:szCs w:val="24"/>
        </w:rPr>
        <w:t xml:space="preserve">Having given a brief summary </w:t>
      </w:r>
      <w:r w:rsidR="0080556F" w:rsidRPr="00B610A1">
        <w:rPr>
          <w:rFonts w:ascii="Times New Roman" w:hAnsi="Times New Roman" w:cs="Times New Roman"/>
          <w:sz w:val="24"/>
          <w:szCs w:val="24"/>
        </w:rPr>
        <w:t>o</w:t>
      </w:r>
      <w:r w:rsidR="00DB3FAC" w:rsidRPr="00B610A1">
        <w:rPr>
          <w:rFonts w:ascii="Times New Roman" w:hAnsi="Times New Roman" w:cs="Times New Roman"/>
          <w:sz w:val="24"/>
          <w:szCs w:val="24"/>
        </w:rPr>
        <w:t>f facts and submissi</w:t>
      </w:r>
      <w:r w:rsidR="0080556F" w:rsidRPr="00B610A1">
        <w:rPr>
          <w:rFonts w:ascii="Times New Roman" w:hAnsi="Times New Roman" w:cs="Times New Roman"/>
          <w:sz w:val="24"/>
          <w:szCs w:val="24"/>
        </w:rPr>
        <w:t>ons</w:t>
      </w:r>
      <w:r w:rsidR="00322816" w:rsidRPr="00B610A1">
        <w:rPr>
          <w:rFonts w:ascii="Times New Roman" w:hAnsi="Times New Roman" w:cs="Times New Roman"/>
          <w:sz w:val="24"/>
          <w:szCs w:val="24"/>
        </w:rPr>
        <w:t xml:space="preserve"> leading to the </w:t>
      </w:r>
      <w:r w:rsidR="00DB3FAC" w:rsidRPr="00B610A1">
        <w:rPr>
          <w:rFonts w:ascii="Times New Roman" w:hAnsi="Times New Roman" w:cs="Times New Roman"/>
          <w:sz w:val="24"/>
          <w:szCs w:val="24"/>
        </w:rPr>
        <w:t xml:space="preserve">Plaint and current </w:t>
      </w:r>
    </w:p>
    <w:p w:rsidR="00322816" w:rsidRPr="00B610A1" w:rsidRDefault="002B5115" w:rsidP="004A6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10A1">
        <w:rPr>
          <w:rFonts w:ascii="Times New Roman" w:hAnsi="Times New Roman" w:cs="Times New Roman"/>
          <w:sz w:val="24"/>
          <w:szCs w:val="24"/>
        </w:rPr>
        <w:tab/>
      </w:r>
      <w:r w:rsidR="00DB3FAC" w:rsidRPr="00B610A1">
        <w:rPr>
          <w:rFonts w:ascii="Times New Roman" w:hAnsi="Times New Roman" w:cs="Times New Roman"/>
          <w:sz w:val="24"/>
          <w:szCs w:val="24"/>
        </w:rPr>
        <w:t xml:space="preserve">motion I </w:t>
      </w:r>
      <w:r w:rsidR="00322816" w:rsidRPr="00B610A1">
        <w:rPr>
          <w:rFonts w:ascii="Times New Roman" w:hAnsi="Times New Roman" w:cs="Times New Roman"/>
          <w:sz w:val="24"/>
          <w:szCs w:val="24"/>
        </w:rPr>
        <w:t xml:space="preserve">will </w:t>
      </w:r>
      <w:r w:rsidR="00322816" w:rsidRPr="00B610A1">
        <w:rPr>
          <w:rFonts w:ascii="Times New Roman" w:hAnsi="Times New Roman" w:cs="Times New Roman"/>
          <w:noProof/>
          <w:sz w:val="24"/>
          <w:szCs w:val="24"/>
        </w:rPr>
        <w:t>now move on</w:t>
      </w:r>
      <w:r w:rsidR="00322816" w:rsidRPr="00B610A1">
        <w:rPr>
          <w:rFonts w:ascii="Times New Roman" w:hAnsi="Times New Roman" w:cs="Times New Roman"/>
          <w:sz w:val="24"/>
          <w:szCs w:val="24"/>
        </w:rPr>
        <w:t xml:space="preserve"> to address the legal standard and its analysis thereto. </w:t>
      </w:r>
    </w:p>
    <w:p w:rsidR="00DB3FAC" w:rsidRPr="00B610A1" w:rsidRDefault="00DB3FAC" w:rsidP="004A6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16BD" w:rsidRPr="00F338A9" w:rsidRDefault="00DB3FAC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[27]</w:t>
      </w:r>
      <w:r w:rsidRPr="00F338A9">
        <w:tab/>
      </w:r>
      <w:r w:rsidR="005B7B62" w:rsidRPr="00F338A9">
        <w:t xml:space="preserve">Now, </w:t>
      </w:r>
      <w:r w:rsidR="00D50CB6" w:rsidRPr="00F338A9">
        <w:t xml:space="preserve">this Court notes </w:t>
      </w:r>
      <w:r w:rsidRPr="00F338A9">
        <w:t xml:space="preserve">foremost </w:t>
      </w:r>
      <w:r w:rsidR="00D50CB6" w:rsidRPr="00F338A9">
        <w:t xml:space="preserve">that </w:t>
      </w:r>
      <w:r w:rsidRPr="00F338A9">
        <w:t xml:space="preserve">the </w:t>
      </w:r>
      <w:r w:rsidR="00D50CB6" w:rsidRPr="00F338A9">
        <w:t xml:space="preserve">points of law raised by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and 3</w:t>
      </w:r>
      <w:r w:rsidR="00576041" w:rsidRPr="00576041">
        <w:rPr>
          <w:vertAlign w:val="superscript"/>
        </w:rPr>
        <w:t>rd</w:t>
      </w:r>
      <w:r w:rsidR="00576041">
        <w:t xml:space="preserve"> </w:t>
      </w:r>
      <w:r w:rsidR="00B60BD9">
        <w:t>Defendant</w:t>
      </w:r>
      <w:r w:rsidR="00D50CB6" w:rsidRPr="00F338A9">
        <w:t>s</w:t>
      </w:r>
      <w:r w:rsidR="00CC4199" w:rsidRPr="00F338A9">
        <w:t xml:space="preserve"> are threefold </w:t>
      </w:r>
      <w:r w:rsidRPr="00F338A9">
        <w:t xml:space="preserve">[paragraph 3] refers (supra), </w:t>
      </w:r>
      <w:r w:rsidR="00CC4199" w:rsidRPr="00F338A9">
        <w:t>and each</w:t>
      </w:r>
      <w:r w:rsidR="00D50CB6" w:rsidRPr="00F338A9">
        <w:t xml:space="preserve"> stands on their own and should any one of them be upheld then the whole case will be disposed of</w:t>
      </w:r>
      <w:r w:rsidR="00CC1101" w:rsidRPr="00F338A9">
        <w:t xml:space="preserve"> hence the redundancy</w:t>
      </w:r>
      <w:r w:rsidR="00CC4199" w:rsidRPr="00F338A9">
        <w:t xml:space="preserve"> of the other remaining grounds as a result.</w:t>
      </w:r>
    </w:p>
    <w:p w:rsidR="00FD16BD" w:rsidRPr="00F338A9" w:rsidRDefault="00DB3FAC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[28</w:t>
      </w:r>
      <w:r w:rsidR="00FD16BD" w:rsidRPr="00F338A9">
        <w:t>]</w:t>
      </w:r>
      <w:r w:rsidR="00FD16BD" w:rsidRPr="00F338A9">
        <w:tab/>
      </w:r>
      <w:r w:rsidRPr="00F338A9">
        <w:t>For the purpose of this Ruling</w:t>
      </w:r>
      <w:r w:rsidR="00B610A1">
        <w:t>,</w:t>
      </w:r>
      <w:r w:rsidRPr="00F338A9">
        <w:t xml:space="preserve"> I shall however, treat the first and the second points of law as raised together since they are interrelated in terms of the </w:t>
      </w:r>
      <w:r w:rsidRPr="00B610A1">
        <w:rPr>
          <w:i/>
        </w:rPr>
        <w:t>“alleged respo</w:t>
      </w:r>
      <w:r w:rsidR="00B610A1">
        <w:rPr>
          <w:i/>
        </w:rPr>
        <w:t xml:space="preserve">nsibility and liability of the </w:t>
      </w:r>
      <w:r w:rsidR="00B60BD9">
        <w:rPr>
          <w:i/>
        </w:rPr>
        <w:t>Defendant</w:t>
      </w:r>
      <w:r w:rsidRPr="00B610A1">
        <w:rPr>
          <w:i/>
        </w:rPr>
        <w:t>s”</w:t>
      </w:r>
      <w:r w:rsidRPr="00F338A9">
        <w:t>. I will treat the two points of law (consolidated) in line with the objection that the P</w:t>
      </w:r>
      <w:r w:rsidR="00FD16BD" w:rsidRPr="00F338A9">
        <w:t xml:space="preserve">laint is prescribed under </w:t>
      </w:r>
      <w:r w:rsidR="00CC1101" w:rsidRPr="00F338A9">
        <w:t>S</w:t>
      </w:r>
      <w:r w:rsidR="00FD16BD" w:rsidRPr="00F338A9">
        <w:t xml:space="preserve">ection 3 of the </w:t>
      </w:r>
      <w:r w:rsidRPr="00F338A9">
        <w:t>POPA</w:t>
      </w:r>
      <w:r w:rsidR="00FD16BD" w:rsidRPr="00F338A9">
        <w:t>.</w:t>
      </w:r>
    </w:p>
    <w:p w:rsidR="00FD16BD" w:rsidRPr="00F338A9" w:rsidRDefault="00DB3FAC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[29</w:t>
      </w:r>
      <w:r w:rsidR="00FD16BD" w:rsidRPr="00F338A9">
        <w:t>]</w:t>
      </w:r>
      <w:r w:rsidR="00FD16BD" w:rsidRPr="00F338A9">
        <w:tab/>
        <w:t xml:space="preserve">The provisions of </w:t>
      </w:r>
      <w:r w:rsidR="00CC1101" w:rsidRPr="00F338A9">
        <w:t>S</w:t>
      </w:r>
      <w:r w:rsidR="00FD16BD" w:rsidRPr="00F338A9">
        <w:t xml:space="preserve">ection 3 of the </w:t>
      </w:r>
      <w:r w:rsidRPr="00F338A9">
        <w:t>POPA as at the time of the filing of the Plaint</w:t>
      </w:r>
      <w:r w:rsidR="00FD16BD" w:rsidRPr="00F338A9">
        <w:t xml:space="preserve"> provides thus:</w:t>
      </w:r>
    </w:p>
    <w:p w:rsidR="00FD16BD" w:rsidRPr="00F338A9" w:rsidRDefault="00FD16BD" w:rsidP="004A69A8">
      <w:pPr>
        <w:pStyle w:val="JudgmentText"/>
        <w:numPr>
          <w:ilvl w:val="0"/>
          <w:numId w:val="0"/>
        </w:numPr>
        <w:ind w:left="720"/>
        <w:rPr>
          <w:i/>
        </w:rPr>
      </w:pPr>
      <w:r w:rsidRPr="00F338A9">
        <w:rPr>
          <w:i/>
        </w:rPr>
        <w:t>“3.</w:t>
      </w:r>
      <w:r w:rsidRPr="00F338A9">
        <w:rPr>
          <w:i/>
        </w:rPr>
        <w:tab/>
        <w:t>No action to enforce any claim in respect of-</w:t>
      </w:r>
    </w:p>
    <w:p w:rsidR="00FD16BD" w:rsidRPr="00F338A9" w:rsidRDefault="00DB3FAC" w:rsidP="004A69A8">
      <w:pPr>
        <w:pStyle w:val="JudgmentText"/>
        <w:numPr>
          <w:ilvl w:val="0"/>
          <w:numId w:val="9"/>
        </w:numPr>
        <w:rPr>
          <w:i/>
        </w:rPr>
      </w:pPr>
      <w:r w:rsidRPr="00F338A9">
        <w:rPr>
          <w:i/>
        </w:rPr>
        <w:t>Any ac</w:t>
      </w:r>
      <w:r w:rsidR="00FD16BD" w:rsidRPr="00F338A9">
        <w:rPr>
          <w:i/>
        </w:rPr>
        <w:t>t done or omitted to be done by a public officer in the execution of his office;</w:t>
      </w:r>
    </w:p>
    <w:p w:rsidR="00FD16BD" w:rsidRPr="00F338A9" w:rsidRDefault="00FD16BD" w:rsidP="004A69A8">
      <w:pPr>
        <w:pStyle w:val="JudgmentText"/>
        <w:numPr>
          <w:ilvl w:val="0"/>
          <w:numId w:val="9"/>
        </w:numPr>
        <w:rPr>
          <w:i/>
        </w:rPr>
      </w:pPr>
      <w:r w:rsidRPr="00F338A9">
        <w:rPr>
          <w:i/>
        </w:rPr>
        <w:t xml:space="preserve">Any act </w:t>
      </w:r>
      <w:r w:rsidR="00CC1101" w:rsidRPr="00F338A9">
        <w:rPr>
          <w:i/>
        </w:rPr>
        <w:t>done or omitted to be done by an</w:t>
      </w:r>
      <w:r w:rsidRPr="00F338A9">
        <w:rPr>
          <w:i/>
        </w:rPr>
        <w:t>y person in the lawful performance of a public duty; …</w:t>
      </w:r>
    </w:p>
    <w:p w:rsidR="00DB3FAC" w:rsidRPr="00F338A9" w:rsidRDefault="00FD16BD" w:rsidP="004A69A8">
      <w:pPr>
        <w:pStyle w:val="JudgmentText"/>
        <w:numPr>
          <w:ilvl w:val="0"/>
          <w:numId w:val="0"/>
        </w:numPr>
        <w:ind w:left="1440"/>
        <w:rPr>
          <w:i/>
        </w:rPr>
      </w:pPr>
      <w:r w:rsidRPr="00F338A9">
        <w:rPr>
          <w:i/>
        </w:rPr>
        <w:lastRenderedPageBreak/>
        <w:t>Shall be entertained by a court unless the action is commences not later than si</w:t>
      </w:r>
      <w:r w:rsidR="00DB3FAC" w:rsidRPr="00F338A9">
        <w:rPr>
          <w:i/>
        </w:rPr>
        <w:t>x months after the claim arose.”</w:t>
      </w:r>
    </w:p>
    <w:p w:rsidR="00DB3FAC" w:rsidRPr="002E4B52" w:rsidRDefault="00DB3FAC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 w:rsidRPr="00F338A9">
        <w:t>[30</w:t>
      </w:r>
      <w:r w:rsidR="00FD16BD" w:rsidRPr="00F338A9">
        <w:t>]</w:t>
      </w:r>
      <w:r w:rsidR="00FD16BD" w:rsidRPr="00F338A9">
        <w:tab/>
      </w:r>
      <w:r w:rsidRPr="00F338A9">
        <w:t xml:space="preserve">The provisions of the POPA after amendment by Act No. 2 of 2017 and </w:t>
      </w:r>
      <w:r w:rsidRPr="002E4B52">
        <w:rPr>
          <w:i/>
        </w:rPr>
        <w:t xml:space="preserve">assented </w:t>
      </w:r>
      <w:r w:rsidR="00773E47" w:rsidRPr="002E4B52">
        <w:rPr>
          <w:i/>
        </w:rPr>
        <w:t xml:space="preserve">to by the President </w:t>
      </w:r>
      <w:r w:rsidRPr="002E4B52">
        <w:rPr>
          <w:i/>
        </w:rPr>
        <w:t>on the 22</w:t>
      </w:r>
      <w:r w:rsidRPr="002E4B52">
        <w:rPr>
          <w:i/>
          <w:vertAlign w:val="superscript"/>
        </w:rPr>
        <w:t>nd</w:t>
      </w:r>
      <w:r w:rsidRPr="002E4B52">
        <w:rPr>
          <w:i/>
        </w:rPr>
        <w:t xml:space="preserve"> day of March 2017 and published in the Official Gazette on the </w:t>
      </w:r>
      <w:r w:rsidR="00773E47" w:rsidRPr="002E4B52">
        <w:rPr>
          <w:i/>
        </w:rPr>
        <w:t>3</w:t>
      </w:r>
      <w:r w:rsidR="00773E47" w:rsidRPr="002E4B52">
        <w:rPr>
          <w:i/>
          <w:vertAlign w:val="superscript"/>
        </w:rPr>
        <w:t>rd</w:t>
      </w:r>
      <w:r w:rsidR="00773E47" w:rsidRPr="002E4B52">
        <w:rPr>
          <w:i/>
        </w:rPr>
        <w:t xml:space="preserve"> April 2017.</w:t>
      </w:r>
    </w:p>
    <w:p w:rsidR="00773E47" w:rsidRPr="00F338A9" w:rsidRDefault="00773E47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[31]</w:t>
      </w:r>
      <w:r w:rsidRPr="00F338A9">
        <w:tab/>
        <w:t xml:space="preserve">As rightly pointed out by Learned Counsel for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and 3</w:t>
      </w:r>
      <w:r w:rsidR="00576041" w:rsidRPr="00576041">
        <w:rPr>
          <w:vertAlign w:val="superscript"/>
        </w:rPr>
        <w:t>rd</w:t>
      </w:r>
      <w:r w:rsidR="00576041">
        <w:t xml:space="preserve"> </w:t>
      </w:r>
      <w:r w:rsidR="00B60BD9">
        <w:t>Defendant</w:t>
      </w:r>
      <w:r w:rsidRPr="00F338A9">
        <w:t xml:space="preserve">s in this matter, our </w:t>
      </w:r>
      <w:r w:rsidR="0097460D" w:rsidRPr="00F338A9">
        <w:t>case law is very rich</w:t>
      </w:r>
      <w:r w:rsidRPr="00F338A9">
        <w:t xml:space="preserve"> and clear</w:t>
      </w:r>
      <w:r w:rsidR="0097460D" w:rsidRPr="00F338A9">
        <w:t xml:space="preserve"> in terms of precedents on the subject matter</w:t>
      </w:r>
      <w:r w:rsidRPr="00F338A9">
        <w:t xml:space="preserve"> namely, the “locus standi” under section 3 thereof </w:t>
      </w:r>
      <w:r w:rsidR="0097460D" w:rsidRPr="00F338A9">
        <w:t xml:space="preserve">and the most salient case law </w:t>
      </w:r>
      <w:r w:rsidRPr="00F338A9">
        <w:t xml:space="preserve">has been duly cited in the matter of </w:t>
      </w:r>
      <w:r w:rsidR="002E4B52" w:rsidRPr="002E4B52">
        <w:rPr>
          <w:i/>
        </w:rPr>
        <w:t>(</w:t>
      </w:r>
      <w:r w:rsidRPr="002E4B52">
        <w:rPr>
          <w:i/>
        </w:rPr>
        <w:t>Jenna Danielle Forte &amp; 5 Others v/s the Commissioner o Police &amp; Government of Seychelles C.S. No. 25/2015).</w:t>
      </w:r>
    </w:p>
    <w:p w:rsidR="00773E47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[32</w:t>
      </w:r>
      <w:r w:rsidR="0097460D" w:rsidRPr="00F338A9">
        <w:t>]</w:t>
      </w:r>
      <w:r w:rsidR="0097460D" w:rsidRPr="00F338A9">
        <w:tab/>
      </w:r>
      <w:r w:rsidR="00773E47" w:rsidRPr="00F338A9">
        <w:t xml:space="preserve">Without having to recite the </w:t>
      </w:r>
      <w:r w:rsidR="00773E47" w:rsidRPr="00B610A1">
        <w:rPr>
          <w:i/>
        </w:rPr>
        <w:t>ratio decidendi</w:t>
      </w:r>
      <w:r w:rsidR="00773E47" w:rsidRPr="00F338A9">
        <w:t xml:space="preserve"> in the Jenna Daniel Forte case which reflects the current legal position of our Courts on the subject matter, suffice to state that </w:t>
      </w:r>
      <w:r w:rsidR="009D5679" w:rsidRPr="00F338A9">
        <w:t xml:space="preserve">albeit it is a question of evidence to determine whether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and 3</w:t>
      </w:r>
      <w:r w:rsidR="00576041" w:rsidRPr="00576041">
        <w:rPr>
          <w:vertAlign w:val="superscript"/>
        </w:rPr>
        <w:t>rd</w:t>
      </w:r>
      <w:r w:rsidR="00576041">
        <w:t xml:space="preserve"> </w:t>
      </w:r>
      <w:r w:rsidR="00B60BD9">
        <w:t>Defendant</w:t>
      </w:r>
      <w:r w:rsidR="009D5679" w:rsidRPr="00F338A9">
        <w:t>s were employers of the 1</w:t>
      </w:r>
      <w:r w:rsidR="009D5679" w:rsidRPr="00F338A9">
        <w:rPr>
          <w:vertAlign w:val="superscript"/>
        </w:rPr>
        <w:t>st</w:t>
      </w:r>
      <w:r w:rsidR="009D5679" w:rsidRPr="00F338A9">
        <w:t xml:space="preserve"> </w:t>
      </w:r>
      <w:r w:rsidR="00B60BD9">
        <w:t>Defendant</w:t>
      </w:r>
      <w:r w:rsidR="009D5679" w:rsidRPr="00F338A9">
        <w:t xml:space="preserve"> at the time of the accident causing the death of the deceased, the fact remains that the Plaint as filed cites the </w:t>
      </w:r>
      <w:r w:rsidR="00576041">
        <w:t>2</w:t>
      </w:r>
      <w:r w:rsidR="00576041" w:rsidRPr="00576041">
        <w:rPr>
          <w:vertAlign w:val="superscript"/>
        </w:rPr>
        <w:t>nd</w:t>
      </w:r>
      <w:r w:rsidR="00576041">
        <w:t xml:space="preserve"> and 3</w:t>
      </w:r>
      <w:r w:rsidR="00576041" w:rsidRPr="00576041">
        <w:rPr>
          <w:vertAlign w:val="superscript"/>
        </w:rPr>
        <w:t>rd</w:t>
      </w:r>
      <w:r w:rsidR="00576041">
        <w:t xml:space="preserve"> </w:t>
      </w:r>
      <w:r w:rsidR="00B60BD9">
        <w:t>Defendant</w:t>
      </w:r>
      <w:r w:rsidR="009D5679" w:rsidRPr="00F338A9">
        <w:t xml:space="preserve">s as </w:t>
      </w:r>
      <w:r w:rsidR="00B60BD9">
        <w:t>Defendant</w:t>
      </w:r>
      <w:r w:rsidR="009D5679" w:rsidRPr="00F338A9">
        <w:t xml:space="preserve">s and employers hence arising the </w:t>
      </w:r>
      <w:r w:rsidR="009D5679" w:rsidRPr="00B610A1">
        <w:rPr>
          <w:i/>
        </w:rPr>
        <w:t>plea in limine litis</w:t>
      </w:r>
      <w:r w:rsidR="009D5679" w:rsidRPr="00F338A9">
        <w:t xml:space="preserve"> as to the section 3 of POPA thus point to be determined as a preliminary issue rather than after hearing of the merits of the case. </w:t>
      </w:r>
    </w:p>
    <w:p w:rsidR="009D5679" w:rsidRPr="002E4B52" w:rsidRDefault="002E4B52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t>[33</w:t>
      </w:r>
      <w:r w:rsidR="009D5679" w:rsidRPr="00F338A9">
        <w:t>]</w:t>
      </w:r>
      <w:r w:rsidR="009D5679" w:rsidRPr="00F338A9">
        <w:tab/>
        <w:t xml:space="preserve">As clearly cited ruled in the case of </w:t>
      </w:r>
      <w:r w:rsidRPr="002E4B52">
        <w:rPr>
          <w:i/>
        </w:rPr>
        <w:t>(</w:t>
      </w:r>
      <w:r w:rsidR="009D5679" w:rsidRPr="002E4B52">
        <w:rPr>
          <w:i/>
        </w:rPr>
        <w:t>Joseph Labrosse v/s Seraphin Allisop and</w:t>
      </w:r>
      <w:r w:rsidRPr="002E4B52">
        <w:rPr>
          <w:i/>
        </w:rPr>
        <w:t xml:space="preserve"> Government </w:t>
      </w:r>
      <w:r w:rsidRPr="002E4B52">
        <w:t xml:space="preserve">of Seychelles </w:t>
      </w:r>
      <w:r w:rsidRPr="002E4B52">
        <w:rPr>
          <w:i/>
        </w:rPr>
        <w:t>(CS. No. 285 of</w:t>
      </w:r>
      <w:r w:rsidR="009D5679" w:rsidRPr="002E4B52">
        <w:rPr>
          <w:i/>
        </w:rPr>
        <w:t xml:space="preserve"> 1996)</w:t>
      </w:r>
      <w:r w:rsidR="009D5679" w:rsidRPr="002E4B52">
        <w:t xml:space="preserve">, wherein the Supreme Court quoted the case of </w:t>
      </w:r>
      <w:r w:rsidRPr="002E4B52">
        <w:t>(Gemma Contoret v/s Government of Seychelles, SHDC &amp; Another (C</w:t>
      </w:r>
      <w:r w:rsidR="009D5679" w:rsidRPr="002E4B52">
        <w:t>S</w:t>
      </w:r>
      <w:r w:rsidR="004A69A8">
        <w:t xml:space="preserve"> </w:t>
      </w:r>
      <w:r w:rsidR="009D5679" w:rsidRPr="002E4B52">
        <w:t>No. 101 of 1992</w:t>
      </w:r>
      <w:r w:rsidRPr="002E4B52">
        <w:t>)</w:t>
      </w:r>
      <w:r w:rsidR="009D5679" w:rsidRPr="00F338A9">
        <w:t xml:space="preserve">, </w:t>
      </w:r>
      <w:r w:rsidR="009D5679" w:rsidRPr="002E4B52">
        <w:rPr>
          <w:i/>
        </w:rPr>
        <w:t>“the Governmen</w:t>
      </w:r>
      <w:r w:rsidRPr="002E4B52">
        <w:rPr>
          <w:i/>
        </w:rPr>
        <w:t>t exercises its executive functi</w:t>
      </w:r>
      <w:r w:rsidR="009D5679" w:rsidRPr="002E4B52">
        <w:rPr>
          <w:i/>
        </w:rPr>
        <w:t>ons through its Ministers and public officers. It is therefore clear that this section limits any action either against the Government or a public Officer when</w:t>
      </w:r>
      <w:r w:rsidR="004A69A8">
        <w:rPr>
          <w:i/>
        </w:rPr>
        <w:t xml:space="preserve"> </w:t>
      </w:r>
      <w:r w:rsidR="009D5679" w:rsidRPr="002E4B52">
        <w:rPr>
          <w:i/>
        </w:rPr>
        <w:t>the claim is based on the act of a public officer  ……. The action against the 1</w:t>
      </w:r>
      <w:r w:rsidR="009D5679" w:rsidRPr="002E4B52">
        <w:rPr>
          <w:i/>
          <w:vertAlign w:val="superscript"/>
        </w:rPr>
        <w:t>st</w:t>
      </w:r>
      <w:r w:rsidR="009D5679" w:rsidRPr="002E4B52">
        <w:rPr>
          <w:i/>
        </w:rPr>
        <w:t xml:space="preserve"> </w:t>
      </w:r>
      <w:r w:rsidR="00B60BD9">
        <w:rPr>
          <w:i/>
        </w:rPr>
        <w:t>Defendant</w:t>
      </w:r>
      <w:r w:rsidR="009D5679" w:rsidRPr="002E4B52">
        <w:rPr>
          <w:i/>
        </w:rPr>
        <w:t xml:space="preserve"> therefore is prescribed as it has not been filed within six months after the alleged claim arose.”</w:t>
      </w:r>
    </w:p>
    <w:p w:rsidR="00F66367" w:rsidRPr="002E4B52" w:rsidRDefault="002E4B52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t>[3</w:t>
      </w:r>
      <w:r w:rsidR="009D5679" w:rsidRPr="00F338A9">
        <w:t>4]</w:t>
      </w:r>
      <w:r w:rsidR="009D5679" w:rsidRPr="00F338A9">
        <w:tab/>
        <w:t xml:space="preserve">The same Ruling vis-à-vis applicability of the limitation period of section 3 of POPA was further reiterated in the matters of </w:t>
      </w:r>
      <w:r w:rsidRPr="002E4B52">
        <w:rPr>
          <w:i/>
        </w:rPr>
        <w:t>(Joseph Labrosse v/s Government of</w:t>
      </w:r>
      <w:r w:rsidR="009D5679" w:rsidRPr="002E4B52">
        <w:rPr>
          <w:i/>
        </w:rPr>
        <w:t xml:space="preserve"> Seychelle</w:t>
      </w:r>
      <w:r>
        <w:rPr>
          <w:i/>
        </w:rPr>
        <w:t xml:space="preserve">s (Civil </w:t>
      </w:r>
      <w:r>
        <w:rPr>
          <w:i/>
        </w:rPr>
        <w:lastRenderedPageBreak/>
        <w:t>Appeal No. 11 of 1998) and Atkinson &amp;</w:t>
      </w:r>
      <w:r w:rsidR="00F66367" w:rsidRPr="002E4B52">
        <w:rPr>
          <w:i/>
        </w:rPr>
        <w:t xml:space="preserve"> Ors v/s Seychelles Govern</w:t>
      </w:r>
      <w:r>
        <w:rPr>
          <w:i/>
        </w:rPr>
        <w:t>ment &amp; Ors (2002)</w:t>
      </w:r>
      <w:r w:rsidR="00F66367" w:rsidRPr="002E4B52">
        <w:rPr>
          <w:i/>
        </w:rPr>
        <w:t xml:space="preserve"> SLR 39).</w:t>
      </w:r>
    </w:p>
    <w:p w:rsidR="00F66367" w:rsidRPr="00F338A9" w:rsidRDefault="00F66367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t>[</w:t>
      </w:r>
      <w:r w:rsidR="002E4B52">
        <w:t>3</w:t>
      </w:r>
      <w:r w:rsidRPr="00F338A9">
        <w:t>5]</w:t>
      </w:r>
      <w:r w:rsidRPr="00F338A9">
        <w:tab/>
        <w:t>The gist of the point of law as consolidated basically in</w:t>
      </w:r>
      <w:r w:rsidR="002E4B52">
        <w:t xml:space="preserve">volves the question as to when </w:t>
      </w:r>
      <w:r w:rsidRPr="00F338A9">
        <w:t xml:space="preserve">is a cause of action accrued for the purpose of applicability of section 3 of POPA. </w:t>
      </w:r>
    </w:p>
    <w:p w:rsidR="000052F3" w:rsidRPr="00F338A9" w:rsidRDefault="002E4B52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t>[3</w:t>
      </w:r>
      <w:r w:rsidR="00F66367" w:rsidRPr="00F338A9">
        <w:t>6]</w:t>
      </w:r>
      <w:r w:rsidR="00F66367" w:rsidRPr="00F338A9">
        <w:tab/>
        <w:t xml:space="preserve">In that respect the Court shall refer to the matter of </w:t>
      </w:r>
      <w:r w:rsidRPr="002E4B52">
        <w:rPr>
          <w:i/>
        </w:rPr>
        <w:t>(</w:t>
      </w:r>
      <w:r w:rsidR="00F66367" w:rsidRPr="002E4B52">
        <w:rPr>
          <w:i/>
        </w:rPr>
        <w:t>At</w:t>
      </w:r>
      <w:r w:rsidRPr="002E4B52">
        <w:rPr>
          <w:i/>
        </w:rPr>
        <w:t>torney General v/s Ray Voysey a</w:t>
      </w:r>
      <w:r w:rsidR="00F66367" w:rsidRPr="002E4B52">
        <w:rPr>
          <w:i/>
        </w:rPr>
        <w:t>nd Ors (SCA No. 12 of 1995)</w:t>
      </w:r>
      <w:r w:rsidR="00F66367" w:rsidRPr="00F338A9">
        <w:t>, whe</w:t>
      </w:r>
      <w:r>
        <w:t>reby it was held by the court of A</w:t>
      </w:r>
      <w:r w:rsidR="00F66367" w:rsidRPr="00F338A9">
        <w:t xml:space="preserve">ppeal on the </w:t>
      </w:r>
      <w:r>
        <w:t xml:space="preserve">very </w:t>
      </w:r>
      <w:r w:rsidR="00F66367" w:rsidRPr="00F338A9">
        <w:t xml:space="preserve">issue that, </w:t>
      </w:r>
      <w:r w:rsidR="00F66367" w:rsidRPr="00F338A9">
        <w:rPr>
          <w:i/>
        </w:rPr>
        <w:t>“</w:t>
      </w:r>
      <w:r w:rsidR="000052F3" w:rsidRPr="00F338A9">
        <w:rPr>
          <w:i/>
        </w:rPr>
        <w:t xml:space="preserve">Fault is defined by </w:t>
      </w:r>
      <w:r w:rsidR="00CC1101" w:rsidRPr="00F338A9">
        <w:rPr>
          <w:i/>
        </w:rPr>
        <w:t xml:space="preserve">article 1382 (2) as an error of conduct which would not have been committed by a prudent person in the special circumstances in which the damage was caused. </w:t>
      </w:r>
      <w:r w:rsidR="000052F3" w:rsidRPr="00F338A9">
        <w:rPr>
          <w:i/>
        </w:rPr>
        <w:t>I</w:t>
      </w:r>
      <w:r w:rsidR="00CC1101" w:rsidRPr="00F338A9">
        <w:rPr>
          <w:i/>
        </w:rPr>
        <w:t>t may be the result of a positive act or an om</w:t>
      </w:r>
      <w:r w:rsidR="000052F3" w:rsidRPr="00F338A9">
        <w:rPr>
          <w:i/>
        </w:rPr>
        <w:t>is</w:t>
      </w:r>
      <w:r w:rsidR="00CC1101" w:rsidRPr="00F338A9">
        <w:rPr>
          <w:i/>
        </w:rPr>
        <w:t>s</w:t>
      </w:r>
      <w:r w:rsidR="000052F3" w:rsidRPr="00F338A9">
        <w:rPr>
          <w:i/>
        </w:rPr>
        <w:t>ion. When a party cla</w:t>
      </w:r>
      <w:r w:rsidR="00F66367" w:rsidRPr="00F338A9">
        <w:rPr>
          <w:i/>
        </w:rPr>
        <w:t>i</w:t>
      </w:r>
      <w:r w:rsidR="000052F3" w:rsidRPr="00F338A9">
        <w:rPr>
          <w:i/>
        </w:rPr>
        <w:t>ms a right of action under article 1382 (1) the two el</w:t>
      </w:r>
      <w:r w:rsidR="00CC1101" w:rsidRPr="00F338A9">
        <w:rPr>
          <w:i/>
        </w:rPr>
        <w:t>e</w:t>
      </w:r>
      <w:r w:rsidR="000052F3" w:rsidRPr="00F338A9">
        <w:rPr>
          <w:i/>
        </w:rPr>
        <w:t>ments of the cause of action are fault and damage which must have been caused by the fault alleged. It is thus clear that the earliest tim</w:t>
      </w:r>
      <w:r w:rsidR="00CC1101" w:rsidRPr="00F338A9">
        <w:rPr>
          <w:i/>
        </w:rPr>
        <w:t>e an action in delict can be mai</w:t>
      </w:r>
      <w:r w:rsidR="000052F3" w:rsidRPr="00F338A9">
        <w:rPr>
          <w:i/>
        </w:rPr>
        <w:t xml:space="preserve">ntained is that earliest point in time when fault and damage co-exist.” </w:t>
      </w:r>
    </w:p>
    <w:p w:rsidR="000052F3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[37</w:t>
      </w:r>
      <w:r w:rsidR="00CC1101" w:rsidRPr="00F338A9">
        <w:t>]</w:t>
      </w:r>
      <w:r w:rsidR="00CC1101" w:rsidRPr="00F338A9">
        <w:tab/>
        <w:t>Furthe</w:t>
      </w:r>
      <w:r w:rsidR="000052F3" w:rsidRPr="00F338A9">
        <w:t>r commenting on the purpose of fixed prescription periods, the Court of Ap</w:t>
      </w:r>
      <w:r w:rsidR="00CC1101" w:rsidRPr="00F338A9">
        <w:t>peal</w:t>
      </w:r>
      <w:r w:rsidR="000052F3" w:rsidRPr="00F338A9">
        <w:t xml:space="preserve"> further held that:</w:t>
      </w:r>
    </w:p>
    <w:p w:rsidR="000052F3" w:rsidRPr="00F338A9" w:rsidRDefault="000052F3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 w:rsidRPr="00F338A9">
        <w:tab/>
      </w:r>
      <w:r w:rsidRPr="00F338A9">
        <w:rPr>
          <w:i/>
        </w:rPr>
        <w:t xml:space="preserve">“… Whereas the reasons for prescription are to protect the </w:t>
      </w:r>
      <w:r w:rsidR="00B60BD9">
        <w:rPr>
          <w:i/>
        </w:rPr>
        <w:t>Defendant</w:t>
      </w:r>
      <w:r w:rsidRPr="00F338A9">
        <w:rPr>
          <w:i/>
        </w:rPr>
        <w:t xml:space="preserve"> from the   risk of stale demands of which he may be ignorant and which he may not be </w:t>
      </w:r>
      <w:r w:rsidR="00CC1101" w:rsidRPr="00F338A9">
        <w:rPr>
          <w:i/>
        </w:rPr>
        <w:t xml:space="preserve">able to </w:t>
      </w:r>
      <w:r w:rsidRPr="00F338A9">
        <w:rPr>
          <w:i/>
        </w:rPr>
        <w:t>meet because of changed circumstances and the handicap he may suffer, due to lapse of time, in establishing a defence. In</w:t>
      </w:r>
      <w:r w:rsidR="00CC1101" w:rsidRPr="00F338A9">
        <w:rPr>
          <w:i/>
        </w:rPr>
        <w:t xml:space="preserve"> our view the statutory period </w:t>
      </w:r>
      <w:r w:rsidRPr="00F338A9">
        <w:rPr>
          <w:i/>
        </w:rPr>
        <w:t>of prescription, artificially fixed</w:t>
      </w:r>
      <w:r w:rsidR="00CC1101" w:rsidRPr="00F338A9">
        <w:rPr>
          <w:i/>
        </w:rPr>
        <w:t xml:space="preserve">, conclusively presumes that a </w:t>
      </w:r>
      <w:r w:rsidR="00B60BD9">
        <w:rPr>
          <w:i/>
        </w:rPr>
        <w:t>Defendant</w:t>
      </w:r>
      <w:r w:rsidRPr="00F338A9">
        <w:rPr>
          <w:i/>
        </w:rPr>
        <w:t xml:space="preserve"> is in need of protecti</w:t>
      </w:r>
      <w:r w:rsidR="00CC1101" w:rsidRPr="00F338A9">
        <w:rPr>
          <w:i/>
        </w:rPr>
        <w:t>o</w:t>
      </w:r>
      <w:r w:rsidRPr="00F338A9">
        <w:rPr>
          <w:i/>
        </w:rPr>
        <w:t xml:space="preserve">n. Such presumption does not permit of rebuttal.” </w:t>
      </w:r>
    </w:p>
    <w:p w:rsidR="000052F3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[38</w:t>
      </w:r>
      <w:r w:rsidR="000052F3" w:rsidRPr="00F338A9">
        <w:t>]</w:t>
      </w:r>
      <w:r w:rsidR="000052F3" w:rsidRPr="00F338A9">
        <w:tab/>
        <w:t>It was further held that:</w:t>
      </w:r>
    </w:p>
    <w:p w:rsidR="000052F3" w:rsidRPr="00F338A9" w:rsidRDefault="000052F3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 w:rsidRPr="00F338A9">
        <w:tab/>
      </w:r>
      <w:r w:rsidRPr="00F338A9">
        <w:rPr>
          <w:i/>
        </w:rPr>
        <w:t>“Normally, a right of action accrues when t</w:t>
      </w:r>
      <w:r w:rsidR="000D75BF" w:rsidRPr="00F338A9">
        <w:rPr>
          <w:i/>
        </w:rPr>
        <w:t xml:space="preserve">he essential facts exists and, </w:t>
      </w:r>
      <w:r w:rsidRPr="00F338A9">
        <w:rPr>
          <w:i/>
        </w:rPr>
        <w:t>barring statutory intervention, does not arise with the awar</w:t>
      </w:r>
      <w:r w:rsidR="002E4B52">
        <w:rPr>
          <w:i/>
        </w:rPr>
        <w:t>eness, for instance , of the att</w:t>
      </w:r>
      <w:r w:rsidRPr="00F338A9">
        <w:rPr>
          <w:i/>
        </w:rPr>
        <w:t>ributability of the injury to the fault of the other party unless there has b</w:t>
      </w:r>
      <w:r w:rsidR="00CC1101" w:rsidRPr="00F338A9">
        <w:rPr>
          <w:i/>
        </w:rPr>
        <w:t xml:space="preserve">een a fraudulent </w:t>
      </w:r>
      <w:r w:rsidR="004A69A8" w:rsidRPr="00F338A9">
        <w:rPr>
          <w:i/>
        </w:rPr>
        <w:t>concealment</w:t>
      </w:r>
      <w:r w:rsidR="00CC1101" w:rsidRPr="00F338A9">
        <w:rPr>
          <w:i/>
        </w:rPr>
        <w:t xml:space="preserve"> of</w:t>
      </w:r>
      <w:r w:rsidRPr="00F338A9">
        <w:rPr>
          <w:i/>
        </w:rPr>
        <w:t xml:space="preserve"> facts. The date of manifes</w:t>
      </w:r>
      <w:r w:rsidR="00CC1101" w:rsidRPr="00F338A9">
        <w:rPr>
          <w:i/>
        </w:rPr>
        <w:t>tation of damage may be specifi</w:t>
      </w:r>
      <w:r w:rsidRPr="00F338A9">
        <w:rPr>
          <w:i/>
        </w:rPr>
        <w:t xml:space="preserve">cally made the commencement of a right of action.” </w:t>
      </w:r>
    </w:p>
    <w:p w:rsidR="005C58E9" w:rsidRDefault="005C58E9" w:rsidP="004A69A8">
      <w:pPr>
        <w:pStyle w:val="JudgmentText"/>
        <w:numPr>
          <w:ilvl w:val="0"/>
          <w:numId w:val="0"/>
        </w:numPr>
        <w:ind w:left="720" w:hanging="720"/>
      </w:pPr>
    </w:p>
    <w:p w:rsidR="005C58E9" w:rsidRDefault="005C58E9" w:rsidP="004A69A8">
      <w:pPr>
        <w:pStyle w:val="JudgmentText"/>
        <w:numPr>
          <w:ilvl w:val="0"/>
          <w:numId w:val="0"/>
        </w:numPr>
        <w:ind w:left="720" w:hanging="720"/>
      </w:pPr>
    </w:p>
    <w:p w:rsidR="008602C0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[39</w:t>
      </w:r>
      <w:r w:rsidR="008602C0" w:rsidRPr="00F338A9">
        <w:t>]</w:t>
      </w:r>
      <w:r w:rsidR="008602C0" w:rsidRPr="00F338A9">
        <w:tab/>
        <w:t>The</w:t>
      </w:r>
      <w:r w:rsidR="000D75BF" w:rsidRPr="00F338A9">
        <w:t xml:space="preserve"> Court of Appeal continued to ho</w:t>
      </w:r>
      <w:r w:rsidR="008602C0" w:rsidRPr="00F338A9">
        <w:t>ld that:</w:t>
      </w:r>
    </w:p>
    <w:p w:rsidR="008602C0" w:rsidRPr="00F338A9" w:rsidRDefault="008602C0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 w:rsidRPr="00F338A9">
        <w:tab/>
      </w:r>
      <w:r w:rsidRPr="00F338A9">
        <w:rPr>
          <w:b/>
          <w:i/>
        </w:rPr>
        <w:t>“</w:t>
      </w:r>
      <w:r w:rsidR="00CC1101" w:rsidRPr="00F338A9">
        <w:rPr>
          <w:b/>
          <w:i/>
        </w:rPr>
        <w:t>Existence of fac</w:t>
      </w:r>
      <w:r w:rsidRPr="00F338A9">
        <w:rPr>
          <w:b/>
          <w:i/>
        </w:rPr>
        <w:t>ts essential to</w:t>
      </w:r>
      <w:r w:rsidR="00CC1101" w:rsidRPr="00F338A9">
        <w:rPr>
          <w:b/>
          <w:i/>
        </w:rPr>
        <w:t xml:space="preserve"> the </w:t>
      </w:r>
      <w:r w:rsidRPr="00F338A9">
        <w:rPr>
          <w:b/>
          <w:i/>
        </w:rPr>
        <w:t xml:space="preserve">accrual of a right of action must be distinguished from the evidence of such facts. </w:t>
      </w:r>
      <w:r w:rsidRPr="00F338A9">
        <w:rPr>
          <w:i/>
        </w:rPr>
        <w:t xml:space="preserve">It is evidence that accrual of a right of action cannot be dependent on inability to obtain </w:t>
      </w:r>
      <w:r w:rsidR="00C95987" w:rsidRPr="00F338A9">
        <w:rPr>
          <w:i/>
        </w:rPr>
        <w:t>evidence of fact</w:t>
      </w:r>
      <w:r w:rsidRPr="00F338A9">
        <w:rPr>
          <w:i/>
        </w:rPr>
        <w:t>s relating to the right of action. There is no statuto</w:t>
      </w:r>
      <w:r w:rsidR="00CC1101" w:rsidRPr="00F338A9">
        <w:rPr>
          <w:i/>
        </w:rPr>
        <w:t>ry provision th</w:t>
      </w:r>
      <w:r w:rsidRPr="00F338A9">
        <w:rPr>
          <w:i/>
        </w:rPr>
        <w:t>at confers</w:t>
      </w:r>
      <w:r w:rsidR="00CC1101" w:rsidRPr="00F338A9">
        <w:rPr>
          <w:i/>
        </w:rPr>
        <w:t xml:space="preserve"> power on the court in this Jurisdiction </w:t>
      </w:r>
      <w:r w:rsidRPr="00F338A9">
        <w:rPr>
          <w:i/>
        </w:rPr>
        <w:t>to postpone the accrual of a right of action by reason of ignorance of the plai</w:t>
      </w:r>
      <w:r w:rsidR="00C95987" w:rsidRPr="00F338A9">
        <w:rPr>
          <w:i/>
        </w:rPr>
        <w:t>ntiff of material facts relating to the cause o</w:t>
      </w:r>
      <w:r w:rsidRPr="00F338A9">
        <w:rPr>
          <w:i/>
        </w:rPr>
        <w:t xml:space="preserve">f action. In the result, we are unable to agree with the </w:t>
      </w:r>
      <w:r w:rsidR="00C95987" w:rsidRPr="00F338A9">
        <w:rPr>
          <w:i/>
        </w:rPr>
        <w:t>view held by the Lear</w:t>
      </w:r>
      <w:r w:rsidRPr="00F338A9">
        <w:rPr>
          <w:i/>
        </w:rPr>
        <w:t>ned Judge that ‘the cause of action would have arisen depending on the disclosure’ by the Govern</w:t>
      </w:r>
      <w:r w:rsidR="00C95987" w:rsidRPr="00F338A9">
        <w:rPr>
          <w:i/>
        </w:rPr>
        <w:t xml:space="preserve">ment </w:t>
      </w:r>
      <w:r w:rsidRPr="00F338A9">
        <w:rPr>
          <w:i/>
        </w:rPr>
        <w:t xml:space="preserve">of the cause </w:t>
      </w:r>
      <w:r w:rsidR="00C95987" w:rsidRPr="00F338A9">
        <w:rPr>
          <w:i/>
        </w:rPr>
        <w:t xml:space="preserve">of the </w:t>
      </w:r>
      <w:r w:rsidRPr="00F338A9">
        <w:rPr>
          <w:i/>
        </w:rPr>
        <w:t>crash. We are of the view that earlier opinion expressed by him that ‘the delictual rights of the heir</w:t>
      </w:r>
      <w:r w:rsidR="00C95987" w:rsidRPr="00F338A9">
        <w:rPr>
          <w:i/>
        </w:rPr>
        <w:t>s b</w:t>
      </w:r>
      <w:r w:rsidRPr="00F338A9">
        <w:rPr>
          <w:i/>
        </w:rPr>
        <w:t>ecame time-barred’ represented the correct position.”</w:t>
      </w:r>
    </w:p>
    <w:p w:rsidR="000D75BF" w:rsidRPr="00F338A9" w:rsidRDefault="000D75BF" w:rsidP="004A69A8">
      <w:pPr>
        <w:pStyle w:val="JudgmentText"/>
        <w:numPr>
          <w:ilvl w:val="0"/>
          <w:numId w:val="0"/>
        </w:numPr>
        <w:ind w:left="720" w:hanging="720"/>
      </w:pPr>
      <w:r w:rsidRPr="00F338A9">
        <w:rPr>
          <w:i/>
        </w:rPr>
        <w:tab/>
      </w:r>
      <w:r w:rsidRPr="00F338A9">
        <w:t>(Emphasis</w:t>
      </w:r>
      <w:r w:rsidR="00576041">
        <w:t xml:space="preserve"> </w:t>
      </w:r>
      <w:r w:rsidRPr="00F338A9">
        <w:t>mine)</w:t>
      </w:r>
    </w:p>
    <w:p w:rsidR="008602C0" w:rsidRPr="002E4B52" w:rsidRDefault="002E4B52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t>[40</w:t>
      </w:r>
      <w:r w:rsidR="008602C0" w:rsidRPr="00F338A9">
        <w:t>]</w:t>
      </w:r>
      <w:r w:rsidR="008602C0" w:rsidRPr="00F338A9">
        <w:tab/>
        <w:t xml:space="preserve">The same principle of interpretation as to the accrual of a right of action subject matter of section 3 of the </w:t>
      </w:r>
      <w:r w:rsidR="00F66367" w:rsidRPr="00F338A9">
        <w:t xml:space="preserve">POPA was considered and endorsed in the cases </w:t>
      </w:r>
      <w:r w:rsidR="00F66367" w:rsidRPr="002E4B52">
        <w:rPr>
          <w:i/>
        </w:rPr>
        <w:t xml:space="preserve">of </w:t>
      </w:r>
      <w:r w:rsidRPr="002E4B52">
        <w:rPr>
          <w:i/>
        </w:rPr>
        <w:t>(</w:t>
      </w:r>
      <w:r w:rsidR="008602C0" w:rsidRPr="002E4B52">
        <w:rPr>
          <w:i/>
        </w:rPr>
        <w:t>Voysey</w:t>
      </w:r>
      <w:r w:rsidRPr="002E4B52">
        <w:rPr>
          <w:i/>
        </w:rPr>
        <w:t>)</w:t>
      </w:r>
      <w:r w:rsidR="008602C0" w:rsidRPr="002E4B52">
        <w:t>(supra)</w:t>
      </w:r>
      <w:r w:rsidR="008602C0" w:rsidRPr="002E4B52">
        <w:rPr>
          <w:i/>
        </w:rPr>
        <w:t xml:space="preserve">, in the case of </w:t>
      </w:r>
      <w:r>
        <w:rPr>
          <w:i/>
        </w:rPr>
        <w:t>(</w:t>
      </w:r>
      <w:r w:rsidR="008602C0" w:rsidRPr="002E4B52">
        <w:rPr>
          <w:i/>
        </w:rPr>
        <w:t xml:space="preserve">Yvon Camille v Government of Seychelles </w:t>
      </w:r>
      <w:r w:rsidR="000D75BF" w:rsidRPr="002E4B52">
        <w:rPr>
          <w:i/>
        </w:rPr>
        <w:t>(</w:t>
      </w:r>
      <w:r w:rsidR="008602C0" w:rsidRPr="002E4B52">
        <w:rPr>
          <w:i/>
        </w:rPr>
        <w:t>SCA No. 57 of 1998</w:t>
      </w:r>
      <w:r>
        <w:rPr>
          <w:i/>
        </w:rPr>
        <w:t>)</w:t>
      </w:r>
      <w:r w:rsidR="000D75BF" w:rsidRPr="002E4B52">
        <w:rPr>
          <w:i/>
        </w:rPr>
        <w:t>)</w:t>
      </w:r>
      <w:r w:rsidR="008602C0" w:rsidRPr="002E4B52">
        <w:rPr>
          <w:i/>
        </w:rPr>
        <w:t xml:space="preserve">, </w:t>
      </w:r>
      <w:r>
        <w:rPr>
          <w:i/>
        </w:rPr>
        <w:t>(</w:t>
      </w:r>
      <w:r w:rsidR="008602C0" w:rsidRPr="002E4B52">
        <w:rPr>
          <w:i/>
        </w:rPr>
        <w:t>Lorraine Lewis</w:t>
      </w:r>
      <w:r w:rsidR="00C95987" w:rsidRPr="002E4B52">
        <w:rPr>
          <w:i/>
        </w:rPr>
        <w:t xml:space="preserve"> v/s The Government of Seychelle</w:t>
      </w:r>
      <w:r w:rsidR="000D75BF" w:rsidRPr="002E4B52">
        <w:rPr>
          <w:i/>
        </w:rPr>
        <w:t>s (</w:t>
      </w:r>
      <w:r w:rsidR="008602C0" w:rsidRPr="002E4B52">
        <w:rPr>
          <w:i/>
        </w:rPr>
        <w:t>Civil Side No. 17 of 2000</w:t>
      </w:r>
      <w:r>
        <w:rPr>
          <w:i/>
        </w:rPr>
        <w:t>)</w:t>
      </w:r>
      <w:r w:rsidR="000D75BF" w:rsidRPr="002E4B52">
        <w:rPr>
          <w:i/>
        </w:rPr>
        <w:t>)</w:t>
      </w:r>
      <w:r w:rsidR="008602C0" w:rsidRPr="002E4B52">
        <w:rPr>
          <w:i/>
        </w:rPr>
        <w:t xml:space="preserve">; </w:t>
      </w:r>
      <w:r>
        <w:rPr>
          <w:i/>
        </w:rPr>
        <w:t>(</w:t>
      </w:r>
      <w:r w:rsidR="004A69A8">
        <w:rPr>
          <w:i/>
        </w:rPr>
        <w:t>Roderick Larue v /s Osman Le</w:t>
      </w:r>
      <w:r w:rsidR="000D75BF" w:rsidRPr="002E4B52">
        <w:rPr>
          <w:i/>
        </w:rPr>
        <w:t>g</w:t>
      </w:r>
      <w:r w:rsidR="00DE7747" w:rsidRPr="002E4B52">
        <w:rPr>
          <w:i/>
        </w:rPr>
        <w:t xml:space="preserve">aie &amp; Attorney </w:t>
      </w:r>
      <w:r>
        <w:rPr>
          <w:i/>
        </w:rPr>
        <w:t>G</w:t>
      </w:r>
      <w:r w:rsidR="00DE7747" w:rsidRPr="002E4B52">
        <w:rPr>
          <w:i/>
        </w:rPr>
        <w:t xml:space="preserve">eneral, </w:t>
      </w:r>
      <w:r w:rsidR="000D75BF" w:rsidRPr="002E4B52">
        <w:rPr>
          <w:i/>
        </w:rPr>
        <w:t>(</w:t>
      </w:r>
      <w:r w:rsidR="00DE7747" w:rsidRPr="002E4B52">
        <w:rPr>
          <w:i/>
        </w:rPr>
        <w:t>Civil Ap</w:t>
      </w:r>
      <w:r w:rsidR="00C95987" w:rsidRPr="002E4B52">
        <w:rPr>
          <w:i/>
        </w:rPr>
        <w:t xml:space="preserve">peal </w:t>
      </w:r>
      <w:r w:rsidR="00DE7747" w:rsidRPr="002E4B52">
        <w:rPr>
          <w:i/>
        </w:rPr>
        <w:t>No. 19 of 2011</w:t>
      </w:r>
      <w:r>
        <w:rPr>
          <w:i/>
        </w:rPr>
        <w:t>)</w:t>
      </w:r>
      <w:r w:rsidR="000D75BF" w:rsidRPr="002E4B52">
        <w:rPr>
          <w:i/>
        </w:rPr>
        <w:t>)</w:t>
      </w:r>
      <w:r w:rsidR="00DE7747" w:rsidRPr="002E4B52">
        <w:rPr>
          <w:i/>
        </w:rPr>
        <w:t xml:space="preserve"> and </w:t>
      </w:r>
      <w:r>
        <w:rPr>
          <w:i/>
        </w:rPr>
        <w:t>(</w:t>
      </w:r>
      <w:r w:rsidR="00DE7747" w:rsidRPr="002E4B52">
        <w:rPr>
          <w:i/>
        </w:rPr>
        <w:t>Jusheila Cecile Madeleine v/s Land Trans</w:t>
      </w:r>
      <w:r w:rsidR="00C95987" w:rsidRPr="002E4B52">
        <w:rPr>
          <w:i/>
        </w:rPr>
        <w:t>p</w:t>
      </w:r>
      <w:r w:rsidR="00DE7747" w:rsidRPr="002E4B52">
        <w:rPr>
          <w:i/>
        </w:rPr>
        <w:t>ort Agency rep</w:t>
      </w:r>
      <w:r w:rsidR="000D75BF" w:rsidRPr="002E4B52">
        <w:rPr>
          <w:i/>
        </w:rPr>
        <w:t>resented by CEO &amp; Attorney G</w:t>
      </w:r>
      <w:r w:rsidR="00DE7747" w:rsidRPr="002E4B52">
        <w:rPr>
          <w:i/>
        </w:rPr>
        <w:t>eneral representing the G</w:t>
      </w:r>
      <w:r w:rsidR="000D75BF" w:rsidRPr="002E4B52">
        <w:rPr>
          <w:i/>
        </w:rPr>
        <w:t>overnment of Seychelles (</w:t>
      </w:r>
      <w:r w:rsidR="00DE7747" w:rsidRPr="002E4B52">
        <w:rPr>
          <w:i/>
        </w:rPr>
        <w:t>Civil side No. 67 of 2013</w:t>
      </w:r>
      <w:r>
        <w:rPr>
          <w:i/>
        </w:rPr>
        <w:t>)</w:t>
      </w:r>
      <w:r w:rsidR="000D75BF" w:rsidRPr="002E4B52">
        <w:rPr>
          <w:i/>
        </w:rPr>
        <w:t>)</w:t>
      </w:r>
      <w:r w:rsidR="00F66367" w:rsidRPr="002E4B52">
        <w:rPr>
          <w:i/>
        </w:rPr>
        <w:t xml:space="preserve">. </w:t>
      </w:r>
    </w:p>
    <w:p w:rsidR="0015152A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[41</w:t>
      </w:r>
      <w:r w:rsidR="00DE7747" w:rsidRPr="00F338A9">
        <w:t>]</w:t>
      </w:r>
      <w:r w:rsidR="00DE7747" w:rsidRPr="00F338A9">
        <w:tab/>
        <w:t xml:space="preserve">Having set out the very clear and unambiguous position of our case law on the subject, it is abundantly clear as rightly submitted </w:t>
      </w:r>
      <w:r w:rsidR="00C95987" w:rsidRPr="00F338A9">
        <w:t>by Lear</w:t>
      </w:r>
      <w:r w:rsidR="00DE7747" w:rsidRPr="00F338A9">
        <w:t>ned Cou</w:t>
      </w:r>
      <w:r w:rsidR="00C95987" w:rsidRPr="00F338A9">
        <w:t xml:space="preserve">nsel for the </w:t>
      </w:r>
      <w:r w:rsidR="00F356BF">
        <w:t>2</w:t>
      </w:r>
      <w:r w:rsidR="00F356BF" w:rsidRPr="00F356BF">
        <w:rPr>
          <w:vertAlign w:val="superscript"/>
        </w:rPr>
        <w:t>nd</w:t>
      </w:r>
      <w:r w:rsidR="00F356BF">
        <w:t xml:space="preserve"> and 3</w:t>
      </w:r>
      <w:r w:rsidR="00F356BF" w:rsidRPr="00F356BF">
        <w:rPr>
          <w:vertAlign w:val="superscript"/>
        </w:rPr>
        <w:t>rd</w:t>
      </w:r>
      <w:r w:rsidR="00F356BF">
        <w:t xml:space="preserve"> </w:t>
      </w:r>
      <w:r w:rsidR="00B60BD9">
        <w:t>Defendant</w:t>
      </w:r>
      <w:r w:rsidR="000D75BF" w:rsidRPr="00F338A9">
        <w:t>s</w:t>
      </w:r>
      <w:r w:rsidR="00DE7747" w:rsidRPr="00F338A9">
        <w:t xml:space="preserve"> that the right of actio</w:t>
      </w:r>
      <w:r w:rsidR="00C95987" w:rsidRPr="00F338A9">
        <w:t>n accrues when the essential fac</w:t>
      </w:r>
      <w:r w:rsidR="00F66367" w:rsidRPr="00F338A9">
        <w:t>ts manifest themselves and that in this case it was on the  30</w:t>
      </w:r>
      <w:r w:rsidR="00F66367" w:rsidRPr="00F338A9">
        <w:rPr>
          <w:vertAlign w:val="superscript"/>
        </w:rPr>
        <w:t>th</w:t>
      </w:r>
      <w:r w:rsidR="00F66367" w:rsidRPr="00F338A9">
        <w:t xml:space="preserve"> of October 2014 upon the </w:t>
      </w:r>
      <w:r w:rsidR="00DE7747" w:rsidRPr="00F338A9">
        <w:t>death the deceased and it is on that very day that the Plaintiff’s cause of fault and resultant damages accrued and with respect to the arguments of Learned C</w:t>
      </w:r>
      <w:r w:rsidR="004C0BB3" w:rsidRPr="00F338A9">
        <w:t>ouns</w:t>
      </w:r>
      <w:r w:rsidR="00DE7747" w:rsidRPr="00F338A9">
        <w:t xml:space="preserve">el of the Plaintiffs, not on the date of the </w:t>
      </w:r>
      <w:r w:rsidR="0015152A" w:rsidRPr="00F338A9">
        <w:t>Judgement of the Supreme Court 15</w:t>
      </w:r>
      <w:r w:rsidR="0015152A" w:rsidRPr="00F338A9">
        <w:rPr>
          <w:vertAlign w:val="superscript"/>
        </w:rPr>
        <w:t>th</w:t>
      </w:r>
      <w:r w:rsidR="0015152A" w:rsidRPr="00F338A9">
        <w:t xml:space="preserve"> September 2016 upon plea of guilt</w:t>
      </w:r>
      <w:r>
        <w:t>y</w:t>
      </w:r>
      <w:r w:rsidR="0015152A" w:rsidRPr="00F338A9">
        <w:t xml:space="preserve"> of the 1</w:t>
      </w:r>
      <w:r w:rsidR="0015152A" w:rsidRPr="00F338A9">
        <w:rPr>
          <w:vertAlign w:val="superscript"/>
        </w:rPr>
        <w:t>st</w:t>
      </w:r>
      <w:r w:rsidR="0015152A" w:rsidRPr="00F338A9">
        <w:t xml:space="preserve"> </w:t>
      </w:r>
      <w:r w:rsidR="00B60BD9">
        <w:lastRenderedPageBreak/>
        <w:t>Defendant</w:t>
      </w:r>
      <w:r w:rsidR="0015152A" w:rsidRPr="00F338A9">
        <w:t xml:space="preserve"> and subsequent sentence. To my mind the verdict and sentence of the Court upon admission of liability of the 1</w:t>
      </w:r>
      <w:r w:rsidR="0015152A" w:rsidRPr="00F338A9">
        <w:rPr>
          <w:vertAlign w:val="superscript"/>
        </w:rPr>
        <w:t>st</w:t>
      </w:r>
      <w:r w:rsidR="0015152A" w:rsidRPr="00F338A9">
        <w:t xml:space="preserve"> </w:t>
      </w:r>
      <w:r w:rsidR="00B60BD9">
        <w:t>Defendant</w:t>
      </w:r>
      <w:r w:rsidR="0015152A" w:rsidRPr="00F338A9">
        <w:t xml:space="preserve"> was simply for </w:t>
      </w:r>
      <w:r w:rsidR="00DE7747" w:rsidRPr="00F338A9">
        <w:t xml:space="preserve">the purpose </w:t>
      </w:r>
      <w:r w:rsidR="004C0BB3" w:rsidRPr="00F338A9">
        <w:t xml:space="preserve">of determining whether the death was caused by </w:t>
      </w:r>
      <w:r w:rsidR="0015152A" w:rsidRPr="00F338A9">
        <w:t>a crime contrary to the Road Transport Act as per charge on which the 1</w:t>
      </w:r>
      <w:r w:rsidR="0015152A" w:rsidRPr="00F338A9">
        <w:rPr>
          <w:vertAlign w:val="superscript"/>
        </w:rPr>
        <w:t>st</w:t>
      </w:r>
      <w:r w:rsidR="0015152A" w:rsidRPr="00F338A9">
        <w:t xml:space="preserve"> </w:t>
      </w:r>
      <w:r w:rsidR="00B60BD9">
        <w:t>Defendant</w:t>
      </w:r>
      <w:r w:rsidR="0015152A" w:rsidRPr="00F338A9">
        <w:t xml:space="preserve"> pleaded guilty.</w:t>
      </w:r>
    </w:p>
    <w:p w:rsidR="004C0BB3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[42</w:t>
      </w:r>
      <w:r w:rsidR="0015152A" w:rsidRPr="00F338A9">
        <w:t>]</w:t>
      </w:r>
      <w:r w:rsidR="0015152A" w:rsidRPr="00F338A9">
        <w:tab/>
        <w:t>Further, any circumstances of negligence and or imprudence of the 1</w:t>
      </w:r>
      <w:r w:rsidR="0015152A" w:rsidRPr="00F338A9">
        <w:rPr>
          <w:vertAlign w:val="superscript"/>
        </w:rPr>
        <w:t>st</w:t>
      </w:r>
      <w:r w:rsidR="0015152A" w:rsidRPr="00F338A9">
        <w:t xml:space="preserve"> </w:t>
      </w:r>
      <w:r w:rsidR="00B60BD9">
        <w:t>Defendant</w:t>
      </w:r>
      <w:r w:rsidR="0015152A" w:rsidRPr="00F338A9">
        <w:t xml:space="preserve"> as per the facts of the case in the cited Criminal matter(supra) would simply be </w:t>
      </w:r>
      <w:r w:rsidR="004C0BB3" w:rsidRPr="00F338A9">
        <w:t>evidence of facts relating to the right of action and not vice versa hence the non-justification of the delay in filing</w:t>
      </w:r>
      <w:r w:rsidR="0015152A" w:rsidRPr="00F338A9">
        <w:t xml:space="preserve"> of this instant action by the Plaintiffs </w:t>
      </w:r>
      <w:r w:rsidR="000D75BF" w:rsidRPr="00F338A9">
        <w:t xml:space="preserve">almost </w:t>
      </w:r>
      <w:r w:rsidR="0015152A" w:rsidRPr="00F338A9">
        <w:t>23</w:t>
      </w:r>
      <w:r w:rsidR="004C0BB3" w:rsidRPr="00F338A9">
        <w:t xml:space="preserve"> months after the date of the accrual of the alleged cause</w:t>
      </w:r>
      <w:r w:rsidR="000D75BF" w:rsidRPr="00F338A9">
        <w:t xml:space="preserve"> of action in tort against the </w:t>
      </w:r>
      <w:r w:rsidR="00F356BF">
        <w:t>2</w:t>
      </w:r>
      <w:r w:rsidR="00F356BF" w:rsidRPr="00F356BF">
        <w:rPr>
          <w:vertAlign w:val="superscript"/>
        </w:rPr>
        <w:t>nd</w:t>
      </w:r>
      <w:r w:rsidR="00F356BF">
        <w:t xml:space="preserve"> and 3</w:t>
      </w:r>
      <w:r w:rsidR="00F356BF" w:rsidRPr="00F356BF">
        <w:rPr>
          <w:vertAlign w:val="superscript"/>
        </w:rPr>
        <w:t>rd</w:t>
      </w:r>
      <w:r w:rsidR="00F356BF">
        <w:t xml:space="preserve"> </w:t>
      </w:r>
      <w:r w:rsidR="00B60BD9">
        <w:t>Defendant</w:t>
      </w:r>
      <w:r w:rsidR="0015152A" w:rsidRPr="00F338A9">
        <w:t>s in vicarious liability under the section 3 of POPA prior to its amendment and in existence at the time of the accident giving rise to cause of action.</w:t>
      </w:r>
    </w:p>
    <w:p w:rsidR="0015152A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[43</w:t>
      </w:r>
      <w:r w:rsidR="004C0BB3" w:rsidRPr="00F338A9">
        <w:t>]</w:t>
      </w:r>
      <w:r w:rsidR="004C0BB3" w:rsidRPr="00F338A9">
        <w:tab/>
      </w:r>
      <w:r w:rsidR="0015152A" w:rsidRPr="00F338A9">
        <w:t>The other issue which remains to be decid</w:t>
      </w:r>
      <w:r w:rsidR="000E1CA8" w:rsidRPr="00F338A9">
        <w:t>ed in the same breath, is whethe</w:t>
      </w:r>
      <w:r w:rsidR="0015152A" w:rsidRPr="00F338A9">
        <w:t xml:space="preserve">r the Amendment is to supersede the </w:t>
      </w:r>
      <w:r w:rsidR="0015152A" w:rsidRPr="00B610A1">
        <w:rPr>
          <w:i/>
        </w:rPr>
        <w:t>“old un</w:t>
      </w:r>
      <w:r w:rsidR="000E1CA8" w:rsidRPr="00B610A1">
        <w:rPr>
          <w:i/>
        </w:rPr>
        <w:t>-</w:t>
      </w:r>
      <w:r w:rsidR="00B610A1">
        <w:rPr>
          <w:i/>
        </w:rPr>
        <w:t>amended provision</w:t>
      </w:r>
      <w:r w:rsidR="004A69A8">
        <w:rPr>
          <w:i/>
        </w:rPr>
        <w:t xml:space="preserve"> </w:t>
      </w:r>
      <w:r w:rsidR="0015152A" w:rsidRPr="00F338A9">
        <w:rPr>
          <w:i/>
        </w:rPr>
        <w:t>in the circumstances of this case</w:t>
      </w:r>
      <w:r w:rsidR="00B610A1">
        <w:t xml:space="preserve">” </w:t>
      </w:r>
      <w:r w:rsidR="0015152A" w:rsidRPr="00F338A9">
        <w:t>and in line with the provisions of the IGPC with respect to enforceability of amended and or repealed laws.</w:t>
      </w:r>
    </w:p>
    <w:p w:rsidR="00D105E9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[44</w:t>
      </w:r>
      <w:r w:rsidR="0015152A" w:rsidRPr="00F338A9">
        <w:t>]</w:t>
      </w:r>
      <w:r w:rsidR="0015152A" w:rsidRPr="00F338A9">
        <w:tab/>
        <w:t xml:space="preserve">Section </w:t>
      </w:r>
      <w:r w:rsidR="00D105E9" w:rsidRPr="00F338A9">
        <w:t>3 of POPA was amended by Act No. 2 of 2017 and published i</w:t>
      </w:r>
      <w:r>
        <w:t xml:space="preserve">n the Official </w:t>
      </w:r>
      <w:r w:rsidR="00D105E9" w:rsidRPr="00F338A9">
        <w:t>Gazette on the 3</w:t>
      </w:r>
      <w:r w:rsidR="00D105E9" w:rsidRPr="00F338A9">
        <w:rPr>
          <w:vertAlign w:val="superscript"/>
        </w:rPr>
        <w:t>rd</w:t>
      </w:r>
      <w:r w:rsidR="00D105E9" w:rsidRPr="00F338A9">
        <w:t xml:space="preserve"> day of April 2017 and those are undisputed facts.</w:t>
      </w:r>
    </w:p>
    <w:p w:rsidR="000E1CA8" w:rsidRPr="002E4B52" w:rsidRDefault="002E4B52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t>[45</w:t>
      </w:r>
      <w:r w:rsidR="00D105E9" w:rsidRPr="00F338A9">
        <w:t>]</w:t>
      </w:r>
      <w:r w:rsidR="00D105E9" w:rsidRPr="00F338A9">
        <w:tab/>
        <w:t xml:space="preserve">Section 25 (2) clearly provides on </w:t>
      </w:r>
      <w:r>
        <w:t>“C</w:t>
      </w:r>
      <w:r w:rsidR="00D105E9" w:rsidRPr="00F338A9">
        <w:rPr>
          <w:i/>
        </w:rPr>
        <w:t>ommencement of Act</w:t>
      </w:r>
      <w:r w:rsidR="000E1CA8" w:rsidRPr="00F338A9">
        <w:rPr>
          <w:i/>
        </w:rPr>
        <w:t>s</w:t>
      </w:r>
      <w:r>
        <w:rPr>
          <w:i/>
        </w:rPr>
        <w:t>”</w:t>
      </w:r>
      <w:r w:rsidR="000E1CA8" w:rsidRPr="00F338A9">
        <w:t xml:space="preserve"> that, </w:t>
      </w:r>
      <w:r w:rsidR="000E1CA8" w:rsidRPr="002E4B52">
        <w:rPr>
          <w:i/>
        </w:rPr>
        <w:t>“An Act comes into operation on the date on which it is published in the gazette, or, if it is provided that the Act is to come in</w:t>
      </w:r>
      <w:r w:rsidRPr="002E4B52">
        <w:rPr>
          <w:i/>
        </w:rPr>
        <w:t xml:space="preserve">to </w:t>
      </w:r>
      <w:r w:rsidR="000E1CA8" w:rsidRPr="002E4B52">
        <w:rPr>
          <w:i/>
        </w:rPr>
        <w:t>operation on some other date, on that date.”</w:t>
      </w:r>
    </w:p>
    <w:p w:rsidR="000E1CA8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[46</w:t>
      </w:r>
      <w:r w:rsidR="000E1CA8" w:rsidRPr="00F338A9">
        <w:t>]</w:t>
      </w:r>
      <w:r w:rsidR="000E1CA8" w:rsidRPr="00F338A9">
        <w:tab/>
        <w:t>Having carefully scrutinized the provisions of the POPA as amended I have found no exception legislated as to the retro</w:t>
      </w:r>
      <w:r>
        <w:t>spective effect of the amended S</w:t>
      </w:r>
      <w:r w:rsidR="000E1CA8" w:rsidRPr="00F338A9">
        <w:t>ection 3 of POPA which extends the limitation period to five</w:t>
      </w:r>
      <w:r w:rsidR="00B610A1">
        <w:t xml:space="preserve"> years</w:t>
      </w:r>
      <w:r w:rsidR="000E1CA8" w:rsidRPr="00F338A9">
        <w:t xml:space="preserve"> instead of six months. On</w:t>
      </w:r>
      <w:r w:rsidR="00BD41AE" w:rsidRPr="00F338A9">
        <w:t xml:space="preserve"> that basis the arguments of Learned Counsel </w:t>
      </w:r>
      <w:r w:rsidR="000E1CA8" w:rsidRPr="00F338A9">
        <w:t xml:space="preserve">for the Plaintiff </w:t>
      </w:r>
      <w:r>
        <w:t>“</w:t>
      </w:r>
      <w:r w:rsidR="00BD41AE" w:rsidRPr="00F338A9">
        <w:rPr>
          <w:i/>
        </w:rPr>
        <w:t xml:space="preserve">does not </w:t>
      </w:r>
      <w:r w:rsidR="000E1CA8" w:rsidRPr="00F338A9">
        <w:rPr>
          <w:i/>
        </w:rPr>
        <w:t xml:space="preserve">hold </w:t>
      </w:r>
      <w:r w:rsidR="00BD41AE" w:rsidRPr="00F338A9">
        <w:rPr>
          <w:i/>
        </w:rPr>
        <w:t>good</w:t>
      </w:r>
      <w:r>
        <w:rPr>
          <w:i/>
        </w:rPr>
        <w:t>”</w:t>
      </w:r>
      <w:r w:rsidR="00B610A1">
        <w:rPr>
          <w:i/>
        </w:rPr>
        <w:t>,</w:t>
      </w:r>
      <w:r w:rsidR="000E1CA8" w:rsidRPr="00F338A9">
        <w:t xml:space="preserve"> for the intention of the legislator is transpired in the Act as published but </w:t>
      </w:r>
      <w:r w:rsidR="000E1CA8" w:rsidRPr="002E4B52">
        <w:rPr>
          <w:i/>
        </w:rPr>
        <w:t>“not undue and untenable inferences of law by the interpreters of the amended law”.</w:t>
      </w:r>
      <w:r w:rsidR="000E1CA8" w:rsidRPr="00F338A9">
        <w:t xml:space="preserve"> If that trend was to be adopted by the Court, I will venture to state tha</w:t>
      </w:r>
      <w:r w:rsidR="00BD41AE" w:rsidRPr="00F338A9">
        <w:t xml:space="preserve">t it would be not only usurping on the </w:t>
      </w:r>
      <w:r w:rsidR="000E1CA8" w:rsidRPr="00F338A9">
        <w:t>balance of power as far as legislating</w:t>
      </w:r>
      <w:r w:rsidR="00BD41AE" w:rsidRPr="00F338A9">
        <w:t xml:space="preserve"> laws</w:t>
      </w:r>
      <w:r w:rsidR="000E1CA8" w:rsidRPr="00F338A9">
        <w:t xml:space="preserve"> is concerned but als</w:t>
      </w:r>
      <w:r w:rsidR="00BD41AE" w:rsidRPr="00F338A9">
        <w:t xml:space="preserve">o reading </w:t>
      </w:r>
      <w:r w:rsidR="000E1CA8" w:rsidRPr="00F338A9">
        <w:t xml:space="preserve">into the law “what we want </w:t>
      </w:r>
      <w:r w:rsidR="000E1CA8" w:rsidRPr="00F338A9">
        <w:lastRenderedPageBreak/>
        <w:t>to have</w:t>
      </w:r>
      <w:r w:rsidR="00BD41AE" w:rsidRPr="00F338A9">
        <w:t xml:space="preserve"> and hear</w:t>
      </w:r>
      <w:r w:rsidR="000E1CA8" w:rsidRPr="00F338A9">
        <w:t xml:space="preserve"> as individual citizens” rather than “interpreting the law as is”. In this case, should the legislator have intended to have the amended section 3 of POPA to apply retrospectively they would have done so expressly and not leave it to litiga</w:t>
      </w:r>
      <w:r w:rsidR="00BD41AE" w:rsidRPr="00F338A9">
        <w:t>nts to speculate which fin</w:t>
      </w:r>
      <w:r w:rsidR="000E1CA8" w:rsidRPr="00F338A9">
        <w:t>al</w:t>
      </w:r>
      <w:r w:rsidR="00BD41AE" w:rsidRPr="00F338A9">
        <w:t>l</w:t>
      </w:r>
      <w:r w:rsidR="000E1CA8" w:rsidRPr="00F338A9">
        <w:t xml:space="preserve">y brings me to the maxim of </w:t>
      </w:r>
      <w:r w:rsidR="000E1CA8" w:rsidRPr="002E4B52">
        <w:rPr>
          <w:i/>
        </w:rPr>
        <w:t>“dura lex cedlex”.</w:t>
      </w:r>
    </w:p>
    <w:p w:rsidR="00F338A9" w:rsidRPr="00F338A9" w:rsidRDefault="002E4B52" w:rsidP="004A69A8">
      <w:pPr>
        <w:pStyle w:val="JudgmentText"/>
        <w:numPr>
          <w:ilvl w:val="0"/>
          <w:numId w:val="0"/>
        </w:numPr>
        <w:ind w:left="720" w:hanging="720"/>
      </w:pPr>
      <w:r>
        <w:t>[47</w:t>
      </w:r>
      <w:r w:rsidR="00BD41AE" w:rsidRPr="00F338A9">
        <w:t>]</w:t>
      </w:r>
      <w:r w:rsidR="00BD41AE" w:rsidRPr="00F338A9">
        <w:tab/>
      </w:r>
      <w:r w:rsidR="004C0BB3" w:rsidRPr="00F338A9">
        <w:t>On the above ba</w:t>
      </w:r>
      <w:r w:rsidR="00C95987" w:rsidRPr="00F338A9">
        <w:t>s</w:t>
      </w:r>
      <w:r w:rsidR="004C0BB3" w:rsidRPr="00F338A9">
        <w:t xml:space="preserve">is therefore, it is hereby ruled on the first </w:t>
      </w:r>
      <w:r w:rsidR="00F338A9" w:rsidRPr="00F338A9">
        <w:t xml:space="preserve">and second </w:t>
      </w:r>
      <w:r w:rsidR="004C0BB3" w:rsidRPr="00B610A1">
        <w:rPr>
          <w:i/>
        </w:rPr>
        <w:t>plea in limine litis</w:t>
      </w:r>
      <w:r w:rsidR="00F338A9" w:rsidRPr="00F338A9">
        <w:t xml:space="preserve">(as consolidated) </w:t>
      </w:r>
      <w:r w:rsidR="004C0BB3" w:rsidRPr="00F338A9">
        <w:t xml:space="preserve">as </w:t>
      </w:r>
      <w:r w:rsidR="00F338A9" w:rsidRPr="00F338A9">
        <w:t>analysed</w:t>
      </w:r>
      <w:r w:rsidR="004C0BB3" w:rsidRPr="00F338A9">
        <w:t xml:space="preserve"> at</w:t>
      </w:r>
      <w:r>
        <w:t xml:space="preserve"> paragraphs [26] to [46</w:t>
      </w:r>
      <w:r w:rsidR="00DC3CA0" w:rsidRPr="00F338A9">
        <w:t xml:space="preserve">] of </w:t>
      </w:r>
      <w:r w:rsidR="004C0BB3" w:rsidRPr="00F338A9">
        <w:t>this Ruling</w:t>
      </w:r>
      <w:r w:rsidR="00F338A9" w:rsidRPr="00F338A9">
        <w:t xml:space="preserve"> (supra)</w:t>
      </w:r>
      <w:r w:rsidR="004C0BB3" w:rsidRPr="00F338A9">
        <w:t>, that the Plaintiffs failed to initiate the</w:t>
      </w:r>
      <w:r w:rsidR="000D75BF" w:rsidRPr="00F338A9">
        <w:t xml:space="preserve">ir alleged action against the </w:t>
      </w:r>
      <w:r w:rsidR="00F356BF">
        <w:t>2</w:t>
      </w:r>
      <w:r w:rsidR="00F356BF" w:rsidRPr="00F356BF">
        <w:rPr>
          <w:vertAlign w:val="superscript"/>
        </w:rPr>
        <w:t>nd</w:t>
      </w:r>
      <w:r w:rsidR="00F356BF">
        <w:t xml:space="preserve"> and 3</w:t>
      </w:r>
      <w:r w:rsidR="00F356BF" w:rsidRPr="00F356BF">
        <w:rPr>
          <w:vertAlign w:val="superscript"/>
        </w:rPr>
        <w:t>rd</w:t>
      </w:r>
      <w:r w:rsidR="00F356BF">
        <w:t xml:space="preserve"> </w:t>
      </w:r>
      <w:r w:rsidR="00B60BD9">
        <w:t>Defendant</w:t>
      </w:r>
      <w:r w:rsidR="004C0BB3" w:rsidRPr="00F338A9">
        <w:t xml:space="preserve">s </w:t>
      </w:r>
      <w:r w:rsidR="00F338A9" w:rsidRPr="005C58E9">
        <w:rPr>
          <w:i/>
        </w:rPr>
        <w:t xml:space="preserve">“alleged </w:t>
      </w:r>
      <w:r w:rsidR="00F356BF" w:rsidRPr="00F356BF">
        <w:rPr>
          <w:i/>
        </w:rPr>
        <w:t>preposés</w:t>
      </w:r>
      <w:r w:rsidR="00F338A9" w:rsidRPr="005C58E9">
        <w:rPr>
          <w:i/>
        </w:rPr>
        <w:t>”</w:t>
      </w:r>
      <w:r w:rsidR="004A69A8">
        <w:rPr>
          <w:i/>
        </w:rPr>
        <w:t xml:space="preserve"> </w:t>
      </w:r>
      <w:r w:rsidR="004C0BB3" w:rsidRPr="00F338A9">
        <w:t xml:space="preserve">of the </w:t>
      </w:r>
      <w:r w:rsidR="005C58E9">
        <w:t>F</w:t>
      </w:r>
      <w:r w:rsidR="00F338A9" w:rsidRPr="00F338A9">
        <w:t xml:space="preserve">irst </w:t>
      </w:r>
      <w:r w:rsidR="00B60BD9">
        <w:t>Defendant</w:t>
      </w:r>
      <w:r w:rsidR="004C0BB3" w:rsidRPr="00F338A9">
        <w:t xml:space="preserve"> within the statu</w:t>
      </w:r>
      <w:r w:rsidR="00C95987" w:rsidRPr="00F338A9">
        <w:t xml:space="preserve">tory </w:t>
      </w:r>
      <w:r w:rsidR="00DC3CA0" w:rsidRPr="00F338A9">
        <w:t>limit</w:t>
      </w:r>
      <w:r w:rsidR="00C95987" w:rsidRPr="00F338A9">
        <w:t xml:space="preserve">ation </w:t>
      </w:r>
      <w:r w:rsidR="00DC3CA0" w:rsidRPr="00F338A9">
        <w:t>period of six (6)</w:t>
      </w:r>
      <w:r w:rsidR="005C58E9">
        <w:t xml:space="preserve"> months as prescribed under S</w:t>
      </w:r>
      <w:r w:rsidR="004C0BB3" w:rsidRPr="00F338A9">
        <w:t>ectio</w:t>
      </w:r>
      <w:r w:rsidR="00C95987" w:rsidRPr="00F338A9">
        <w:t xml:space="preserve">n </w:t>
      </w:r>
      <w:r w:rsidR="004C0BB3" w:rsidRPr="00F338A9">
        <w:t xml:space="preserve">3 of the </w:t>
      </w:r>
      <w:r w:rsidR="00F338A9" w:rsidRPr="00F338A9">
        <w:t>POPA as at the date of the arising of the cause of action and that is the 30</w:t>
      </w:r>
      <w:r w:rsidR="00F338A9" w:rsidRPr="00F338A9">
        <w:rPr>
          <w:vertAlign w:val="superscript"/>
        </w:rPr>
        <w:t>th</w:t>
      </w:r>
      <w:r w:rsidR="00F338A9" w:rsidRPr="00F338A9">
        <w:t xml:space="preserve"> of October 2014 and not 13</w:t>
      </w:r>
      <w:r w:rsidR="00F338A9" w:rsidRPr="00F338A9">
        <w:rPr>
          <w:vertAlign w:val="superscript"/>
        </w:rPr>
        <w:t>th</w:t>
      </w:r>
      <w:r w:rsidR="005C58E9">
        <w:t xml:space="preserve"> September 2016 9for reasons as explained) (supra).</w:t>
      </w:r>
    </w:p>
    <w:p w:rsidR="00DC3CA0" w:rsidRPr="00F338A9" w:rsidRDefault="005C58E9" w:rsidP="004A69A8">
      <w:pPr>
        <w:pStyle w:val="JudgmentText"/>
        <w:numPr>
          <w:ilvl w:val="0"/>
          <w:numId w:val="0"/>
        </w:numPr>
        <w:ind w:left="720" w:hanging="720"/>
      </w:pPr>
      <w:r>
        <w:t>[48</w:t>
      </w:r>
      <w:r w:rsidR="00F338A9" w:rsidRPr="00F338A9">
        <w:t>]</w:t>
      </w:r>
      <w:r w:rsidR="00F338A9" w:rsidRPr="00F338A9">
        <w:tab/>
      </w:r>
      <w:r w:rsidR="00DC3CA0" w:rsidRPr="00F338A9">
        <w:t xml:space="preserve">It follows, therefore that the first </w:t>
      </w:r>
      <w:r w:rsidR="00F338A9" w:rsidRPr="00F338A9">
        <w:t xml:space="preserve">and second </w:t>
      </w:r>
      <w:r w:rsidR="00DC3CA0" w:rsidRPr="00B610A1">
        <w:rPr>
          <w:i/>
        </w:rPr>
        <w:t>plea in limine litis</w:t>
      </w:r>
      <w:r w:rsidR="00F338A9" w:rsidRPr="00F338A9">
        <w:t>(as consolidated) as to the filing of the P</w:t>
      </w:r>
      <w:r>
        <w:t>laint of the P</w:t>
      </w:r>
      <w:r w:rsidR="00DC3CA0" w:rsidRPr="00F338A9">
        <w:t>laintiffs</w:t>
      </w:r>
      <w:r>
        <w:t xml:space="preserve"> being out of time contrary to S</w:t>
      </w:r>
      <w:r w:rsidR="00DC3CA0" w:rsidRPr="00F338A9">
        <w:t xml:space="preserve">ection 3 of the </w:t>
      </w:r>
      <w:r w:rsidR="00F338A9" w:rsidRPr="00F338A9">
        <w:t>POPA</w:t>
      </w:r>
      <w:r w:rsidR="00546E79" w:rsidRPr="00F338A9">
        <w:t>, is her</w:t>
      </w:r>
      <w:r>
        <w:t>eby upheld accordingly and the P</w:t>
      </w:r>
      <w:r w:rsidR="00546E79" w:rsidRPr="00F338A9">
        <w:t>laint is accordingly dismissed</w:t>
      </w:r>
      <w:r>
        <w:t xml:space="preserve"> with respect to the </w:t>
      </w:r>
      <w:r w:rsidR="00F356BF">
        <w:t>2</w:t>
      </w:r>
      <w:r w:rsidR="00F356BF" w:rsidRPr="00F356BF">
        <w:rPr>
          <w:vertAlign w:val="superscript"/>
        </w:rPr>
        <w:t>nd</w:t>
      </w:r>
      <w:r w:rsidR="00F356BF">
        <w:t xml:space="preserve"> and 3</w:t>
      </w:r>
      <w:r w:rsidR="00F356BF" w:rsidRPr="00F356BF">
        <w:rPr>
          <w:vertAlign w:val="superscript"/>
        </w:rPr>
        <w:t>rd</w:t>
      </w:r>
      <w:r w:rsidR="00F356BF">
        <w:t xml:space="preserve"> </w:t>
      </w:r>
      <w:r w:rsidR="00B60BD9">
        <w:t>Defendant</w:t>
      </w:r>
      <w:r w:rsidR="00F356BF">
        <w:t>s.</w:t>
      </w:r>
    </w:p>
    <w:p w:rsidR="00DC3CA0" w:rsidRDefault="005C58E9" w:rsidP="004A69A8">
      <w:pPr>
        <w:pStyle w:val="JudgmentText"/>
        <w:numPr>
          <w:ilvl w:val="0"/>
          <w:numId w:val="0"/>
        </w:numPr>
        <w:ind w:left="720" w:hanging="720"/>
        <w:rPr>
          <w:i/>
        </w:rPr>
      </w:pPr>
      <w:r>
        <w:t>[49</w:t>
      </w:r>
      <w:r w:rsidR="00DC3CA0" w:rsidRPr="00F338A9">
        <w:t>]</w:t>
      </w:r>
      <w:r w:rsidR="00DC3CA0" w:rsidRPr="00F338A9">
        <w:tab/>
        <w:t xml:space="preserve">As indicated earlier, since the point </w:t>
      </w:r>
      <w:r w:rsidR="00EE1219" w:rsidRPr="00F338A9">
        <w:t xml:space="preserve">of law </w:t>
      </w:r>
      <w:r w:rsidR="00DC3CA0" w:rsidRPr="00F338A9">
        <w:t xml:space="preserve">on prescription disposes of the alleged cause of action </w:t>
      </w:r>
      <w:r>
        <w:t xml:space="preserve">as against the </w:t>
      </w:r>
      <w:r w:rsidR="00F356BF">
        <w:t>2</w:t>
      </w:r>
      <w:r w:rsidR="00F356BF" w:rsidRPr="00F356BF">
        <w:rPr>
          <w:vertAlign w:val="superscript"/>
        </w:rPr>
        <w:t>nd</w:t>
      </w:r>
      <w:r w:rsidR="00F356BF">
        <w:t xml:space="preserve"> and 3</w:t>
      </w:r>
      <w:r w:rsidR="00F356BF" w:rsidRPr="00F356BF">
        <w:rPr>
          <w:vertAlign w:val="superscript"/>
        </w:rPr>
        <w:t>rd</w:t>
      </w:r>
      <w:r w:rsidR="00F356BF">
        <w:t xml:space="preserve"> </w:t>
      </w:r>
      <w:r w:rsidR="00B60BD9">
        <w:t>Defendant</w:t>
      </w:r>
      <w:r>
        <w:t>s</w:t>
      </w:r>
      <w:r w:rsidR="004A69A8">
        <w:t xml:space="preserve"> </w:t>
      </w:r>
      <w:r w:rsidR="00DC3CA0" w:rsidRPr="00F338A9">
        <w:t>then I consider in th</w:t>
      </w:r>
      <w:r w:rsidR="00F338A9" w:rsidRPr="00F338A9">
        <w:t>e circumstances the other point</w:t>
      </w:r>
      <w:r w:rsidR="00DC3CA0" w:rsidRPr="00F338A9">
        <w:t xml:space="preserve"> raised at paragra</w:t>
      </w:r>
      <w:r w:rsidR="00F338A9" w:rsidRPr="00F338A9">
        <w:t>ph [3</w:t>
      </w:r>
      <w:r w:rsidR="00DC3CA0" w:rsidRPr="00F338A9">
        <w:t>]</w:t>
      </w:r>
      <w:r w:rsidR="00F338A9" w:rsidRPr="00F338A9">
        <w:t xml:space="preserve"> (iii) o</w:t>
      </w:r>
      <w:r w:rsidR="00EE1219" w:rsidRPr="00F338A9">
        <w:t xml:space="preserve">f this Ruling </w:t>
      </w:r>
      <w:r>
        <w:t>to be</w:t>
      </w:r>
      <w:r w:rsidR="004A69A8">
        <w:t xml:space="preserve"> </w:t>
      </w:r>
      <w:r w:rsidR="00DC3CA0" w:rsidRPr="00F338A9">
        <w:t xml:space="preserve">redundant in all the circumstances of this </w:t>
      </w:r>
      <w:r w:rsidR="00DC3CA0" w:rsidRPr="00B610A1">
        <w:t xml:space="preserve">case </w:t>
      </w:r>
      <w:r w:rsidRPr="005C58E9">
        <w:rPr>
          <w:b/>
        </w:rPr>
        <w:t xml:space="preserve">(AS REGARDS THE </w:t>
      </w:r>
      <w:r w:rsidR="00B60BD9">
        <w:rPr>
          <w:b/>
        </w:rPr>
        <w:t>DEFENDANT</w:t>
      </w:r>
      <w:r w:rsidRPr="005C58E9">
        <w:rPr>
          <w:b/>
        </w:rPr>
        <w:t>S)</w:t>
      </w:r>
      <w:r w:rsidR="004A69A8">
        <w:rPr>
          <w:b/>
        </w:rPr>
        <w:t xml:space="preserve"> </w:t>
      </w:r>
      <w:r w:rsidR="00DC3CA0" w:rsidRPr="005C58E9">
        <w:rPr>
          <w:b/>
        </w:rPr>
        <w:t xml:space="preserve">but </w:t>
      </w:r>
      <w:r w:rsidRPr="005C58E9">
        <w:rPr>
          <w:b/>
        </w:rPr>
        <w:t xml:space="preserve">FOR THE PURPOSE OF CLARITY </w:t>
      </w:r>
      <w:r>
        <w:t xml:space="preserve">on the issue as raised with regards, </w:t>
      </w:r>
      <w:r w:rsidRPr="005C58E9">
        <w:rPr>
          <w:i/>
        </w:rPr>
        <w:t>“of a Plaint being bad in law for non-joinder”</w:t>
      </w:r>
      <w:r>
        <w:t xml:space="preserve">, I wish to refer to the provisions of Sections 109, 110 and 112 of the Seychelles Code of Civil Procedure (Cap 213), wherein it is clearly provided that, </w:t>
      </w:r>
      <w:r w:rsidRPr="005C58E9">
        <w:rPr>
          <w:i/>
        </w:rPr>
        <w:t xml:space="preserve">“no cause or matter shall be defeated by reason of the mis-joinder </w:t>
      </w:r>
      <w:r>
        <w:rPr>
          <w:i/>
        </w:rPr>
        <w:t xml:space="preserve">or non-joinder </w:t>
      </w:r>
      <w:r w:rsidRPr="005C58E9">
        <w:rPr>
          <w:i/>
        </w:rPr>
        <w:t>of parties and the court may in every cause or matter deal with the matter in controversy so far as regards the rights and interests of the parties actually before it….”</w:t>
      </w:r>
    </w:p>
    <w:p w:rsidR="005C58E9" w:rsidRPr="005C58E9" w:rsidRDefault="005C58E9" w:rsidP="004A69A8">
      <w:pPr>
        <w:pStyle w:val="JudgmentText"/>
        <w:numPr>
          <w:ilvl w:val="0"/>
          <w:numId w:val="0"/>
        </w:numPr>
        <w:ind w:left="720" w:hanging="720"/>
      </w:pPr>
      <w:r>
        <w:rPr>
          <w:i/>
        </w:rPr>
        <w:tab/>
      </w:r>
      <w:r w:rsidRPr="005C58E9">
        <w:t xml:space="preserve">(Emphasis mine). </w:t>
      </w:r>
    </w:p>
    <w:p w:rsidR="00721FF1" w:rsidRPr="00F338A9" w:rsidRDefault="005C58E9" w:rsidP="004A6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[50]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end result, the Plaint is dismissed as against the </w:t>
      </w:r>
      <w:r w:rsidR="00603C3E">
        <w:rPr>
          <w:rFonts w:ascii="Times New Roman" w:hAnsi="Times New Roman" w:cs="Times New Roman"/>
          <w:sz w:val="24"/>
          <w:szCs w:val="24"/>
        </w:rPr>
        <w:t>2</w:t>
      </w:r>
      <w:r w:rsidR="00603C3E" w:rsidRPr="00603C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03C3E">
        <w:rPr>
          <w:rFonts w:ascii="Times New Roman" w:hAnsi="Times New Roman" w:cs="Times New Roman"/>
          <w:sz w:val="24"/>
          <w:szCs w:val="24"/>
        </w:rPr>
        <w:t xml:space="preserve"> and 3</w:t>
      </w:r>
      <w:r w:rsidR="00603C3E" w:rsidRPr="00603C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3C3E">
        <w:rPr>
          <w:rFonts w:ascii="Times New Roman" w:hAnsi="Times New Roman" w:cs="Times New Roman"/>
          <w:sz w:val="24"/>
          <w:szCs w:val="24"/>
        </w:rPr>
        <w:t xml:space="preserve"> </w:t>
      </w:r>
      <w:r w:rsidR="00B60BD9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 xml:space="preserve">s and the </w:t>
      </w:r>
      <w:r w:rsidR="00603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matter</w:t>
      </w:r>
      <w:r w:rsidR="00603C3E">
        <w:rPr>
          <w:rFonts w:ascii="Times New Roman" w:hAnsi="Times New Roman" w:cs="Times New Roman"/>
          <w:sz w:val="24"/>
          <w:szCs w:val="24"/>
        </w:rPr>
        <w:t xml:space="preserve"> shall </w:t>
      </w:r>
      <w:r w:rsidR="000B7E16">
        <w:rPr>
          <w:rFonts w:ascii="Times New Roman" w:hAnsi="Times New Roman" w:cs="Times New Roman"/>
          <w:sz w:val="24"/>
          <w:szCs w:val="24"/>
        </w:rPr>
        <w:t>proceed as against the f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</w:rPr>
        <w:t xml:space="preserve">irst </w:t>
      </w:r>
      <w:r w:rsidR="00B60BD9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 xml:space="preserve"> accordingly (subject to amendments </w:t>
      </w:r>
      <w:r w:rsidR="00603C3E">
        <w:rPr>
          <w:rFonts w:ascii="Times New Roman" w:hAnsi="Times New Roman" w:cs="Times New Roman"/>
          <w:sz w:val="24"/>
          <w:szCs w:val="24"/>
        </w:rPr>
        <w:tab/>
        <w:t xml:space="preserve">should the </w:t>
      </w:r>
      <w:r>
        <w:rPr>
          <w:rFonts w:ascii="Times New Roman" w:hAnsi="Times New Roman" w:cs="Times New Roman"/>
          <w:sz w:val="24"/>
          <w:szCs w:val="24"/>
        </w:rPr>
        <w:t xml:space="preserve">Plaintiffs wish to do so). </w:t>
      </w:r>
    </w:p>
    <w:p w:rsidR="005C6555" w:rsidRDefault="005C6555" w:rsidP="004A69A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721FF1" w:rsidRPr="00F338A9" w:rsidRDefault="00721FF1" w:rsidP="004A69A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 w:rsidRPr="00F338A9">
        <w:rPr>
          <w:sz w:val="24"/>
          <w:szCs w:val="24"/>
        </w:rPr>
        <w:t xml:space="preserve">Signed, dated and delivered at Ile du Port on </w:t>
      </w:r>
      <w:r w:rsidR="005C58E9">
        <w:rPr>
          <w:sz w:val="24"/>
          <w:szCs w:val="24"/>
        </w:rPr>
        <w:t>19</w:t>
      </w:r>
      <w:r w:rsidR="005C58E9" w:rsidRPr="005C58E9">
        <w:rPr>
          <w:sz w:val="24"/>
          <w:szCs w:val="24"/>
          <w:vertAlign w:val="superscript"/>
        </w:rPr>
        <w:t>th</w:t>
      </w:r>
      <w:r w:rsidR="004A69A8">
        <w:rPr>
          <w:sz w:val="24"/>
          <w:szCs w:val="24"/>
          <w:vertAlign w:val="superscript"/>
        </w:rPr>
        <w:t xml:space="preserve"> </w:t>
      </w:r>
      <w:r w:rsidRPr="00F338A9">
        <w:rPr>
          <w:sz w:val="24"/>
          <w:szCs w:val="24"/>
        </w:rPr>
        <w:t xml:space="preserve">day of </w:t>
      </w:r>
      <w:r w:rsidR="005C58E9">
        <w:rPr>
          <w:sz w:val="24"/>
          <w:szCs w:val="24"/>
        </w:rPr>
        <w:t>January 2018</w:t>
      </w:r>
      <w:r w:rsidRPr="00F338A9">
        <w:rPr>
          <w:sz w:val="24"/>
          <w:szCs w:val="24"/>
        </w:rPr>
        <w:t>.</w:t>
      </w:r>
    </w:p>
    <w:p w:rsidR="00721FF1" w:rsidRPr="00F338A9" w:rsidRDefault="00721FF1" w:rsidP="004A69A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721FF1" w:rsidRPr="00F338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6555" w:rsidRDefault="005C6555" w:rsidP="004A69A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5C6555" w:rsidRDefault="005C6555" w:rsidP="004A69A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03C3E" w:rsidRDefault="00603C3E" w:rsidP="004A69A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5C6555" w:rsidRPr="00F338A9" w:rsidRDefault="005C6555" w:rsidP="004A69A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21FF1" w:rsidRPr="00F338A9" w:rsidRDefault="00721FF1" w:rsidP="004A69A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F338A9">
        <w:rPr>
          <w:sz w:val="24"/>
          <w:szCs w:val="24"/>
        </w:rPr>
        <w:t xml:space="preserve">S. Govinden </w:t>
      </w:r>
    </w:p>
    <w:p w:rsidR="00721FF1" w:rsidRPr="00F338A9" w:rsidRDefault="00721FF1" w:rsidP="004A69A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F338A9">
        <w:rPr>
          <w:b/>
          <w:sz w:val="24"/>
          <w:szCs w:val="24"/>
        </w:rPr>
        <w:t xml:space="preserve">Judge of the Supreme Court </w:t>
      </w:r>
    </w:p>
    <w:p w:rsidR="00EF2051" w:rsidRPr="00F338A9" w:rsidRDefault="00EF2051" w:rsidP="004A69A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RPr="00F338A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E05E5" w:rsidRPr="00F338A9" w:rsidRDefault="009E05E5" w:rsidP="004A69A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sectPr w:rsidR="009E05E5" w:rsidRPr="00F338A9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BF" w:rsidRDefault="00F356BF" w:rsidP="00DB6D34">
      <w:r>
        <w:separator/>
      </w:r>
    </w:p>
  </w:endnote>
  <w:endnote w:type="continuationSeparator" w:id="1">
    <w:p w:rsidR="00F356BF" w:rsidRDefault="00F356B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BF" w:rsidRDefault="00F356BF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BF" w:rsidRDefault="00F356BF">
    <w:pPr>
      <w:pStyle w:val="Footer"/>
      <w:jc w:val="center"/>
    </w:pPr>
    <w:fldSimple w:instr=" PAGE   \* MERGEFORMAT ">
      <w:r w:rsidR="003E2151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BF" w:rsidRDefault="00F356BF" w:rsidP="00DB6D34">
      <w:r>
        <w:separator/>
      </w:r>
    </w:p>
  </w:footnote>
  <w:footnote w:type="continuationSeparator" w:id="1">
    <w:p w:rsidR="00F356BF" w:rsidRDefault="00F356B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17E5650F"/>
    <w:multiLevelType w:val="hybridMultilevel"/>
    <w:tmpl w:val="80106548"/>
    <w:lvl w:ilvl="0" w:tplc="ED8EF3A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10BD6"/>
    <w:multiLevelType w:val="hybridMultilevel"/>
    <w:tmpl w:val="67A0FDA4"/>
    <w:lvl w:ilvl="0" w:tplc="7B0A9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A382D65"/>
    <w:multiLevelType w:val="hybridMultilevel"/>
    <w:tmpl w:val="832C9D04"/>
    <w:lvl w:ilvl="0" w:tplc="DC2ADB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4820"/>
    <w:multiLevelType w:val="multilevel"/>
    <w:tmpl w:val="1CC89892"/>
    <w:numStyleLink w:val="Judgments"/>
  </w:abstractNum>
  <w:abstractNum w:abstractNumId="8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AxNzMwMjc0NgCyjJR0lIJTi4sz8/NACsxqAVrYfFssAAAA"/>
  </w:docVars>
  <w:rsids>
    <w:rsidRoot w:val="00A573DD"/>
    <w:rsid w:val="00000320"/>
    <w:rsid w:val="000052F3"/>
    <w:rsid w:val="00005692"/>
    <w:rsid w:val="00005BEF"/>
    <w:rsid w:val="00030C81"/>
    <w:rsid w:val="0006489F"/>
    <w:rsid w:val="00067B0A"/>
    <w:rsid w:val="00075573"/>
    <w:rsid w:val="00091036"/>
    <w:rsid w:val="00093374"/>
    <w:rsid w:val="000A10B8"/>
    <w:rsid w:val="000B7E16"/>
    <w:rsid w:val="000D1DD3"/>
    <w:rsid w:val="000D75BF"/>
    <w:rsid w:val="000E1CA8"/>
    <w:rsid w:val="000E39A5"/>
    <w:rsid w:val="000E7400"/>
    <w:rsid w:val="001008BC"/>
    <w:rsid w:val="00101D12"/>
    <w:rsid w:val="00104284"/>
    <w:rsid w:val="00117CBF"/>
    <w:rsid w:val="00126A10"/>
    <w:rsid w:val="001376AB"/>
    <w:rsid w:val="001439BF"/>
    <w:rsid w:val="00144612"/>
    <w:rsid w:val="0015152A"/>
    <w:rsid w:val="001529B0"/>
    <w:rsid w:val="0015684D"/>
    <w:rsid w:val="0016510C"/>
    <w:rsid w:val="00180158"/>
    <w:rsid w:val="001B23C9"/>
    <w:rsid w:val="001B4125"/>
    <w:rsid w:val="001D30F7"/>
    <w:rsid w:val="001E4ED8"/>
    <w:rsid w:val="0020244B"/>
    <w:rsid w:val="00231C17"/>
    <w:rsid w:val="00236AAC"/>
    <w:rsid w:val="00242DF4"/>
    <w:rsid w:val="0024353F"/>
    <w:rsid w:val="002474D4"/>
    <w:rsid w:val="00290E14"/>
    <w:rsid w:val="002A7376"/>
    <w:rsid w:val="002B2255"/>
    <w:rsid w:val="002B4478"/>
    <w:rsid w:val="002B5115"/>
    <w:rsid w:val="002C7560"/>
    <w:rsid w:val="002D06AA"/>
    <w:rsid w:val="002D67FC"/>
    <w:rsid w:val="002E4B52"/>
    <w:rsid w:val="002E6963"/>
    <w:rsid w:val="002E6A47"/>
    <w:rsid w:val="002F40A1"/>
    <w:rsid w:val="002F4A1B"/>
    <w:rsid w:val="002F7473"/>
    <w:rsid w:val="00301D88"/>
    <w:rsid w:val="00304E76"/>
    <w:rsid w:val="003100C3"/>
    <w:rsid w:val="0031329C"/>
    <w:rsid w:val="00322816"/>
    <w:rsid w:val="00323C56"/>
    <w:rsid w:val="003558FD"/>
    <w:rsid w:val="003647E7"/>
    <w:rsid w:val="003651F4"/>
    <w:rsid w:val="0037270D"/>
    <w:rsid w:val="00377341"/>
    <w:rsid w:val="003820A5"/>
    <w:rsid w:val="003838CC"/>
    <w:rsid w:val="003862CB"/>
    <w:rsid w:val="0038700C"/>
    <w:rsid w:val="003B461C"/>
    <w:rsid w:val="003B4C19"/>
    <w:rsid w:val="003D58AA"/>
    <w:rsid w:val="003D7B97"/>
    <w:rsid w:val="003E2151"/>
    <w:rsid w:val="003E2ABC"/>
    <w:rsid w:val="003F0F8D"/>
    <w:rsid w:val="003F3962"/>
    <w:rsid w:val="004156B9"/>
    <w:rsid w:val="004162D0"/>
    <w:rsid w:val="00445BFA"/>
    <w:rsid w:val="00452BB6"/>
    <w:rsid w:val="00453A09"/>
    <w:rsid w:val="0046133B"/>
    <w:rsid w:val="004A00A5"/>
    <w:rsid w:val="004A69A8"/>
    <w:rsid w:val="004B05AE"/>
    <w:rsid w:val="004B57B1"/>
    <w:rsid w:val="004C0BB3"/>
    <w:rsid w:val="004C3D80"/>
    <w:rsid w:val="004C502B"/>
    <w:rsid w:val="004F2059"/>
    <w:rsid w:val="004F3823"/>
    <w:rsid w:val="00514CB6"/>
    <w:rsid w:val="005207C8"/>
    <w:rsid w:val="005248A7"/>
    <w:rsid w:val="00530663"/>
    <w:rsid w:val="00546E79"/>
    <w:rsid w:val="0055036F"/>
    <w:rsid w:val="005514D6"/>
    <w:rsid w:val="0055241A"/>
    <w:rsid w:val="00552704"/>
    <w:rsid w:val="00554577"/>
    <w:rsid w:val="00572AB3"/>
    <w:rsid w:val="00576041"/>
    <w:rsid w:val="00580531"/>
    <w:rsid w:val="005836AC"/>
    <w:rsid w:val="00584583"/>
    <w:rsid w:val="00594FAC"/>
    <w:rsid w:val="005B7B62"/>
    <w:rsid w:val="005C157B"/>
    <w:rsid w:val="005C3BDD"/>
    <w:rsid w:val="005C5493"/>
    <w:rsid w:val="005C5690"/>
    <w:rsid w:val="005C58E9"/>
    <w:rsid w:val="005C6555"/>
    <w:rsid w:val="005D68A3"/>
    <w:rsid w:val="005F5FB0"/>
    <w:rsid w:val="0060228F"/>
    <w:rsid w:val="00603C3E"/>
    <w:rsid w:val="00606587"/>
    <w:rsid w:val="00606EEA"/>
    <w:rsid w:val="00612AD5"/>
    <w:rsid w:val="006174DB"/>
    <w:rsid w:val="006230A0"/>
    <w:rsid w:val="00631448"/>
    <w:rsid w:val="0064023C"/>
    <w:rsid w:val="00654CAA"/>
    <w:rsid w:val="006578C2"/>
    <w:rsid w:val="00661E88"/>
    <w:rsid w:val="00666D33"/>
    <w:rsid w:val="0068598F"/>
    <w:rsid w:val="00695110"/>
    <w:rsid w:val="006A58E4"/>
    <w:rsid w:val="006C4389"/>
    <w:rsid w:val="006D36C9"/>
    <w:rsid w:val="006D5139"/>
    <w:rsid w:val="0070785D"/>
    <w:rsid w:val="007175A6"/>
    <w:rsid w:val="00720EA9"/>
    <w:rsid w:val="00721FF1"/>
    <w:rsid w:val="0073450B"/>
    <w:rsid w:val="00744508"/>
    <w:rsid w:val="007541BC"/>
    <w:rsid w:val="00760DAB"/>
    <w:rsid w:val="007641E5"/>
    <w:rsid w:val="007728D0"/>
    <w:rsid w:val="00773E47"/>
    <w:rsid w:val="00784614"/>
    <w:rsid w:val="00785812"/>
    <w:rsid w:val="007A47DC"/>
    <w:rsid w:val="007B6002"/>
    <w:rsid w:val="007B6178"/>
    <w:rsid w:val="007C2809"/>
    <w:rsid w:val="007D416E"/>
    <w:rsid w:val="0080556F"/>
    <w:rsid w:val="00807411"/>
    <w:rsid w:val="00813302"/>
    <w:rsid w:val="00814CF5"/>
    <w:rsid w:val="00816425"/>
    <w:rsid w:val="008170F4"/>
    <w:rsid w:val="00821758"/>
    <w:rsid w:val="00823079"/>
    <w:rsid w:val="0083298A"/>
    <w:rsid w:val="00841387"/>
    <w:rsid w:val="008472B3"/>
    <w:rsid w:val="008478D6"/>
    <w:rsid w:val="00857A7F"/>
    <w:rsid w:val="008602C0"/>
    <w:rsid w:val="008A5208"/>
    <w:rsid w:val="008B75CE"/>
    <w:rsid w:val="008B773E"/>
    <w:rsid w:val="008B7D40"/>
    <w:rsid w:val="008C0FD6"/>
    <w:rsid w:val="008D2D2C"/>
    <w:rsid w:val="008E1DB1"/>
    <w:rsid w:val="008E512C"/>
    <w:rsid w:val="008E7749"/>
    <w:rsid w:val="008E7F92"/>
    <w:rsid w:val="008F0C10"/>
    <w:rsid w:val="008F38F7"/>
    <w:rsid w:val="008F6E37"/>
    <w:rsid w:val="00902D3C"/>
    <w:rsid w:val="009106DC"/>
    <w:rsid w:val="00926D09"/>
    <w:rsid w:val="00927982"/>
    <w:rsid w:val="009336BA"/>
    <w:rsid w:val="00937FB4"/>
    <w:rsid w:val="0094087C"/>
    <w:rsid w:val="00951EC0"/>
    <w:rsid w:val="0096041D"/>
    <w:rsid w:val="0096428F"/>
    <w:rsid w:val="0097460D"/>
    <w:rsid w:val="00981287"/>
    <w:rsid w:val="00982F75"/>
    <w:rsid w:val="00983045"/>
    <w:rsid w:val="009927D3"/>
    <w:rsid w:val="009C437E"/>
    <w:rsid w:val="009D5679"/>
    <w:rsid w:val="009E05E5"/>
    <w:rsid w:val="009E15F5"/>
    <w:rsid w:val="009F1B68"/>
    <w:rsid w:val="009F4DC4"/>
    <w:rsid w:val="00A11166"/>
    <w:rsid w:val="00A14038"/>
    <w:rsid w:val="00A42850"/>
    <w:rsid w:val="00A53837"/>
    <w:rsid w:val="00A544D0"/>
    <w:rsid w:val="00A573DD"/>
    <w:rsid w:val="00A7518C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60BD9"/>
    <w:rsid w:val="00B610A1"/>
    <w:rsid w:val="00B75AE2"/>
    <w:rsid w:val="00B9148E"/>
    <w:rsid w:val="00B94805"/>
    <w:rsid w:val="00BA6027"/>
    <w:rsid w:val="00BC1D95"/>
    <w:rsid w:val="00BD41AE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175AC"/>
    <w:rsid w:val="00C212FB"/>
    <w:rsid w:val="00C22967"/>
    <w:rsid w:val="00C2441B"/>
    <w:rsid w:val="00C35333"/>
    <w:rsid w:val="00C41821"/>
    <w:rsid w:val="00C529F4"/>
    <w:rsid w:val="00C55FDF"/>
    <w:rsid w:val="00C57205"/>
    <w:rsid w:val="00C5739F"/>
    <w:rsid w:val="00C87FCA"/>
    <w:rsid w:val="00C95987"/>
    <w:rsid w:val="00C96DA1"/>
    <w:rsid w:val="00CA1B0C"/>
    <w:rsid w:val="00CA7795"/>
    <w:rsid w:val="00CA7F40"/>
    <w:rsid w:val="00CB31FB"/>
    <w:rsid w:val="00CB34E8"/>
    <w:rsid w:val="00CB3C7E"/>
    <w:rsid w:val="00CC1101"/>
    <w:rsid w:val="00CC2A46"/>
    <w:rsid w:val="00CC4199"/>
    <w:rsid w:val="00CE6414"/>
    <w:rsid w:val="00CF041D"/>
    <w:rsid w:val="00CF4041"/>
    <w:rsid w:val="00D03314"/>
    <w:rsid w:val="00D06A0F"/>
    <w:rsid w:val="00D105E9"/>
    <w:rsid w:val="00D10FA3"/>
    <w:rsid w:val="00D31AB7"/>
    <w:rsid w:val="00D32E06"/>
    <w:rsid w:val="00D50CB6"/>
    <w:rsid w:val="00D82047"/>
    <w:rsid w:val="00DA351C"/>
    <w:rsid w:val="00DB3FAC"/>
    <w:rsid w:val="00DB6D34"/>
    <w:rsid w:val="00DC3CA0"/>
    <w:rsid w:val="00DD4E02"/>
    <w:rsid w:val="00DE08C1"/>
    <w:rsid w:val="00DE2BE8"/>
    <w:rsid w:val="00DE7747"/>
    <w:rsid w:val="00DF2970"/>
    <w:rsid w:val="00DF303A"/>
    <w:rsid w:val="00DF72BD"/>
    <w:rsid w:val="00E0467F"/>
    <w:rsid w:val="00E0505F"/>
    <w:rsid w:val="00E07F07"/>
    <w:rsid w:val="00E30B60"/>
    <w:rsid w:val="00E33F35"/>
    <w:rsid w:val="00E35862"/>
    <w:rsid w:val="00E4132E"/>
    <w:rsid w:val="00E41E94"/>
    <w:rsid w:val="00E55C69"/>
    <w:rsid w:val="00E56C6B"/>
    <w:rsid w:val="00E57D4D"/>
    <w:rsid w:val="00E6492F"/>
    <w:rsid w:val="00E65691"/>
    <w:rsid w:val="00E77C1F"/>
    <w:rsid w:val="00E80F85"/>
    <w:rsid w:val="00E91FA1"/>
    <w:rsid w:val="00E944E2"/>
    <w:rsid w:val="00E94F32"/>
    <w:rsid w:val="00EA6F17"/>
    <w:rsid w:val="00EB4560"/>
    <w:rsid w:val="00EC12D0"/>
    <w:rsid w:val="00EC2355"/>
    <w:rsid w:val="00EC6290"/>
    <w:rsid w:val="00ED76D9"/>
    <w:rsid w:val="00EE0DAA"/>
    <w:rsid w:val="00EE1219"/>
    <w:rsid w:val="00EF2051"/>
    <w:rsid w:val="00F00A19"/>
    <w:rsid w:val="00F338A9"/>
    <w:rsid w:val="00F34FB5"/>
    <w:rsid w:val="00F356BF"/>
    <w:rsid w:val="00F3644F"/>
    <w:rsid w:val="00F40FF4"/>
    <w:rsid w:val="00F47FF3"/>
    <w:rsid w:val="00F66367"/>
    <w:rsid w:val="00F701B1"/>
    <w:rsid w:val="00F804CC"/>
    <w:rsid w:val="00F82A83"/>
    <w:rsid w:val="00F83B3D"/>
    <w:rsid w:val="00FA1D82"/>
    <w:rsid w:val="00FB0AFB"/>
    <w:rsid w:val="00FB2453"/>
    <w:rsid w:val="00FB39BA"/>
    <w:rsid w:val="00FC61E3"/>
    <w:rsid w:val="00FC6823"/>
    <w:rsid w:val="00FD16BD"/>
    <w:rsid w:val="00FD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  <w:style w:type="paragraph" w:styleId="NoSpacing">
    <w:name w:val="No Spacing"/>
    <w:uiPriority w:val="1"/>
    <w:qFormat/>
    <w:rsid w:val="00721FF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ULING%20CIVIL%20SIDE%20PLEA%20IN%20LIME%20LITIS%20MOHAN%20NAIDOO%20ANETTE%20ANDRE%20Civil%20suits%20(CS,CC,CM)%20-%20not%20MA%20-%20plaintiff-defend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9E8C-9D0F-4A97-B9A3-7DF151CB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RULING CIVIL SIDE PLEA IN LIME LITIS MOHAN NAIDOO ANETTE ANDRE Civil suits (CS,CC,CM) - not MA - plaintiff-defendant</Template>
  <TotalTime>179</TotalTime>
  <Pages>13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s.sanguignon</cp:lastModifiedBy>
  <cp:revision>5</cp:revision>
  <cp:lastPrinted>2018-01-22T06:30:00Z</cp:lastPrinted>
  <dcterms:created xsi:type="dcterms:W3CDTF">2018-01-19T07:46:00Z</dcterms:created>
  <dcterms:modified xsi:type="dcterms:W3CDTF">2018-01-22T06:36:00Z</dcterms:modified>
</cp:coreProperties>
</file>