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14:paraId="0DE23A57" w14:textId="77777777" w:rsidR="008965A6" w:rsidRDefault="000C6A5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054691">
        <w:rPr>
          <w:b/>
          <w:sz w:val="24"/>
          <w:szCs w:val="24"/>
        </w:rPr>
        <w:t> </w:t>
      </w:r>
      <w:r w:rsidR="00054691">
        <w:rPr>
          <w:b/>
          <w:sz w:val="24"/>
          <w:szCs w:val="24"/>
        </w:rPr>
        <w:t> </w:t>
      </w:r>
      <w:r w:rsidR="00054691">
        <w:rPr>
          <w:b/>
          <w:sz w:val="24"/>
          <w:szCs w:val="24"/>
        </w:rPr>
        <w:t> </w:t>
      </w:r>
      <w:r w:rsidR="00054691">
        <w:rPr>
          <w:b/>
          <w:sz w:val="24"/>
          <w:szCs w:val="24"/>
        </w:rPr>
        <w:t> </w:t>
      </w:r>
      <w:r w:rsidR="00054691">
        <w:rPr>
          <w:b/>
          <w:sz w:val="24"/>
          <w:szCs w:val="24"/>
        </w:rPr>
        <w:t> </w:t>
      </w:r>
      <w:r w:rsidRPr="0096251D">
        <w:rPr>
          <w:b/>
          <w:sz w:val="24"/>
          <w:szCs w:val="24"/>
        </w:rPr>
        <w:fldChar w:fldCharType="end"/>
      </w:r>
      <w:bookmarkEnd w:id="0"/>
    </w:p>
    <w:bookmarkStart w:id="1" w:name="Text42"/>
    <w:p w14:paraId="3AE4DA3F" w14:textId="77777777" w:rsidR="008965A6" w:rsidRPr="00B938BB" w:rsidRDefault="000C6A5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054691">
        <w:rPr>
          <w:i/>
          <w:sz w:val="24"/>
          <w:szCs w:val="24"/>
        </w:rPr>
        <w:t> </w:t>
      </w:r>
      <w:r w:rsidR="00054691">
        <w:rPr>
          <w:i/>
          <w:sz w:val="24"/>
          <w:szCs w:val="24"/>
        </w:rPr>
        <w:t> </w:t>
      </w:r>
      <w:r w:rsidR="00054691">
        <w:rPr>
          <w:i/>
          <w:sz w:val="24"/>
          <w:szCs w:val="24"/>
        </w:rPr>
        <w:t> </w:t>
      </w:r>
      <w:r w:rsidR="00054691">
        <w:rPr>
          <w:i/>
          <w:sz w:val="24"/>
          <w:szCs w:val="24"/>
        </w:rPr>
        <w:t> </w:t>
      </w:r>
      <w:r w:rsidR="00054691">
        <w:rPr>
          <w:i/>
          <w:sz w:val="24"/>
          <w:szCs w:val="24"/>
        </w:rPr>
        <w:t> </w:t>
      </w:r>
      <w:r>
        <w:rPr>
          <w:i/>
          <w:sz w:val="24"/>
          <w:szCs w:val="24"/>
        </w:rPr>
        <w:fldChar w:fldCharType="end"/>
      </w:r>
      <w:bookmarkEnd w:id="1"/>
    </w:p>
    <w:p w14:paraId="78957707" w14:textId="77777777" w:rsidR="008965A6" w:rsidRDefault="008965A6" w:rsidP="00CA7795">
      <w:pPr>
        <w:jc w:val="center"/>
        <w:rPr>
          <w:b/>
          <w:sz w:val="28"/>
          <w:szCs w:val="28"/>
        </w:rPr>
      </w:pPr>
    </w:p>
    <w:p w14:paraId="19044713" w14:textId="77777777" w:rsidR="00AD75CD" w:rsidRPr="00606EEA" w:rsidRDefault="00C55FDF" w:rsidP="00CA7795">
      <w:pPr>
        <w:jc w:val="center"/>
        <w:rPr>
          <w:b/>
          <w:sz w:val="28"/>
          <w:szCs w:val="28"/>
        </w:rPr>
      </w:pPr>
      <w:r w:rsidRPr="00606EEA">
        <w:rPr>
          <w:b/>
          <w:sz w:val="28"/>
          <w:szCs w:val="28"/>
        </w:rPr>
        <w:t>IN THE SUPREME COURT OF SEYCHELLES</w:t>
      </w:r>
    </w:p>
    <w:p w14:paraId="0535EB91" w14:textId="135CCBB0" w:rsidR="002B3026" w:rsidRPr="00B75AE2" w:rsidRDefault="00C55FDF" w:rsidP="000F7AB6">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F7AB6">
        <w:rPr>
          <w:b/>
          <w:sz w:val="28"/>
          <w:szCs w:val="28"/>
        </w:rPr>
        <w:t>49/2015</w:t>
      </w:r>
    </w:p>
    <w:p w14:paraId="009ADC4B" w14:textId="3B937BAD"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7913D0">
        <w:rPr>
          <w:b/>
          <w:sz w:val="24"/>
          <w:szCs w:val="24"/>
        </w:rPr>
        <w:t>8</w:t>
      </w:r>
      <w:r w:rsidR="000C6A59">
        <w:rPr>
          <w:b/>
          <w:sz w:val="24"/>
          <w:szCs w:val="24"/>
        </w:rPr>
        <w:fldChar w:fldCharType="begin"/>
      </w:r>
      <w:r w:rsidR="003F0F8D">
        <w:rPr>
          <w:b/>
          <w:sz w:val="24"/>
          <w:szCs w:val="24"/>
        </w:rPr>
        <w:instrText xml:space="preserve">  </w:instrText>
      </w:r>
      <w:r w:rsidR="000C6A59">
        <w:rPr>
          <w:b/>
          <w:sz w:val="24"/>
          <w:szCs w:val="24"/>
        </w:rPr>
        <w:fldChar w:fldCharType="end"/>
      </w:r>
      <w:r w:rsidR="00DB6D34" w:rsidRPr="00606EEA">
        <w:rPr>
          <w:b/>
          <w:sz w:val="24"/>
          <w:szCs w:val="24"/>
        </w:rPr>
        <w:t>] SCSC</w:t>
      </w:r>
      <w:r w:rsidR="00000407">
        <w:rPr>
          <w:b/>
          <w:sz w:val="24"/>
          <w:szCs w:val="24"/>
        </w:rPr>
        <w:t xml:space="preserve"> </w:t>
      </w:r>
      <w:r w:rsidR="000C6A59">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0C6A59">
        <w:rPr>
          <w:b/>
          <w:sz w:val="24"/>
          <w:szCs w:val="24"/>
        </w:rPr>
      </w:r>
      <w:r w:rsidR="000C6A5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C6A59">
        <w:rPr>
          <w:b/>
          <w:sz w:val="24"/>
          <w:szCs w:val="24"/>
        </w:rPr>
        <w:fldChar w:fldCharType="end"/>
      </w:r>
      <w:bookmarkEnd w:id="2"/>
    </w:p>
    <w:p w14:paraId="5001C8B7" w14:textId="77777777" w:rsidR="00C55FDF" w:rsidRPr="00606EEA" w:rsidRDefault="00C55FDF" w:rsidP="00E57D4D">
      <w:pPr>
        <w:pBdr>
          <w:bottom w:val="single" w:sz="4" w:space="5" w:color="auto"/>
        </w:pBdr>
        <w:jc w:val="center"/>
        <w:rPr>
          <w:b/>
          <w:sz w:val="24"/>
          <w:szCs w:val="24"/>
        </w:rPr>
      </w:pPr>
    </w:p>
    <w:p w14:paraId="6F7DF968" w14:textId="77777777" w:rsidR="00572AB3" w:rsidRDefault="00572AB3" w:rsidP="00572AB3">
      <w:pPr>
        <w:rPr>
          <w:sz w:val="24"/>
          <w:szCs w:val="24"/>
        </w:rPr>
      </w:pPr>
    </w:p>
    <w:bookmarkStart w:id="3" w:name="Text20"/>
    <w:p w14:paraId="4ED609C9" w14:textId="77777777" w:rsidR="00FB2453" w:rsidRPr="00B119B1" w:rsidRDefault="000C6A5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14:paraId="4FE943A8" w14:textId="77777777" w:rsidR="007913D0" w:rsidRDefault="007913D0" w:rsidP="000F7AB6">
      <w:pPr>
        <w:spacing w:after="240"/>
        <w:ind w:left="720" w:firstLine="720"/>
        <w:jc w:val="center"/>
        <w:rPr>
          <w:sz w:val="24"/>
          <w:szCs w:val="24"/>
        </w:rPr>
      </w:pPr>
      <w:bookmarkStart w:id="4" w:name="Dropdown10"/>
      <w:r w:rsidRPr="007913D0">
        <w:rPr>
          <w:b/>
          <w:sz w:val="24"/>
          <w:szCs w:val="24"/>
        </w:rPr>
        <w:t>ALEX SALOME</w:t>
      </w:r>
      <w:r w:rsidRPr="007913D0">
        <w:rPr>
          <w:b/>
          <w:sz w:val="24"/>
          <w:szCs w:val="24"/>
        </w:rPr>
        <w:tab/>
      </w:r>
      <w:bookmarkEnd w:id="4"/>
      <w:r w:rsidR="000F7AB6">
        <w:rPr>
          <w:sz w:val="24"/>
          <w:szCs w:val="24"/>
        </w:rPr>
        <w:tab/>
        <w:t xml:space="preserve">          </w:t>
      </w:r>
    </w:p>
    <w:p w14:paraId="0442395E" w14:textId="42D556E7" w:rsidR="004B22D0" w:rsidRDefault="000F7AB6" w:rsidP="007913D0">
      <w:pPr>
        <w:spacing w:after="240"/>
        <w:ind w:left="3600" w:firstLine="720"/>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t xml:space="preserve"> Plaintiff</w:t>
      </w:r>
    </w:p>
    <w:p w14:paraId="7B9F7A5A" w14:textId="77777777"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14:paraId="3025B92B" w14:textId="77777777"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14:paraId="323D84CF" w14:textId="77777777" w:rsidR="00FB2453" w:rsidRDefault="00FB2453" w:rsidP="004B22D0">
      <w:pPr>
        <w:spacing w:before="120"/>
        <w:jc w:val="center"/>
        <w:rPr>
          <w:sz w:val="24"/>
          <w:szCs w:val="24"/>
        </w:rPr>
      </w:pPr>
      <w:proofErr w:type="gramStart"/>
      <w:r>
        <w:rPr>
          <w:sz w:val="24"/>
          <w:szCs w:val="24"/>
        </w:rPr>
        <w:lastRenderedPageBreak/>
        <w:t>versus</w:t>
      </w:r>
      <w:proofErr w:type="gramEnd"/>
    </w:p>
    <w:p w14:paraId="7D1CB909" w14:textId="77777777" w:rsidR="00FB2453" w:rsidRDefault="00FB2453" w:rsidP="003862CB">
      <w:pPr>
        <w:jc w:val="center"/>
        <w:rPr>
          <w:sz w:val="24"/>
          <w:szCs w:val="24"/>
        </w:rPr>
      </w:pPr>
    </w:p>
    <w:bookmarkStart w:id="5" w:name="Text22"/>
    <w:p w14:paraId="51F3852E" w14:textId="77777777" w:rsidR="00FB2453" w:rsidRPr="00B119B1" w:rsidRDefault="000C6A5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14:paraId="578D80D1" w14:textId="0FE2444E" w:rsidR="000F7AB6" w:rsidRPr="007913D0" w:rsidRDefault="007913D0" w:rsidP="000F7AB6">
      <w:pPr>
        <w:pStyle w:val="ListParagraph"/>
        <w:numPr>
          <w:ilvl w:val="0"/>
          <w:numId w:val="7"/>
        </w:numPr>
        <w:spacing w:after="240"/>
        <w:rPr>
          <w:b/>
          <w:sz w:val="24"/>
          <w:szCs w:val="24"/>
        </w:rPr>
      </w:pPr>
      <w:bookmarkStart w:id="6" w:name="Dropdown11"/>
      <w:r w:rsidRPr="007913D0">
        <w:rPr>
          <w:b/>
          <w:sz w:val="24"/>
          <w:szCs w:val="24"/>
        </w:rPr>
        <w:t>ANNE NOURRICE</w:t>
      </w:r>
    </w:p>
    <w:p w14:paraId="343C6D71" w14:textId="02224748" w:rsidR="007913D0" w:rsidRPr="007913D0" w:rsidRDefault="007913D0" w:rsidP="007913D0">
      <w:pPr>
        <w:pStyle w:val="ListParagraph"/>
        <w:numPr>
          <w:ilvl w:val="0"/>
          <w:numId w:val="7"/>
        </w:numPr>
        <w:spacing w:after="240"/>
        <w:rPr>
          <w:sz w:val="24"/>
          <w:szCs w:val="24"/>
        </w:rPr>
      </w:pPr>
      <w:r w:rsidRPr="007913D0">
        <w:rPr>
          <w:b/>
          <w:sz w:val="24"/>
          <w:szCs w:val="24"/>
        </w:rPr>
        <w:t>THE LAND REGISTRAR</w:t>
      </w:r>
      <w:r w:rsidR="002B3026" w:rsidRPr="000F7AB6">
        <w:rPr>
          <w:sz w:val="24"/>
          <w:szCs w:val="24"/>
        </w:rPr>
        <w:tab/>
      </w:r>
      <w:bookmarkEnd w:id="6"/>
      <w:r w:rsidR="000F7AB6">
        <w:rPr>
          <w:sz w:val="24"/>
          <w:szCs w:val="24"/>
        </w:rPr>
        <w:tab/>
      </w:r>
    </w:p>
    <w:p w14:paraId="064919BE" w14:textId="75C22618" w:rsidR="004B22D0" w:rsidRPr="007913D0" w:rsidRDefault="000F7AB6" w:rsidP="007913D0">
      <w:pPr>
        <w:spacing w:after="240"/>
        <w:ind w:left="3600" w:firstLine="720"/>
        <w:rPr>
          <w:sz w:val="24"/>
          <w:szCs w:val="24"/>
        </w:rPr>
        <w:sectPr w:rsidR="004B22D0" w:rsidRPr="007913D0" w:rsidSect="00EF2051">
          <w:type w:val="continuous"/>
          <w:pgSz w:w="12240" w:h="15840"/>
          <w:pgMar w:top="1440" w:right="1440" w:bottom="1440" w:left="1440" w:header="720" w:footer="720" w:gutter="0"/>
          <w:cols w:space="720"/>
          <w:docGrid w:linePitch="360"/>
        </w:sectPr>
      </w:pPr>
      <w:r w:rsidRPr="007913D0">
        <w:rPr>
          <w:sz w:val="24"/>
          <w:szCs w:val="24"/>
        </w:rPr>
        <w:t>Defendants</w:t>
      </w:r>
    </w:p>
    <w:p w14:paraId="3D6D544F"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26481CB7" w14:textId="77777777" w:rsidR="00E0467F" w:rsidRPr="00F0209D" w:rsidRDefault="00E0467F" w:rsidP="00F0209D">
      <w:pPr>
        <w:pBdr>
          <w:bottom w:val="single" w:sz="4" w:space="2" w:color="auto"/>
        </w:pBdr>
        <w:jc w:val="center"/>
        <w:rPr>
          <w:sz w:val="12"/>
          <w:szCs w:val="12"/>
        </w:rPr>
      </w:pPr>
    </w:p>
    <w:p w14:paraId="37824CEE" w14:textId="2D85CCBB"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0F7AB6">
        <w:rPr>
          <w:sz w:val="24"/>
          <w:szCs w:val="24"/>
        </w:rPr>
        <w:t xml:space="preserve">22 November </w:t>
      </w:r>
      <w:r w:rsidR="00E65EF0">
        <w:rPr>
          <w:sz w:val="24"/>
          <w:szCs w:val="24"/>
        </w:rPr>
        <w:t xml:space="preserve">2017, </w:t>
      </w:r>
      <w:r w:rsidR="000F7AB6">
        <w:rPr>
          <w:sz w:val="24"/>
          <w:szCs w:val="24"/>
        </w:rPr>
        <w:t>Submissions 29</w:t>
      </w:r>
      <w:r w:rsidR="002B3026">
        <w:rPr>
          <w:sz w:val="24"/>
          <w:szCs w:val="24"/>
        </w:rPr>
        <w:t xml:space="preserve"> January 2018</w:t>
      </w:r>
      <w:r w:rsidRPr="00E0467F">
        <w:rPr>
          <w:sz w:val="24"/>
          <w:szCs w:val="24"/>
        </w:rPr>
        <w:tab/>
      </w:r>
      <w:r w:rsidRPr="00E0467F">
        <w:rPr>
          <w:sz w:val="24"/>
          <w:szCs w:val="24"/>
        </w:rPr>
        <w:tab/>
      </w:r>
      <w:bookmarkStart w:id="7" w:name="Text34"/>
      <w:r w:rsidR="000C6A59">
        <w:rPr>
          <w:sz w:val="24"/>
          <w:szCs w:val="24"/>
        </w:rPr>
        <w:fldChar w:fldCharType="begin">
          <w:ffData>
            <w:name w:val="Text34"/>
            <w:enabled/>
            <w:calcOnExit w:val="0"/>
            <w:textInput/>
          </w:ffData>
        </w:fldChar>
      </w:r>
      <w:r w:rsidR="002A7376">
        <w:rPr>
          <w:sz w:val="24"/>
          <w:szCs w:val="24"/>
        </w:rPr>
        <w:instrText xml:space="preserve"> FORMTEXT </w:instrText>
      </w:r>
      <w:r w:rsidR="000C6A59">
        <w:rPr>
          <w:sz w:val="24"/>
          <w:szCs w:val="24"/>
        </w:rPr>
      </w:r>
      <w:r w:rsidR="000C6A5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C6A59">
        <w:rPr>
          <w:sz w:val="24"/>
          <w:szCs w:val="24"/>
        </w:rPr>
        <w:fldChar w:fldCharType="end"/>
      </w:r>
      <w:bookmarkEnd w:id="7"/>
      <w:r w:rsidR="000C6A59">
        <w:rPr>
          <w:sz w:val="24"/>
          <w:szCs w:val="24"/>
        </w:rPr>
        <w:fldChar w:fldCharType="begin"/>
      </w:r>
      <w:r w:rsidR="003F0F8D">
        <w:rPr>
          <w:sz w:val="24"/>
          <w:szCs w:val="24"/>
        </w:rPr>
        <w:instrText xml:space="preserve">  </w:instrText>
      </w:r>
      <w:r w:rsidR="000C6A59">
        <w:rPr>
          <w:sz w:val="24"/>
          <w:szCs w:val="24"/>
        </w:rPr>
        <w:fldChar w:fldCharType="end"/>
      </w:r>
    </w:p>
    <w:p w14:paraId="1CCE25FF" w14:textId="332817B4" w:rsidR="004B22D0" w:rsidRDefault="00E0467F" w:rsidP="007913D0">
      <w:pPr>
        <w:spacing w:line="360" w:lineRule="auto"/>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2B3026">
        <w:rPr>
          <w:sz w:val="24"/>
          <w:szCs w:val="24"/>
        </w:rPr>
        <w:t xml:space="preserve"> Mr. </w:t>
      </w:r>
      <w:r w:rsidR="000F7AB6">
        <w:rPr>
          <w:sz w:val="24"/>
          <w:szCs w:val="24"/>
        </w:rPr>
        <w:t>France Bonte for the Plaintiff</w:t>
      </w:r>
      <w:r w:rsidR="000F7AB6">
        <w:rPr>
          <w:sz w:val="24"/>
          <w:szCs w:val="24"/>
        </w:rPr>
        <w:tab/>
      </w:r>
    </w:p>
    <w:p w14:paraId="2B9471D1" w14:textId="1C3DE277" w:rsidR="004B22D0" w:rsidRDefault="004B22D0" w:rsidP="007913D0">
      <w:pPr>
        <w:spacing w:line="360" w:lineRule="auto"/>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0F7AB6">
        <w:rPr>
          <w:sz w:val="24"/>
          <w:szCs w:val="24"/>
        </w:rPr>
        <w:t xml:space="preserve">   Mr. Anthony Derjacques for 1</w:t>
      </w:r>
      <w:r w:rsidR="000F7AB6" w:rsidRPr="000F7AB6">
        <w:rPr>
          <w:sz w:val="24"/>
          <w:szCs w:val="24"/>
          <w:vertAlign w:val="superscript"/>
        </w:rPr>
        <w:t>st</w:t>
      </w:r>
      <w:r w:rsidR="000F7AB6">
        <w:rPr>
          <w:sz w:val="24"/>
          <w:szCs w:val="24"/>
        </w:rPr>
        <w:t xml:space="preserve"> Defendant</w:t>
      </w:r>
    </w:p>
    <w:p w14:paraId="78DF3205" w14:textId="1401106A" w:rsidR="004B22D0" w:rsidRDefault="009E05E5" w:rsidP="007913D0">
      <w:pPr>
        <w:spacing w:line="360" w:lineRule="auto"/>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2B3026">
        <w:rPr>
          <w:sz w:val="24"/>
          <w:szCs w:val="24"/>
        </w:rPr>
        <w:t xml:space="preserve">   </w:t>
      </w:r>
      <w:proofErr w:type="spellStart"/>
      <w:r w:rsidR="002B3026">
        <w:rPr>
          <w:sz w:val="24"/>
          <w:szCs w:val="24"/>
        </w:rPr>
        <w:t>Mr</w:t>
      </w:r>
      <w:r w:rsidR="000F7AB6">
        <w:rPr>
          <w:sz w:val="24"/>
          <w:szCs w:val="24"/>
        </w:rPr>
        <w:t>s</w:t>
      </w:r>
      <w:r w:rsidR="002B3026">
        <w:rPr>
          <w:sz w:val="24"/>
          <w:szCs w:val="24"/>
        </w:rPr>
        <w:t>.</w:t>
      </w:r>
      <w:proofErr w:type="spellEnd"/>
      <w:r w:rsidR="002B3026">
        <w:rPr>
          <w:sz w:val="24"/>
          <w:szCs w:val="24"/>
        </w:rPr>
        <w:t xml:space="preserve"> </w:t>
      </w:r>
      <w:r w:rsidR="000F7AB6">
        <w:rPr>
          <w:sz w:val="24"/>
          <w:szCs w:val="24"/>
        </w:rPr>
        <w:t xml:space="preserve">St. </w:t>
      </w:r>
      <w:proofErr w:type="spellStart"/>
      <w:r w:rsidR="000F7AB6">
        <w:rPr>
          <w:sz w:val="24"/>
          <w:szCs w:val="24"/>
        </w:rPr>
        <w:t>Ange</w:t>
      </w:r>
      <w:proofErr w:type="spellEnd"/>
      <w:r w:rsidR="000F7AB6">
        <w:rPr>
          <w:sz w:val="24"/>
          <w:szCs w:val="24"/>
        </w:rPr>
        <w:t xml:space="preserve"> </w:t>
      </w:r>
      <w:proofErr w:type="spellStart"/>
      <w:r w:rsidR="000F7AB6">
        <w:rPr>
          <w:sz w:val="24"/>
          <w:szCs w:val="24"/>
        </w:rPr>
        <w:t>Ebrahim</w:t>
      </w:r>
      <w:proofErr w:type="spellEnd"/>
      <w:r w:rsidR="000F7AB6">
        <w:rPr>
          <w:sz w:val="24"/>
          <w:szCs w:val="24"/>
        </w:rPr>
        <w:t xml:space="preserve"> </w:t>
      </w:r>
      <w:r>
        <w:rPr>
          <w:sz w:val="24"/>
          <w:szCs w:val="24"/>
        </w:rPr>
        <w:t xml:space="preserve">for </w:t>
      </w:r>
      <w:r w:rsidR="000F7AB6">
        <w:rPr>
          <w:sz w:val="24"/>
          <w:szCs w:val="24"/>
        </w:rPr>
        <w:t>2</w:t>
      </w:r>
      <w:r w:rsidR="000F7AB6" w:rsidRPr="000F7AB6">
        <w:rPr>
          <w:sz w:val="24"/>
          <w:szCs w:val="24"/>
          <w:vertAlign w:val="superscript"/>
        </w:rPr>
        <w:t>nd</w:t>
      </w:r>
      <w:r w:rsidR="000F7AB6">
        <w:rPr>
          <w:sz w:val="24"/>
          <w:szCs w:val="24"/>
        </w:rPr>
        <w:t xml:space="preserve"> Defendant</w:t>
      </w:r>
    </w:p>
    <w:p w14:paraId="258ED484" w14:textId="77777777"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6A59">
        <w:rPr>
          <w:sz w:val="24"/>
          <w:szCs w:val="24"/>
        </w:rPr>
        <w:fldChar w:fldCharType="begin">
          <w:ffData>
            <w:name w:val="Text36"/>
            <w:enabled/>
            <w:calcOnExit w:val="0"/>
            <w:textInput/>
          </w:ffData>
        </w:fldChar>
      </w:r>
      <w:bookmarkStart w:id="8" w:name="Text36"/>
      <w:r>
        <w:rPr>
          <w:sz w:val="24"/>
          <w:szCs w:val="24"/>
        </w:rPr>
        <w:instrText xml:space="preserve"> FORMTEXT </w:instrText>
      </w:r>
      <w:r w:rsidR="000C6A59">
        <w:rPr>
          <w:sz w:val="24"/>
          <w:szCs w:val="24"/>
        </w:rPr>
      </w:r>
      <w:r w:rsidR="000C6A5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6A59">
        <w:rPr>
          <w:sz w:val="24"/>
          <w:szCs w:val="24"/>
        </w:rPr>
        <w:fldChar w:fldCharType="end"/>
      </w:r>
      <w:bookmarkEnd w:id="8"/>
    </w:p>
    <w:p w14:paraId="737B989A" w14:textId="001E01A2"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F01BED">
        <w:rPr>
          <w:sz w:val="24"/>
          <w:szCs w:val="24"/>
        </w:rPr>
        <w:t xml:space="preserve"> 7</w:t>
      </w:r>
      <w:bookmarkStart w:id="9" w:name="_GoBack"/>
      <w:bookmarkEnd w:id="9"/>
      <w:r w:rsidR="002B3026">
        <w:rPr>
          <w:sz w:val="24"/>
          <w:szCs w:val="24"/>
        </w:rPr>
        <w:t xml:space="preserve"> February</w:t>
      </w:r>
      <w:r w:rsidR="00E0467F">
        <w:rPr>
          <w:sz w:val="24"/>
          <w:szCs w:val="24"/>
        </w:rPr>
        <w:tab/>
      </w:r>
      <w:r w:rsidR="002B3026">
        <w:rPr>
          <w:sz w:val="24"/>
          <w:szCs w:val="24"/>
        </w:rPr>
        <w:t>2018</w:t>
      </w:r>
      <w:r w:rsidR="00E0467F">
        <w:rPr>
          <w:sz w:val="24"/>
          <w:szCs w:val="24"/>
        </w:rPr>
        <w:tab/>
      </w:r>
      <w:bookmarkStart w:id="10" w:name="Text26"/>
      <w:r w:rsidR="000C6A5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C6A59">
        <w:rPr>
          <w:sz w:val="24"/>
          <w:szCs w:val="24"/>
        </w:rPr>
      </w:r>
      <w:r w:rsidR="000C6A5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C6A59">
        <w:rPr>
          <w:sz w:val="24"/>
          <w:szCs w:val="24"/>
        </w:rPr>
        <w:fldChar w:fldCharType="end"/>
      </w:r>
      <w:bookmarkEnd w:id="10"/>
    </w:p>
    <w:p w14:paraId="679A452D"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14:paraId="245CCBA8" w14:textId="77777777" w:rsidR="00C87FCA" w:rsidRDefault="002B3026" w:rsidP="00C87FCA">
      <w:pPr>
        <w:pBdr>
          <w:top w:val="dotted" w:sz="4" w:space="1" w:color="auto"/>
          <w:bottom w:val="dotted" w:sz="4" w:space="1" w:color="auto"/>
        </w:pBdr>
        <w:jc w:val="center"/>
        <w:rPr>
          <w:b/>
          <w:sz w:val="24"/>
          <w:szCs w:val="24"/>
        </w:rPr>
      </w:pPr>
      <w:r>
        <w:rPr>
          <w:b/>
          <w:sz w:val="24"/>
          <w:szCs w:val="24"/>
        </w:rPr>
        <w:t>RULING</w:t>
      </w:r>
    </w:p>
    <w:p w14:paraId="16FDAC9F" w14:textId="77777777" w:rsidR="001008BC" w:rsidRDefault="001008BC" w:rsidP="00C87FCA">
      <w:pPr>
        <w:pBdr>
          <w:top w:val="dotted" w:sz="4" w:space="1" w:color="auto"/>
          <w:bottom w:val="dotted" w:sz="4" w:space="1" w:color="auto"/>
        </w:pBdr>
        <w:jc w:val="center"/>
        <w:rPr>
          <w:b/>
          <w:sz w:val="24"/>
          <w:szCs w:val="24"/>
        </w:rPr>
      </w:pPr>
    </w:p>
    <w:p w14:paraId="1CD41945"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0FDA26D0" w14:textId="77777777" w:rsidR="00C87FCA" w:rsidRDefault="0005469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3F0FBCA0"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493A34ED" w14:textId="4F8EF810" w:rsidR="000F7AB6" w:rsidRDefault="00F25A29" w:rsidP="00EF7DB6">
      <w:pPr>
        <w:pStyle w:val="JudgmentText"/>
      </w:pPr>
      <w:r>
        <w:lastRenderedPageBreak/>
        <w:t xml:space="preserve">The </w:t>
      </w:r>
      <w:r w:rsidR="000F7AB6">
        <w:t>Plaintiff filed a plaint on 18 May 2015 in which he claimed that the 1</w:t>
      </w:r>
      <w:r w:rsidR="000F7AB6" w:rsidRPr="000F7AB6">
        <w:rPr>
          <w:vertAlign w:val="superscript"/>
        </w:rPr>
        <w:t>st</w:t>
      </w:r>
      <w:r w:rsidR="000F7AB6">
        <w:t xml:space="preserve"> Defendant had acted fraudulently in swearing an affidavit of transmission by death </w:t>
      </w:r>
      <w:r w:rsidR="00E33B33">
        <w:t>in which she had</w:t>
      </w:r>
      <w:r w:rsidR="000F7AB6">
        <w:t xml:space="preserve"> </w:t>
      </w:r>
      <w:proofErr w:type="spellStart"/>
      <w:r w:rsidR="000F7AB6">
        <w:t>depon</w:t>
      </w:r>
      <w:r w:rsidR="00E33B33">
        <w:t>ed</w:t>
      </w:r>
      <w:proofErr w:type="spellEnd"/>
      <w:r w:rsidR="000F7AB6">
        <w:t xml:space="preserve"> that she was the owner of a 3/6 share in Parcel S2025.</w:t>
      </w:r>
    </w:p>
    <w:p w14:paraId="59C40F67" w14:textId="4B9AE1A5" w:rsidR="00EF7DB6" w:rsidRDefault="000F7AB6" w:rsidP="00EF7DB6">
      <w:pPr>
        <w:pStyle w:val="JudgmentText"/>
      </w:pPr>
      <w:r>
        <w:t xml:space="preserve">The plaint detailed the antecedents of the ownership of Parcel S2025 as follows: </w:t>
      </w:r>
    </w:p>
    <w:p w14:paraId="2FB6E351" w14:textId="0174C4D2" w:rsidR="000F7AB6" w:rsidRDefault="000F7AB6" w:rsidP="000F7AB6">
      <w:pPr>
        <w:pStyle w:val="JudgmentText"/>
        <w:numPr>
          <w:ilvl w:val="0"/>
          <w:numId w:val="0"/>
        </w:numPr>
        <w:ind w:left="1440"/>
      </w:pPr>
      <w:r>
        <w:t xml:space="preserve">Louis </w:t>
      </w:r>
      <w:proofErr w:type="spellStart"/>
      <w:r>
        <w:t>Nourrice</w:t>
      </w:r>
      <w:proofErr w:type="spellEnd"/>
      <w:r>
        <w:t xml:space="preserve"> (whose estate is represented by the Plaintiff as executor) and his sister Francine </w:t>
      </w:r>
      <w:proofErr w:type="spellStart"/>
      <w:r>
        <w:t>Sifflore</w:t>
      </w:r>
      <w:proofErr w:type="spellEnd"/>
      <w:r>
        <w:t xml:space="preserve"> (n</w:t>
      </w:r>
      <w:r w:rsidR="00E33B33">
        <w:t>é</w:t>
      </w:r>
      <w:r>
        <w:t xml:space="preserve">e </w:t>
      </w:r>
      <w:proofErr w:type="spellStart"/>
      <w:r>
        <w:t>Nourrice</w:t>
      </w:r>
      <w:proofErr w:type="spellEnd"/>
      <w:r>
        <w:t xml:space="preserve">) were co-owners of land at </w:t>
      </w:r>
      <w:proofErr w:type="spellStart"/>
      <w:r>
        <w:t>Anse</w:t>
      </w:r>
      <w:proofErr w:type="spellEnd"/>
      <w:r>
        <w:t xml:space="preserve"> Aux Pins</w:t>
      </w:r>
      <w:r w:rsidR="00E33B33">
        <w:t>,</w:t>
      </w:r>
      <w:r>
        <w:t xml:space="preserve"> transcribed in volume 40/226 in the Register of Deeds. Franci</w:t>
      </w:r>
      <w:r w:rsidR="0097511F">
        <w:t>n</w:t>
      </w:r>
      <w:r>
        <w:t xml:space="preserve">e </w:t>
      </w:r>
      <w:proofErr w:type="spellStart"/>
      <w:r>
        <w:t>S</w:t>
      </w:r>
      <w:r w:rsidR="0097511F">
        <w:t>i</w:t>
      </w:r>
      <w:r>
        <w:t>fflore</w:t>
      </w:r>
      <w:proofErr w:type="spellEnd"/>
      <w:r>
        <w:t xml:space="preserve"> </w:t>
      </w:r>
      <w:r w:rsidR="00E33B33">
        <w:t xml:space="preserve">who died in 1950 </w:t>
      </w:r>
      <w:r>
        <w:t>had a ch</w:t>
      </w:r>
      <w:r w:rsidR="0097511F">
        <w:t>il</w:t>
      </w:r>
      <w:r>
        <w:t>d</w:t>
      </w:r>
      <w:r w:rsidR="00E33B33">
        <w:t>,</w:t>
      </w:r>
      <w:r>
        <w:t xml:space="preserve"> </w:t>
      </w:r>
      <w:r w:rsidR="00E33B33">
        <w:t>M</w:t>
      </w:r>
      <w:r w:rsidR="0097511F">
        <w:t>arie</w:t>
      </w:r>
      <w:r>
        <w:t xml:space="preserve"> </w:t>
      </w:r>
      <w:r w:rsidR="0097511F">
        <w:t>Therese</w:t>
      </w:r>
      <w:r>
        <w:t xml:space="preserve"> </w:t>
      </w:r>
      <w:proofErr w:type="spellStart"/>
      <w:r>
        <w:t>Nourrice</w:t>
      </w:r>
      <w:proofErr w:type="spellEnd"/>
      <w:r w:rsidR="0097511F">
        <w:t xml:space="preserve">. </w:t>
      </w:r>
      <w:r w:rsidR="00E33B33">
        <w:t xml:space="preserve">The latter who </w:t>
      </w:r>
      <w:r w:rsidR="00926A39">
        <w:t xml:space="preserve">also </w:t>
      </w:r>
      <w:r w:rsidR="00E33B33">
        <w:t xml:space="preserve">died in 1956 </w:t>
      </w:r>
      <w:r w:rsidR="0097511F">
        <w:t xml:space="preserve">also had one </w:t>
      </w:r>
      <w:r w:rsidR="00F04828">
        <w:t>child</w:t>
      </w:r>
      <w:r w:rsidR="0097511F">
        <w:t xml:space="preserve"> Ann </w:t>
      </w:r>
      <w:proofErr w:type="spellStart"/>
      <w:r w:rsidR="0097511F">
        <w:t>Nourrice</w:t>
      </w:r>
      <w:proofErr w:type="spellEnd"/>
      <w:r w:rsidR="0097511F">
        <w:t xml:space="preserve"> (the First Defendant) who would have been co-owner of </w:t>
      </w:r>
      <w:r w:rsidR="00F04828">
        <w:t>t</w:t>
      </w:r>
      <w:r w:rsidR="0097511F">
        <w:t xml:space="preserve">he said land with heirs Louis </w:t>
      </w:r>
      <w:proofErr w:type="spellStart"/>
      <w:r w:rsidR="0097511F">
        <w:t>Nourrice</w:t>
      </w:r>
      <w:proofErr w:type="spellEnd"/>
      <w:r w:rsidR="00F04828">
        <w:t>,</w:t>
      </w:r>
      <w:r w:rsidR="0097511F">
        <w:t xml:space="preserve"> were it not for the fact that Marie Therese </w:t>
      </w:r>
      <w:proofErr w:type="spellStart"/>
      <w:r w:rsidR="0097511F">
        <w:t>Nourrice</w:t>
      </w:r>
      <w:proofErr w:type="spellEnd"/>
      <w:r w:rsidR="0097511F">
        <w:t xml:space="preserve"> </w:t>
      </w:r>
      <w:r w:rsidR="00E33B33">
        <w:t xml:space="preserve">prior to her death </w:t>
      </w:r>
      <w:r w:rsidR="0097511F">
        <w:t xml:space="preserve">had extracted part of her share therein in 1951 and sold it to one Wilfred </w:t>
      </w:r>
      <w:proofErr w:type="spellStart"/>
      <w:r w:rsidR="0097511F">
        <w:t>Lajoie</w:t>
      </w:r>
      <w:proofErr w:type="spellEnd"/>
      <w:r w:rsidR="00E33B33">
        <w:t xml:space="preserve"> with </w:t>
      </w:r>
      <w:r w:rsidR="0097511F">
        <w:t>the deed transcribed in volume 41/145</w:t>
      </w:r>
      <w:r w:rsidR="00E33B33">
        <w:t xml:space="preserve"> of the Register</w:t>
      </w:r>
      <w:r w:rsidR="0097511F">
        <w:t xml:space="preserve">. Further Marie Therese </w:t>
      </w:r>
      <w:proofErr w:type="spellStart"/>
      <w:r w:rsidR="0097511F">
        <w:t>Nourrice</w:t>
      </w:r>
      <w:proofErr w:type="spellEnd"/>
      <w:r w:rsidR="0097511F">
        <w:t xml:space="preserve"> </w:t>
      </w:r>
      <w:r w:rsidR="00926A39">
        <w:t>sold</w:t>
      </w:r>
      <w:r w:rsidR="00F04828">
        <w:t xml:space="preserve"> the rest of her </w:t>
      </w:r>
      <w:r w:rsidR="0097511F">
        <w:t xml:space="preserve">undivided share to one </w:t>
      </w:r>
      <w:proofErr w:type="spellStart"/>
      <w:r w:rsidR="0097511F">
        <w:t>Charly</w:t>
      </w:r>
      <w:proofErr w:type="spellEnd"/>
      <w:r w:rsidR="0097511F">
        <w:t xml:space="preserve"> </w:t>
      </w:r>
      <w:proofErr w:type="spellStart"/>
      <w:r w:rsidR="0097511F">
        <w:t>Fostel</w:t>
      </w:r>
      <w:proofErr w:type="spellEnd"/>
      <w:r w:rsidR="0097511F">
        <w:t xml:space="preserve"> as transcribed in volume 16/574 of the Register. </w:t>
      </w:r>
    </w:p>
    <w:p w14:paraId="13DD66A1" w14:textId="73F56003" w:rsidR="000F7AB6" w:rsidRDefault="0097511F" w:rsidP="00EF7DB6">
      <w:pPr>
        <w:pStyle w:val="JudgmentText"/>
      </w:pPr>
      <w:r>
        <w:t xml:space="preserve">In view of the circumstances </w:t>
      </w:r>
      <w:r w:rsidR="00E33B33">
        <w:t>as</w:t>
      </w:r>
      <w:r>
        <w:t xml:space="preserve"> described</w:t>
      </w:r>
      <w:r w:rsidR="00E33B33">
        <w:t>,</w:t>
      </w:r>
      <w:r>
        <w:t xml:space="preserve"> the Plaintiff claims that Louis </w:t>
      </w:r>
      <w:proofErr w:type="spellStart"/>
      <w:r>
        <w:t>Nourrice</w:t>
      </w:r>
      <w:proofErr w:type="spellEnd"/>
      <w:r>
        <w:t xml:space="preserve"> remained the sole owner of the land subsequently registered as Parcel S2025. He </w:t>
      </w:r>
      <w:r w:rsidR="002C12FE">
        <w:t>claims</w:t>
      </w:r>
      <w:r>
        <w:t xml:space="preserve"> </w:t>
      </w:r>
      <w:r w:rsidR="002C12FE">
        <w:t>t</w:t>
      </w:r>
      <w:r>
        <w:t>her</w:t>
      </w:r>
      <w:r w:rsidR="002C12FE">
        <w:t>e</w:t>
      </w:r>
      <w:r>
        <w:t>f</w:t>
      </w:r>
      <w:r w:rsidR="002C12FE">
        <w:t>o</w:t>
      </w:r>
      <w:r>
        <w:t xml:space="preserve">re that </w:t>
      </w:r>
      <w:r w:rsidR="00E33B33">
        <w:t>the notice</w:t>
      </w:r>
      <w:r>
        <w:t xml:space="preserve"> of first registration </w:t>
      </w:r>
      <w:r w:rsidR="002C12FE">
        <w:t xml:space="preserve">by the Land Registrar in 1987 stating that Heirs Louis </w:t>
      </w:r>
      <w:proofErr w:type="spellStart"/>
      <w:r w:rsidR="002C12FE">
        <w:t>Nourrice</w:t>
      </w:r>
      <w:proofErr w:type="spellEnd"/>
      <w:r w:rsidR="002C12FE">
        <w:t xml:space="preserve"> owned 2/6</w:t>
      </w:r>
      <w:r w:rsidR="00E33B33">
        <w:t xml:space="preserve"> of P</w:t>
      </w:r>
      <w:r w:rsidR="00F04828">
        <w:t>a</w:t>
      </w:r>
      <w:r w:rsidR="00E33B33">
        <w:t>rcel S2025</w:t>
      </w:r>
      <w:r w:rsidR="002C12FE">
        <w:t xml:space="preserve">, </w:t>
      </w:r>
      <w:proofErr w:type="spellStart"/>
      <w:r w:rsidR="002C12FE">
        <w:t>Auguste</w:t>
      </w:r>
      <w:proofErr w:type="spellEnd"/>
      <w:r w:rsidR="002C12FE">
        <w:t xml:space="preserve"> </w:t>
      </w:r>
      <w:proofErr w:type="spellStart"/>
      <w:r w:rsidR="002C12FE">
        <w:t>Jeremie</w:t>
      </w:r>
      <w:proofErr w:type="spellEnd"/>
      <w:r w:rsidR="002C12FE">
        <w:t xml:space="preserve"> 1/6 and Francine </w:t>
      </w:r>
      <w:proofErr w:type="spellStart"/>
      <w:r w:rsidR="002C12FE">
        <w:t>Sifflore</w:t>
      </w:r>
      <w:proofErr w:type="spellEnd"/>
      <w:r w:rsidR="002C12FE">
        <w:t xml:space="preserve"> 3/6 was incorrect and that the affidavit of the 1</w:t>
      </w:r>
      <w:r w:rsidR="002C12FE" w:rsidRPr="002C12FE">
        <w:rPr>
          <w:vertAlign w:val="superscript"/>
        </w:rPr>
        <w:t>st</w:t>
      </w:r>
      <w:r w:rsidR="002C12FE">
        <w:t xml:space="preserve"> Defendant referred to above was fraudulent. </w:t>
      </w:r>
    </w:p>
    <w:p w14:paraId="4D043B13" w14:textId="12F3CADB" w:rsidR="002C12FE" w:rsidRDefault="002C12FE" w:rsidP="00EF7DB6">
      <w:pPr>
        <w:pStyle w:val="JudgmentText"/>
      </w:pPr>
      <w:r>
        <w:t>He prayed inter alia for orders annulling the registration, declaring the Plaintiff the owner of Parcel S2025.</w:t>
      </w:r>
    </w:p>
    <w:p w14:paraId="5276D928" w14:textId="2EB1E19D" w:rsidR="002C12FE" w:rsidRDefault="002C12FE" w:rsidP="002C12FE">
      <w:pPr>
        <w:pStyle w:val="JudgmentText"/>
      </w:pPr>
      <w:r>
        <w:t xml:space="preserve">The First Defendant in his statement of defence pleaded prescription pursuant to Article 2265 of the Civil Code </w:t>
      </w:r>
      <w:r w:rsidR="00E33B33">
        <w:t>as the</w:t>
      </w:r>
      <w:r>
        <w:t xml:space="preserve"> title was registered more than ten years before the suit was filed. She also pleaded </w:t>
      </w:r>
      <w:r w:rsidRPr="00E33B33">
        <w:rPr>
          <w:i/>
        </w:rPr>
        <w:t>res judicata</w:t>
      </w:r>
      <w:r>
        <w:t xml:space="preserve"> </w:t>
      </w:r>
      <w:r w:rsidR="00E33B33">
        <w:t xml:space="preserve">and submitted </w:t>
      </w:r>
      <w:r>
        <w:t xml:space="preserve">that the suit had been disposed of in October 2015 by order of the court. She also maintained that her affidavit was not irregular and had been properly made </w:t>
      </w:r>
      <w:r w:rsidR="00217DAF">
        <w:t xml:space="preserve">and that she was the owner of the share as reflected in the Register. </w:t>
      </w:r>
    </w:p>
    <w:p w14:paraId="1264235F" w14:textId="54E8902E" w:rsidR="00217DAF" w:rsidRDefault="00217DAF" w:rsidP="002C12FE">
      <w:pPr>
        <w:pStyle w:val="JudgmentText"/>
      </w:pPr>
      <w:r>
        <w:lastRenderedPageBreak/>
        <w:t xml:space="preserve">The Second Defendant pleaded prescription under the Public Officers (Protection) Act 1976 </w:t>
      </w:r>
      <w:r w:rsidR="00E33B33">
        <w:t xml:space="preserve">as amended in 2017 </w:t>
      </w:r>
      <w:r>
        <w:t xml:space="preserve">and </w:t>
      </w:r>
      <w:r w:rsidR="00E33B33">
        <w:t>claimed fur</w:t>
      </w:r>
      <w:r w:rsidR="00F04828">
        <w:t>t</w:t>
      </w:r>
      <w:r w:rsidR="00E33B33">
        <w:t xml:space="preserve">her </w:t>
      </w:r>
      <w:r>
        <w:t xml:space="preserve">that no reasonable cause of action was disclosed in the plaint against her Office. </w:t>
      </w:r>
    </w:p>
    <w:p w14:paraId="7EDE489F" w14:textId="40225C5A" w:rsidR="00217DAF" w:rsidRDefault="00217DAF" w:rsidP="002C12FE">
      <w:pPr>
        <w:pStyle w:val="JudgmentText"/>
      </w:pPr>
      <w:r>
        <w:t xml:space="preserve">She also stated that the transfers of land as explained in the plaint were incorrect and maintained that Parcel S2025 was co-owned by the Plaintiff, </w:t>
      </w:r>
      <w:proofErr w:type="spellStart"/>
      <w:r>
        <w:t>Auguste</w:t>
      </w:r>
      <w:proofErr w:type="spellEnd"/>
      <w:r>
        <w:t xml:space="preserve"> </w:t>
      </w:r>
      <w:proofErr w:type="spellStart"/>
      <w:r>
        <w:t>Jeremie</w:t>
      </w:r>
      <w:proofErr w:type="spellEnd"/>
      <w:r>
        <w:t xml:space="preserve"> and the First Defendant. </w:t>
      </w:r>
    </w:p>
    <w:p w14:paraId="3EE0753C" w14:textId="77777777" w:rsidR="00F04828" w:rsidRDefault="00B41B6B" w:rsidP="00B41B6B">
      <w:pPr>
        <w:pStyle w:val="JudgmentText"/>
      </w:pPr>
      <w:r>
        <w:t xml:space="preserve">In their submissions the parties expanded on their pleas </w:t>
      </w:r>
      <w:r w:rsidR="00217DAF">
        <w:t xml:space="preserve">in </w:t>
      </w:r>
      <w:proofErr w:type="spellStart"/>
      <w:r w:rsidR="00217DAF" w:rsidRPr="00217DAF">
        <w:rPr>
          <w:i/>
        </w:rPr>
        <w:t>limine</w:t>
      </w:r>
      <w:proofErr w:type="spellEnd"/>
      <w:r w:rsidR="00217DAF" w:rsidRPr="00217DAF">
        <w:rPr>
          <w:i/>
        </w:rPr>
        <w:t xml:space="preserve"> </w:t>
      </w:r>
      <w:proofErr w:type="spellStart"/>
      <w:r w:rsidR="00217DAF" w:rsidRPr="00217DAF">
        <w:rPr>
          <w:i/>
        </w:rPr>
        <w:t>litis</w:t>
      </w:r>
      <w:proofErr w:type="spellEnd"/>
      <w:r w:rsidR="00217DAF">
        <w:t xml:space="preserve">. </w:t>
      </w:r>
      <w:r w:rsidR="00EF4345">
        <w:t xml:space="preserve">The First Defendant submitted that pursuant to Article 2219 and 2265 of the Civil Code, the action of the Plaintiff was limited to a term of ten years. As the transfer of </w:t>
      </w:r>
      <w:r w:rsidR="00F04828">
        <w:t xml:space="preserve">Title </w:t>
      </w:r>
      <w:r w:rsidR="00EF4345">
        <w:t xml:space="preserve">S2025 to the co-owners was registered on 9 January 2003 the plaint entered some twelve years later was prescribed. </w:t>
      </w:r>
    </w:p>
    <w:p w14:paraId="1B54287F" w14:textId="4C6A5C68" w:rsidR="00217DAF" w:rsidRDefault="00F04828" w:rsidP="00B41B6B">
      <w:pPr>
        <w:pStyle w:val="JudgmentText"/>
      </w:pPr>
      <w:r>
        <w:t>Further, r</w:t>
      </w:r>
      <w:r w:rsidR="00EF4345">
        <w:t xml:space="preserve">elying on the principle of </w:t>
      </w:r>
      <w:r w:rsidR="00EF4345" w:rsidRPr="00F04828">
        <w:rPr>
          <w:i/>
        </w:rPr>
        <w:t>res judicata</w:t>
      </w:r>
      <w:r w:rsidR="00EF4345">
        <w:t xml:space="preserve"> and the authorities of </w:t>
      </w:r>
      <w:r w:rsidR="00EF4345" w:rsidRPr="00EF4345">
        <w:rPr>
          <w:i/>
        </w:rPr>
        <w:t>Gabriel v Government of Seychelles</w:t>
      </w:r>
      <w:r w:rsidR="00EF4345">
        <w:t xml:space="preserve"> (</w:t>
      </w:r>
      <w:r w:rsidR="00B41B6B" w:rsidRPr="00B41B6B">
        <w:t xml:space="preserve">2006) SLR 169 </w:t>
      </w:r>
      <w:r w:rsidR="00EF4345">
        <w:t xml:space="preserve">and </w:t>
      </w:r>
      <w:proofErr w:type="spellStart"/>
      <w:r w:rsidR="00EF4345" w:rsidRPr="00EF4345">
        <w:rPr>
          <w:i/>
        </w:rPr>
        <w:t>Pillay</w:t>
      </w:r>
      <w:proofErr w:type="spellEnd"/>
      <w:r w:rsidR="00EF4345" w:rsidRPr="00EF4345">
        <w:rPr>
          <w:i/>
        </w:rPr>
        <w:t xml:space="preserve"> v Bank of Baroda</w:t>
      </w:r>
      <w:r w:rsidR="00EF4345">
        <w:t xml:space="preserve"> </w:t>
      </w:r>
      <w:r w:rsidR="00B41B6B">
        <w:t xml:space="preserve">SCA28/2001 </w:t>
      </w:r>
      <w:r w:rsidR="00EF4345">
        <w:t>(</w:t>
      </w:r>
      <w:r w:rsidR="00B41B6B">
        <w:t xml:space="preserve">judgment delivered 18 December </w:t>
      </w:r>
      <w:r w:rsidR="00EF4345">
        <w:t xml:space="preserve">2002) </w:t>
      </w:r>
      <w:r w:rsidR="00B41B6B">
        <w:t>she submitted</w:t>
      </w:r>
      <w:r w:rsidR="00EF4345">
        <w:t xml:space="preserve"> that the order of </w:t>
      </w:r>
      <w:r w:rsidR="00B41B6B">
        <w:t>t</w:t>
      </w:r>
      <w:r w:rsidR="00EF4345">
        <w:t xml:space="preserve">he court made in suit CS 276/2003 had finally determined the issues presently raised.  </w:t>
      </w:r>
    </w:p>
    <w:p w14:paraId="340706A8" w14:textId="2FC46925" w:rsidR="00D11399" w:rsidRDefault="00D11399" w:rsidP="0037789A">
      <w:pPr>
        <w:pStyle w:val="JudgmentText"/>
      </w:pPr>
      <w:r>
        <w:t>The Second Defendant relied on section 3 of the Public Officer (Protection) Act as amended in 2017 to submit that the action against her was prescribed some five years after the claim arose in 2003 when the registration of title was made. She further submitted that in terms of Article 2268 of the Civil Code</w:t>
      </w:r>
      <w:r w:rsidR="00B41B6B">
        <w:t>,</w:t>
      </w:r>
      <w:r>
        <w:t xml:space="preserve"> good faith was presumed in government actions where the public officer had acted in lawful performance of a public duty to register documents presented to it.  </w:t>
      </w:r>
    </w:p>
    <w:p w14:paraId="6E75050D" w14:textId="0FC02806" w:rsidR="00D11399" w:rsidRDefault="00D11399" w:rsidP="00C969B7">
      <w:pPr>
        <w:pStyle w:val="JudgmentText"/>
      </w:pPr>
      <w:r>
        <w:t xml:space="preserve">Further, </w:t>
      </w:r>
      <w:r w:rsidR="00C969B7">
        <w:t xml:space="preserve">she submitted, </w:t>
      </w:r>
      <w:r>
        <w:t xml:space="preserve">the Plaintiff in not disclosing a reasonable cause of action against her </w:t>
      </w:r>
      <w:r w:rsidR="00540558">
        <w:t xml:space="preserve">was precluded </w:t>
      </w:r>
      <w:r>
        <w:t xml:space="preserve">in claiming costs </w:t>
      </w:r>
      <w:r w:rsidR="00540558">
        <w:t xml:space="preserve">as </w:t>
      </w:r>
      <w:r w:rsidR="00C969B7">
        <w:t>stated in</w:t>
      </w:r>
      <w:r w:rsidR="00540558">
        <w:t xml:space="preserve"> section 109 of the Seychelles Code of Civil Procedure.</w:t>
      </w:r>
      <w:r>
        <w:t xml:space="preserve"> </w:t>
      </w:r>
      <w:r w:rsidR="00540558">
        <w:t xml:space="preserve">She relied on the </w:t>
      </w:r>
      <w:r w:rsidR="00C969B7">
        <w:t>authorities</w:t>
      </w:r>
      <w:r w:rsidR="00540558">
        <w:t xml:space="preserve"> of </w:t>
      </w:r>
      <w:proofErr w:type="spellStart"/>
      <w:r w:rsidR="00540558" w:rsidRPr="00540558">
        <w:rPr>
          <w:i/>
        </w:rPr>
        <w:t>Otar</w:t>
      </w:r>
      <w:proofErr w:type="spellEnd"/>
      <w:r w:rsidR="00540558" w:rsidRPr="00540558">
        <w:rPr>
          <w:i/>
        </w:rPr>
        <w:t xml:space="preserve"> v Hoareau and </w:t>
      </w:r>
      <w:proofErr w:type="spellStart"/>
      <w:r w:rsidR="00540558" w:rsidRPr="00540558">
        <w:rPr>
          <w:i/>
        </w:rPr>
        <w:t>Ors</w:t>
      </w:r>
      <w:proofErr w:type="spellEnd"/>
      <w:r w:rsidR="00540558">
        <w:t xml:space="preserve"> </w:t>
      </w:r>
      <w:r w:rsidR="00C969B7" w:rsidRPr="00C969B7">
        <w:t>[2016] SCSC 395</w:t>
      </w:r>
      <w:r w:rsidR="00540558">
        <w:t xml:space="preserve"> and </w:t>
      </w:r>
      <w:proofErr w:type="spellStart"/>
      <w:r w:rsidR="00540558" w:rsidRPr="00540558">
        <w:rPr>
          <w:i/>
        </w:rPr>
        <w:t>Bibi</w:t>
      </w:r>
      <w:proofErr w:type="spellEnd"/>
      <w:r w:rsidR="00540558" w:rsidRPr="00540558">
        <w:rPr>
          <w:i/>
        </w:rPr>
        <w:t xml:space="preserve"> v The Estate of the late Joseph Samuel </w:t>
      </w:r>
      <w:proofErr w:type="spellStart"/>
      <w:r w:rsidR="00540558" w:rsidRPr="00540558">
        <w:rPr>
          <w:i/>
        </w:rPr>
        <w:t>Bibi</w:t>
      </w:r>
      <w:proofErr w:type="spellEnd"/>
      <w:r w:rsidR="00540558" w:rsidRPr="00540558">
        <w:rPr>
          <w:i/>
        </w:rPr>
        <w:t xml:space="preserve"> and The Land </w:t>
      </w:r>
      <w:r w:rsidR="00540558">
        <w:rPr>
          <w:i/>
        </w:rPr>
        <w:t>R</w:t>
      </w:r>
      <w:r w:rsidR="00540558" w:rsidRPr="00540558">
        <w:rPr>
          <w:i/>
        </w:rPr>
        <w:t xml:space="preserve">egistrar </w:t>
      </w:r>
      <w:r w:rsidR="00540558">
        <w:t>(CS26/2017).</w:t>
      </w:r>
    </w:p>
    <w:p w14:paraId="654E3661" w14:textId="76A62FCB" w:rsidR="00540558" w:rsidRDefault="00540558" w:rsidP="00D11399">
      <w:pPr>
        <w:pStyle w:val="JudgmentText"/>
      </w:pPr>
      <w:r>
        <w:t xml:space="preserve">She also submitted that no allegation of bad faith had been made against her and that therefore </w:t>
      </w:r>
      <w:r w:rsidR="00F04828">
        <w:t xml:space="preserve">pursuant to Article 2268 of the Civil Code </w:t>
      </w:r>
      <w:r>
        <w:t>good faith had to be presume</w:t>
      </w:r>
      <w:r w:rsidR="00F04828">
        <w:t>d.</w:t>
      </w:r>
    </w:p>
    <w:p w14:paraId="289A1A4F" w14:textId="77F1038E" w:rsidR="00F04828" w:rsidRDefault="00F04828" w:rsidP="00F04828">
      <w:pPr>
        <w:pStyle w:val="JudgmentText"/>
      </w:pPr>
      <w:r>
        <w:lastRenderedPageBreak/>
        <w:t xml:space="preserve">I have considered the submissions made by the two defendants. Insofar as the plea is made for the protection of the acts of the Second Defendant both because of the presumption of good faith and because of  the provisions of the </w:t>
      </w:r>
      <w:r w:rsidRPr="00F04828">
        <w:t>Public Officer (Protection) Act</w:t>
      </w:r>
      <w:r>
        <w:t>,</w:t>
      </w:r>
      <w:r w:rsidRPr="00F04828">
        <w:t xml:space="preserve"> </w:t>
      </w:r>
      <w:r>
        <w:t xml:space="preserve">I am satisfied that her submissions have validity. There is in any case no cause of action made out against her Office. No tort or any breach of duty is alleged, nor is there a prayer for any relief against her apart for an order that she pay costs of the suit. As has rightly been pointed out, costs cannot arise when a defendant is joined without a case for relief made out in a suit. I therefore dismiss the case against the Second Defendant. </w:t>
      </w:r>
    </w:p>
    <w:p w14:paraId="7F6745EE" w14:textId="74225964" w:rsidR="00F04828" w:rsidRDefault="00F04828" w:rsidP="00F04828">
      <w:pPr>
        <w:pStyle w:val="JudgmentText"/>
      </w:pPr>
      <w:r>
        <w:t xml:space="preserve">I now turn to one of the limbs of the First Defendant’s plea, that of </w:t>
      </w:r>
      <w:r w:rsidRPr="00F04828">
        <w:rPr>
          <w:i/>
        </w:rPr>
        <w:t>res judicata</w:t>
      </w:r>
      <w:r>
        <w:t xml:space="preserve">. In the case of </w:t>
      </w:r>
      <w:proofErr w:type="spellStart"/>
      <w:r w:rsidRPr="00F04828">
        <w:rPr>
          <w:i/>
        </w:rPr>
        <w:t>Gamatis</w:t>
      </w:r>
      <w:proofErr w:type="spellEnd"/>
      <w:r w:rsidRPr="00F04828">
        <w:rPr>
          <w:i/>
        </w:rPr>
        <w:t xml:space="preserve"> v Chaka Brothers</w:t>
      </w:r>
      <w:r>
        <w:t xml:space="preserve"> (1989) SLR 235, the court held that a plea of </w:t>
      </w:r>
      <w:r w:rsidRPr="00F04828">
        <w:rPr>
          <w:i/>
        </w:rPr>
        <w:t xml:space="preserve">res judicata </w:t>
      </w:r>
      <w:r>
        <w:t xml:space="preserve">with the underlying rationale that there must be finality in the determination of disputes, is governed by Article 1351 of the Civil Code if Seychelles which provides in relevant part:  </w:t>
      </w:r>
    </w:p>
    <w:p w14:paraId="2F229CDC" w14:textId="0E37A0B6" w:rsidR="00F04828" w:rsidRPr="00F04828" w:rsidRDefault="00F04828" w:rsidP="00F04828">
      <w:pPr>
        <w:pStyle w:val="JudgmentText"/>
        <w:numPr>
          <w:ilvl w:val="0"/>
          <w:numId w:val="0"/>
        </w:numPr>
        <w:ind w:left="180"/>
        <w:rPr>
          <w:i/>
        </w:rPr>
      </w:pPr>
      <w:r>
        <w:tab/>
      </w:r>
      <w:r>
        <w:tab/>
      </w:r>
      <w:r w:rsidRPr="00F04828">
        <w:rPr>
          <w:i/>
        </w:rPr>
        <w:t xml:space="preserve">“1. The authority of a final judgment shall only be binding in respect of the </w:t>
      </w:r>
      <w:r w:rsidRPr="00F04828">
        <w:rPr>
          <w:i/>
        </w:rPr>
        <w:tab/>
      </w:r>
      <w:r w:rsidRPr="00F04828">
        <w:rPr>
          <w:i/>
        </w:rPr>
        <w:tab/>
      </w:r>
      <w:r w:rsidRPr="00F04828">
        <w:rPr>
          <w:i/>
        </w:rPr>
        <w:tab/>
        <w:t>subject</w:t>
      </w:r>
      <w:r w:rsidRPr="00F04828">
        <w:rPr>
          <w:rFonts w:ascii="Cambria Math" w:hAnsi="Cambria Math" w:cs="Cambria Math"/>
          <w:i/>
        </w:rPr>
        <w:t>‑</w:t>
      </w:r>
      <w:r w:rsidRPr="00F04828">
        <w:rPr>
          <w:i/>
        </w:rPr>
        <w:t xml:space="preserve">matter of the judgment. It is necessary that the demand relate to the same </w:t>
      </w:r>
      <w:r w:rsidRPr="00F04828">
        <w:rPr>
          <w:i/>
        </w:rPr>
        <w:tab/>
      </w:r>
      <w:r w:rsidRPr="00F04828">
        <w:rPr>
          <w:i/>
        </w:rPr>
        <w:tab/>
      </w:r>
      <w:r w:rsidRPr="00F04828">
        <w:rPr>
          <w:i/>
        </w:rPr>
        <w:tab/>
        <w:t>subject</w:t>
      </w:r>
      <w:r w:rsidRPr="00F04828">
        <w:rPr>
          <w:rFonts w:ascii="Cambria Math" w:hAnsi="Cambria Math" w:cs="Cambria Math"/>
          <w:i/>
        </w:rPr>
        <w:t>‑</w:t>
      </w:r>
      <w:r w:rsidRPr="00F04828">
        <w:rPr>
          <w:i/>
        </w:rPr>
        <w:t xml:space="preserve">matter; that it relate to the same class, that it be between the same parties </w:t>
      </w:r>
      <w:r w:rsidRPr="00F04828">
        <w:rPr>
          <w:i/>
        </w:rPr>
        <w:tab/>
      </w:r>
      <w:r w:rsidRPr="00F04828">
        <w:rPr>
          <w:i/>
        </w:rPr>
        <w:tab/>
      </w:r>
      <w:r w:rsidRPr="00F04828">
        <w:rPr>
          <w:i/>
        </w:rPr>
        <w:tab/>
        <w:t>and that it be brought by them or against them in the same capacities</w:t>
      </w:r>
      <w:r>
        <w:rPr>
          <w:i/>
        </w:rPr>
        <w:t>…</w:t>
      </w:r>
      <w:r w:rsidRPr="00F04828">
        <w:rPr>
          <w:i/>
        </w:rPr>
        <w:t>”</w:t>
      </w:r>
    </w:p>
    <w:p w14:paraId="22A26E34" w14:textId="4084D057" w:rsidR="00F04828" w:rsidRDefault="00F04828" w:rsidP="00F04828">
      <w:pPr>
        <w:pStyle w:val="JudgmentText"/>
      </w:pPr>
      <w:r>
        <w:t xml:space="preserve">The court in </w:t>
      </w:r>
      <w:proofErr w:type="spellStart"/>
      <w:r w:rsidRPr="00F04828">
        <w:rPr>
          <w:i/>
        </w:rPr>
        <w:t>Gamatis</w:t>
      </w:r>
      <w:proofErr w:type="spellEnd"/>
      <w:r>
        <w:t xml:space="preserve"> further held that the three elements, namely the same claim, the same cause of action and the same parties must co-exist for the plea to succeed. </w:t>
      </w:r>
    </w:p>
    <w:p w14:paraId="0CBC3E27" w14:textId="2A273E30" w:rsidR="00F04828" w:rsidRDefault="00F04828" w:rsidP="00F04828">
      <w:pPr>
        <w:pStyle w:val="JudgmentText"/>
      </w:pPr>
      <w:r>
        <w:t xml:space="preserve">In the present case, while the parties may be much the same, the causes of action and claims are patently different. In suit CS276/2003, Anne </w:t>
      </w:r>
      <w:proofErr w:type="spellStart"/>
      <w:r>
        <w:t>Nourrice</w:t>
      </w:r>
      <w:proofErr w:type="spellEnd"/>
      <w:r>
        <w:t xml:space="preserve"> petitioned for a division in kind of Parcel S2025 against </w:t>
      </w:r>
      <w:proofErr w:type="spellStart"/>
      <w:r>
        <w:t>Auguste</w:t>
      </w:r>
      <w:proofErr w:type="spellEnd"/>
      <w:r>
        <w:t xml:space="preserve"> </w:t>
      </w:r>
      <w:proofErr w:type="spellStart"/>
      <w:r>
        <w:t>Jeremie</w:t>
      </w:r>
      <w:proofErr w:type="spellEnd"/>
      <w:r>
        <w:t xml:space="preserve"> and Heirs Louis Victor. In the present suit, Alex Salome in his capacity as the executor of Heirs Louis Victor is suing Anne </w:t>
      </w:r>
      <w:proofErr w:type="spellStart"/>
      <w:r>
        <w:t>Nourrice</w:t>
      </w:r>
      <w:proofErr w:type="spellEnd"/>
      <w:r>
        <w:t xml:space="preserve"> for the fraudulent or mistaken swearing of an </w:t>
      </w:r>
      <w:r w:rsidR="00926A39">
        <w:t>a</w:t>
      </w:r>
      <w:r>
        <w:t xml:space="preserve">ffidavit of </w:t>
      </w:r>
      <w:r w:rsidR="00926A39">
        <w:t>t</w:t>
      </w:r>
      <w:r>
        <w:t xml:space="preserve">ransmission by death and for the annulment or rectification of an entry on the Land Register purporting to make her a co-owner </w:t>
      </w:r>
      <w:r w:rsidR="00926A39">
        <w:t>of</w:t>
      </w:r>
      <w:r>
        <w:t xml:space="preserve"> Title S2025. The plea cannot therefore be upheld.</w:t>
      </w:r>
    </w:p>
    <w:p w14:paraId="530E9B16" w14:textId="252A221A" w:rsidR="00F04828" w:rsidRDefault="00F04828" w:rsidP="00F04828">
      <w:pPr>
        <w:pStyle w:val="JudgmentText"/>
      </w:pPr>
      <w:r>
        <w:lastRenderedPageBreak/>
        <w:t xml:space="preserve">Another plea by the First Defendant is that of prescription. The submission as I understand is based on Articles </w:t>
      </w:r>
      <w:r w:rsidRPr="00F04828">
        <w:t>2219</w:t>
      </w:r>
      <w:r>
        <w:t>, 2262</w:t>
      </w:r>
      <w:r w:rsidRPr="00F04828">
        <w:t xml:space="preserve"> and 2265 </w:t>
      </w:r>
      <w:r>
        <w:t xml:space="preserve"> of the Civil Code which provide: in relevant part: </w:t>
      </w:r>
    </w:p>
    <w:p w14:paraId="167751A3" w14:textId="77777777" w:rsidR="00F04828" w:rsidRDefault="00F04828" w:rsidP="00F04828">
      <w:pPr>
        <w:pStyle w:val="JudgmentText"/>
        <w:numPr>
          <w:ilvl w:val="0"/>
          <w:numId w:val="0"/>
        </w:numPr>
        <w:ind w:left="900" w:hanging="720"/>
      </w:pPr>
    </w:p>
    <w:p w14:paraId="7A83964E" w14:textId="77777777" w:rsidR="00F04828" w:rsidRDefault="00F04828" w:rsidP="00F04828">
      <w:pPr>
        <w:pStyle w:val="JudgmentText"/>
        <w:numPr>
          <w:ilvl w:val="0"/>
          <w:numId w:val="0"/>
        </w:numPr>
        <w:ind w:left="900" w:hanging="720"/>
      </w:pPr>
    </w:p>
    <w:p w14:paraId="230D1E46" w14:textId="119F2F40" w:rsidR="00F04828" w:rsidRPr="00F04828" w:rsidRDefault="00F04828" w:rsidP="00F04828">
      <w:pPr>
        <w:pStyle w:val="JudgmentText"/>
        <w:numPr>
          <w:ilvl w:val="0"/>
          <w:numId w:val="0"/>
        </w:numPr>
        <w:ind w:left="180"/>
        <w:rPr>
          <w:i/>
        </w:rPr>
      </w:pPr>
      <w:r>
        <w:tab/>
      </w:r>
      <w:r w:rsidRPr="00F04828">
        <w:tab/>
      </w:r>
      <w:r w:rsidRPr="00F04828">
        <w:rPr>
          <w:i/>
        </w:rPr>
        <w:t>Article 2219</w:t>
      </w:r>
    </w:p>
    <w:p w14:paraId="3E40DE0A" w14:textId="65874E78" w:rsidR="00F04828" w:rsidRPr="00F04828" w:rsidRDefault="00F04828" w:rsidP="00F04828">
      <w:pPr>
        <w:pStyle w:val="estatutes-1-section"/>
        <w:shd w:val="clear" w:color="auto" w:fill="FFFFFF"/>
        <w:spacing w:line="360" w:lineRule="auto"/>
        <w:rPr>
          <w:i/>
          <w:color w:val="000000"/>
          <w:sz w:val="22"/>
          <w:szCs w:val="22"/>
          <w:lang w:val="en-GB"/>
        </w:rPr>
      </w:pPr>
      <w:r w:rsidRPr="00F04828">
        <w:rPr>
          <w:i/>
        </w:rPr>
        <w:tab/>
      </w:r>
      <w:r w:rsidRPr="00F04828">
        <w:rPr>
          <w:i/>
        </w:rPr>
        <w:tab/>
        <w:t>“</w:t>
      </w:r>
      <w:r w:rsidRPr="00F04828">
        <w:rPr>
          <w:i/>
          <w:color w:val="000000"/>
          <w:sz w:val="22"/>
          <w:szCs w:val="22"/>
          <w:lang w:val="en-GB"/>
        </w:rPr>
        <w:t xml:space="preserve">1. Prescription involves loss of rights through a failure to act within the limits </w:t>
      </w:r>
      <w:r w:rsidRPr="00F04828">
        <w:rPr>
          <w:i/>
          <w:color w:val="000000"/>
          <w:sz w:val="22"/>
          <w:szCs w:val="22"/>
          <w:lang w:val="en-GB"/>
        </w:rPr>
        <w:tab/>
      </w:r>
      <w:r w:rsidRPr="00F04828">
        <w:rPr>
          <w:i/>
          <w:color w:val="000000"/>
          <w:sz w:val="22"/>
          <w:szCs w:val="22"/>
          <w:lang w:val="en-GB"/>
        </w:rPr>
        <w:tab/>
      </w:r>
      <w:r w:rsidRPr="00F04828">
        <w:rPr>
          <w:i/>
          <w:color w:val="000000"/>
          <w:sz w:val="22"/>
          <w:szCs w:val="22"/>
          <w:lang w:val="en-GB"/>
        </w:rPr>
        <w:tab/>
      </w:r>
      <w:r w:rsidRPr="00F04828">
        <w:rPr>
          <w:i/>
          <w:color w:val="000000"/>
          <w:sz w:val="22"/>
          <w:szCs w:val="22"/>
          <w:lang w:val="en-GB"/>
        </w:rPr>
        <w:tab/>
        <w:t xml:space="preserve">      established by law.</w:t>
      </w:r>
    </w:p>
    <w:p w14:paraId="49248BBB" w14:textId="387C884C" w:rsidR="00F04828" w:rsidRPr="00F04828" w:rsidRDefault="00F04828" w:rsidP="00F04828">
      <w:pPr>
        <w:pStyle w:val="estatutes-1-section"/>
        <w:shd w:val="clear" w:color="auto" w:fill="FFFFFF"/>
        <w:spacing w:line="360" w:lineRule="auto"/>
        <w:rPr>
          <w:i/>
          <w:color w:val="000000"/>
          <w:sz w:val="22"/>
          <w:szCs w:val="22"/>
        </w:rPr>
      </w:pPr>
      <w:r w:rsidRPr="00F04828">
        <w:rPr>
          <w:i/>
          <w:color w:val="000000"/>
          <w:sz w:val="22"/>
          <w:szCs w:val="22"/>
        </w:rPr>
        <w:t> </w:t>
      </w:r>
      <w:r w:rsidRPr="00F04828">
        <w:rPr>
          <w:i/>
          <w:color w:val="000000"/>
          <w:sz w:val="22"/>
          <w:szCs w:val="22"/>
        </w:rPr>
        <w:tab/>
      </w:r>
      <w:r w:rsidRPr="00F04828">
        <w:rPr>
          <w:i/>
          <w:color w:val="000000"/>
          <w:sz w:val="22"/>
          <w:szCs w:val="22"/>
        </w:rPr>
        <w:tab/>
        <w:t xml:space="preserve">2. It is a means whereby, after a certain lapse of time, rights may be acquired or lost, </w:t>
      </w:r>
      <w:r w:rsidRPr="00F04828">
        <w:rPr>
          <w:i/>
          <w:color w:val="000000"/>
          <w:sz w:val="22"/>
          <w:szCs w:val="22"/>
        </w:rPr>
        <w:tab/>
      </w:r>
      <w:r w:rsidRPr="00F04828">
        <w:rPr>
          <w:i/>
          <w:color w:val="000000"/>
          <w:sz w:val="22"/>
          <w:szCs w:val="22"/>
        </w:rPr>
        <w:tab/>
        <w:t xml:space="preserve">                 subject to the conditions established by law.</w:t>
      </w:r>
    </w:p>
    <w:p w14:paraId="4C76F1FA" w14:textId="1F741A3F" w:rsidR="00F04828" w:rsidRPr="00F04828" w:rsidRDefault="00F04828" w:rsidP="00F04828">
      <w:pPr>
        <w:pStyle w:val="estatutes-1-section"/>
        <w:shd w:val="clear" w:color="auto" w:fill="FFFFFF"/>
        <w:spacing w:line="360" w:lineRule="auto"/>
        <w:rPr>
          <w:i/>
          <w:color w:val="000000"/>
          <w:sz w:val="22"/>
          <w:szCs w:val="22"/>
        </w:rPr>
      </w:pPr>
      <w:r w:rsidRPr="00F04828">
        <w:rPr>
          <w:i/>
          <w:color w:val="000000"/>
          <w:sz w:val="22"/>
          <w:szCs w:val="22"/>
        </w:rPr>
        <w:tab/>
      </w:r>
      <w:r w:rsidRPr="00F04828">
        <w:rPr>
          <w:i/>
          <w:color w:val="000000"/>
          <w:sz w:val="22"/>
          <w:szCs w:val="22"/>
        </w:rPr>
        <w:tab/>
        <w:t>…</w:t>
      </w:r>
    </w:p>
    <w:p w14:paraId="69D18961" w14:textId="2652A55E" w:rsidR="00F04828" w:rsidRPr="00F04828" w:rsidRDefault="00F04828" w:rsidP="00F04828">
      <w:pPr>
        <w:keepNext/>
        <w:widowControl/>
        <w:shd w:val="clear" w:color="auto" w:fill="FFFFFF"/>
        <w:autoSpaceDE/>
        <w:autoSpaceDN/>
        <w:adjustRightInd/>
        <w:spacing w:before="100" w:beforeAutospacing="1" w:after="100" w:afterAutospacing="1"/>
        <w:rPr>
          <w:bCs/>
          <w:i/>
          <w:color w:val="000000"/>
          <w:sz w:val="22"/>
          <w:szCs w:val="22"/>
        </w:rPr>
      </w:pPr>
      <w:r>
        <w:rPr>
          <w:color w:val="000000"/>
          <w:sz w:val="22"/>
          <w:szCs w:val="22"/>
        </w:rPr>
        <w:tab/>
      </w:r>
      <w:r>
        <w:rPr>
          <w:color w:val="000000"/>
          <w:sz w:val="22"/>
          <w:szCs w:val="22"/>
        </w:rPr>
        <w:tab/>
      </w:r>
      <w:bookmarkStart w:id="12" w:name="_Toc464196471"/>
      <w:r w:rsidRPr="00F04828">
        <w:rPr>
          <w:i/>
          <w:color w:val="000000"/>
          <w:sz w:val="22"/>
          <w:szCs w:val="22"/>
        </w:rPr>
        <w:t>A</w:t>
      </w:r>
      <w:r w:rsidRPr="00F04828">
        <w:rPr>
          <w:bCs/>
          <w:i/>
          <w:color w:val="000000"/>
          <w:sz w:val="22"/>
          <w:szCs w:val="22"/>
        </w:rPr>
        <w:t>rticle 2221</w:t>
      </w:r>
      <w:bookmarkEnd w:id="12"/>
    </w:p>
    <w:p w14:paraId="0ABE37EE" w14:textId="2CBD6666" w:rsidR="00F04828" w:rsidRDefault="00F04828" w:rsidP="00F04828">
      <w:pPr>
        <w:pStyle w:val="estatutes-1-sectionheading"/>
        <w:keepNext/>
        <w:shd w:val="clear" w:color="auto" w:fill="FFFFFF"/>
        <w:spacing w:line="360" w:lineRule="auto"/>
        <w:rPr>
          <w:i/>
          <w:color w:val="000000"/>
          <w:sz w:val="22"/>
          <w:szCs w:val="22"/>
        </w:rPr>
      </w:pPr>
      <w:r w:rsidRPr="00F04828">
        <w:rPr>
          <w:bCs/>
          <w:i/>
          <w:color w:val="000000"/>
          <w:sz w:val="22"/>
          <w:szCs w:val="22"/>
          <w:lang w:val="en-GB"/>
        </w:rPr>
        <w:tab/>
      </w:r>
      <w:r w:rsidRPr="00F04828">
        <w:rPr>
          <w:bCs/>
          <w:i/>
          <w:color w:val="000000"/>
          <w:sz w:val="22"/>
          <w:szCs w:val="22"/>
          <w:lang w:val="en-GB"/>
        </w:rPr>
        <w:tab/>
      </w:r>
      <w:r w:rsidRPr="00F04828">
        <w:rPr>
          <w:i/>
          <w:color w:val="000000"/>
          <w:sz w:val="22"/>
          <w:szCs w:val="22"/>
        </w:rPr>
        <w:t xml:space="preserve">All real actions in respect of rights of ownership of land or other interests therein shall </w:t>
      </w:r>
      <w:r>
        <w:rPr>
          <w:i/>
          <w:color w:val="000000"/>
          <w:sz w:val="22"/>
          <w:szCs w:val="22"/>
        </w:rPr>
        <w:tab/>
      </w:r>
      <w:r>
        <w:rPr>
          <w:i/>
          <w:color w:val="000000"/>
          <w:sz w:val="22"/>
          <w:szCs w:val="22"/>
        </w:rPr>
        <w:tab/>
      </w:r>
      <w:r>
        <w:rPr>
          <w:i/>
          <w:color w:val="000000"/>
          <w:sz w:val="22"/>
          <w:szCs w:val="22"/>
        </w:rPr>
        <w:tab/>
      </w:r>
      <w:r w:rsidRPr="00F04828">
        <w:rPr>
          <w:i/>
          <w:color w:val="000000"/>
          <w:sz w:val="22"/>
          <w:szCs w:val="22"/>
        </w:rPr>
        <w:t>be</w:t>
      </w:r>
      <w:r>
        <w:rPr>
          <w:i/>
          <w:color w:val="000000"/>
          <w:sz w:val="22"/>
          <w:szCs w:val="22"/>
        </w:rPr>
        <w:t xml:space="preserve"> </w:t>
      </w:r>
      <w:r w:rsidRPr="00F04828">
        <w:rPr>
          <w:i/>
          <w:color w:val="000000"/>
          <w:sz w:val="22"/>
          <w:szCs w:val="22"/>
        </w:rPr>
        <w:t xml:space="preserve">barred by prescription after twenty years whether the party claiming the benefit of </w:t>
      </w:r>
      <w:r>
        <w:rPr>
          <w:i/>
          <w:color w:val="000000"/>
          <w:sz w:val="22"/>
          <w:szCs w:val="22"/>
        </w:rPr>
        <w:tab/>
      </w:r>
      <w:r>
        <w:rPr>
          <w:i/>
          <w:color w:val="000000"/>
          <w:sz w:val="22"/>
          <w:szCs w:val="22"/>
        </w:rPr>
        <w:tab/>
      </w:r>
      <w:r>
        <w:rPr>
          <w:i/>
          <w:color w:val="000000"/>
          <w:sz w:val="22"/>
          <w:szCs w:val="22"/>
        </w:rPr>
        <w:tab/>
      </w:r>
      <w:r w:rsidRPr="00F04828">
        <w:rPr>
          <w:i/>
          <w:color w:val="000000"/>
          <w:sz w:val="22"/>
          <w:szCs w:val="22"/>
        </w:rPr>
        <w:t xml:space="preserve">such prescription can produce a title or not and whether such party is in good faith or </w:t>
      </w:r>
      <w:r>
        <w:rPr>
          <w:i/>
          <w:color w:val="000000"/>
          <w:sz w:val="22"/>
          <w:szCs w:val="22"/>
        </w:rPr>
        <w:tab/>
      </w:r>
      <w:r>
        <w:rPr>
          <w:i/>
          <w:color w:val="000000"/>
          <w:sz w:val="22"/>
          <w:szCs w:val="22"/>
        </w:rPr>
        <w:tab/>
      </w:r>
      <w:r>
        <w:rPr>
          <w:i/>
          <w:color w:val="000000"/>
          <w:sz w:val="22"/>
          <w:szCs w:val="22"/>
        </w:rPr>
        <w:tab/>
      </w:r>
      <w:r w:rsidRPr="00F04828">
        <w:rPr>
          <w:i/>
          <w:color w:val="000000"/>
          <w:sz w:val="22"/>
          <w:szCs w:val="22"/>
        </w:rPr>
        <w:t>not.</w:t>
      </w:r>
    </w:p>
    <w:p w14:paraId="1A11715C" w14:textId="6291DEB3" w:rsidR="00F04828" w:rsidRPr="00F04828" w:rsidRDefault="00F04828" w:rsidP="00F04828">
      <w:pPr>
        <w:widowControl/>
        <w:shd w:val="clear" w:color="auto" w:fill="FFFFFF"/>
        <w:autoSpaceDE/>
        <w:autoSpaceDN/>
        <w:adjustRightInd/>
        <w:spacing w:before="100" w:beforeAutospacing="1" w:after="100" w:afterAutospacing="1"/>
        <w:rPr>
          <w:rFonts w:eastAsia="Times New Roman"/>
          <w:i/>
          <w:color w:val="000000"/>
          <w:sz w:val="22"/>
          <w:szCs w:val="22"/>
          <w:lang w:val="en-US"/>
        </w:rPr>
      </w:pPr>
      <w:r w:rsidRPr="00F04828">
        <w:rPr>
          <w:rFonts w:eastAsia="Times New Roman"/>
          <w:color w:val="000000"/>
          <w:sz w:val="22"/>
          <w:szCs w:val="22"/>
        </w:rPr>
        <w:t> </w:t>
      </w:r>
      <w:r>
        <w:rPr>
          <w:rFonts w:eastAsia="Times New Roman"/>
          <w:color w:val="000000"/>
          <w:sz w:val="22"/>
          <w:szCs w:val="22"/>
        </w:rPr>
        <w:tab/>
      </w:r>
      <w:r>
        <w:rPr>
          <w:rFonts w:eastAsia="Times New Roman"/>
          <w:color w:val="000000"/>
          <w:sz w:val="22"/>
          <w:szCs w:val="22"/>
        </w:rPr>
        <w:tab/>
      </w:r>
      <w:r w:rsidRPr="00F04828">
        <w:rPr>
          <w:rFonts w:eastAsia="Times New Roman"/>
          <w:i/>
          <w:color w:val="000000"/>
          <w:sz w:val="22"/>
          <w:szCs w:val="22"/>
        </w:rPr>
        <w:t>Article 2265</w:t>
      </w:r>
    </w:p>
    <w:p w14:paraId="081860D1" w14:textId="517053C6" w:rsidR="00F04828" w:rsidRDefault="00F04828" w:rsidP="00F04828">
      <w:pPr>
        <w:pStyle w:val="estatutes-1-sectionheading"/>
        <w:keepNext/>
        <w:shd w:val="clear" w:color="auto" w:fill="FFFFFF"/>
        <w:spacing w:line="360" w:lineRule="auto"/>
      </w:pPr>
      <w:bookmarkStart w:id="13" w:name="zoupio-_Toc464196427"/>
      <w:bookmarkEnd w:id="13"/>
      <w:r>
        <w:tab/>
      </w:r>
      <w:r>
        <w:tab/>
      </w:r>
      <w:r w:rsidRPr="00F04828">
        <w:rPr>
          <w:i/>
          <w:color w:val="000000"/>
          <w:sz w:val="22"/>
          <w:szCs w:val="22"/>
        </w:rPr>
        <w:t xml:space="preserve">If the party claiming the benefit of such prescription produces a title which has been </w:t>
      </w:r>
      <w:r w:rsidRPr="00F04828">
        <w:rPr>
          <w:i/>
          <w:color w:val="000000"/>
          <w:sz w:val="22"/>
          <w:szCs w:val="22"/>
        </w:rPr>
        <w:tab/>
      </w:r>
      <w:r w:rsidRPr="00F04828">
        <w:rPr>
          <w:i/>
          <w:color w:val="000000"/>
          <w:sz w:val="22"/>
          <w:szCs w:val="22"/>
        </w:rPr>
        <w:tab/>
      </w:r>
      <w:r w:rsidRPr="00F04828">
        <w:rPr>
          <w:i/>
          <w:color w:val="000000"/>
          <w:sz w:val="22"/>
          <w:szCs w:val="22"/>
        </w:rPr>
        <w:tab/>
        <w:t xml:space="preserve">acquired for value and in good faith, the period of prescription of article 2262 shall be </w:t>
      </w:r>
      <w:r w:rsidRPr="00F04828">
        <w:rPr>
          <w:i/>
          <w:color w:val="000000"/>
          <w:sz w:val="22"/>
          <w:szCs w:val="22"/>
        </w:rPr>
        <w:tab/>
      </w:r>
      <w:r w:rsidRPr="00F04828">
        <w:rPr>
          <w:i/>
          <w:color w:val="000000"/>
          <w:sz w:val="22"/>
          <w:szCs w:val="22"/>
        </w:rPr>
        <w:tab/>
      </w:r>
      <w:r w:rsidRPr="00F04828">
        <w:rPr>
          <w:i/>
          <w:color w:val="000000"/>
          <w:sz w:val="22"/>
          <w:szCs w:val="22"/>
        </w:rPr>
        <w:tab/>
        <w:t>reduced to ten years.</w:t>
      </w:r>
      <w:r w:rsidRPr="00F04828">
        <w:rPr>
          <w:color w:val="000000"/>
          <w:sz w:val="22"/>
          <w:szCs w:val="22"/>
        </w:rPr>
        <w:t> </w:t>
      </w:r>
    </w:p>
    <w:p w14:paraId="5D4ABE73" w14:textId="6D631FFE" w:rsidR="00F04828" w:rsidRDefault="00F04828" w:rsidP="00F04828">
      <w:pPr>
        <w:pStyle w:val="JudgmentText"/>
      </w:pPr>
      <w:r>
        <w:t xml:space="preserve">The provisions are self-evident. The First Defendant is claiming that the action of the Plaintiff is prescribed by the statutory ten year limitation given that she has registered title. The Plaintiff has tried to rebut this submission by stating that it is the prescription of twenty years that applies in this case as the First Defendant did not have good title.  </w:t>
      </w:r>
    </w:p>
    <w:p w14:paraId="2A2F066A" w14:textId="29C1D44E" w:rsidR="00F04828" w:rsidRDefault="00F04828" w:rsidP="00467E95">
      <w:pPr>
        <w:pStyle w:val="JudgmentText"/>
      </w:pPr>
      <w:r>
        <w:lastRenderedPageBreak/>
        <w:t xml:space="preserve">It must be noted that Section 46 of the Land Registration </w:t>
      </w:r>
      <w:proofErr w:type="gramStart"/>
      <w:r>
        <w:t>Act</w:t>
      </w:r>
      <w:r w:rsidR="00926A39">
        <w:t>(</w:t>
      </w:r>
      <w:proofErr w:type="gramEnd"/>
      <w:r w:rsidR="00926A39">
        <w:t xml:space="preserve"> hereinafter the LRA)</w:t>
      </w:r>
      <w:r>
        <w:t xml:space="preserve"> provides that land transfers are completed by registration of the transferee as proprietor of the land and the filing of the document. Hence, under the current system, registration perfects and completes the </w:t>
      </w:r>
      <w:r w:rsidRPr="00F04828">
        <w:t xml:space="preserve">transfer and certifies the ownership of absolute title to realty (See </w:t>
      </w:r>
      <w:r w:rsidRPr="00F04828">
        <w:rPr>
          <w:i/>
        </w:rPr>
        <w:t xml:space="preserve">Morin v Simeon and </w:t>
      </w:r>
      <w:proofErr w:type="spellStart"/>
      <w:r w:rsidRPr="00F04828">
        <w:rPr>
          <w:i/>
        </w:rPr>
        <w:t>ors</w:t>
      </w:r>
      <w:proofErr w:type="spellEnd"/>
      <w:r w:rsidRPr="00F04828">
        <w:t xml:space="preserve"> </w:t>
      </w:r>
      <w:r w:rsidRPr="00F04828">
        <w:rPr>
          <w:rStyle w:val="Strong"/>
          <w:rFonts w:ascii="inherit" w:hAnsi="inherit" w:cs="Arial"/>
          <w:b w:val="0"/>
          <w:color w:val="333333"/>
          <w:bdr w:val="none" w:sz="0" w:space="0" w:color="auto" w:frame="1"/>
        </w:rPr>
        <w:t>[2016] SCSC 512</w:t>
      </w:r>
      <w:r w:rsidRPr="00F04828">
        <w:rPr>
          <w:rStyle w:val="Strong"/>
          <w:rFonts w:ascii="inherit" w:hAnsi="inherit" w:cs="Arial"/>
          <w:color w:val="333333"/>
          <w:bdr w:val="none" w:sz="0" w:space="0" w:color="auto" w:frame="1"/>
        </w:rPr>
        <w:t>.</w:t>
      </w:r>
      <w:r>
        <w:t xml:space="preserve">  </w:t>
      </w:r>
    </w:p>
    <w:p w14:paraId="6915D7C3" w14:textId="2495D6E9" w:rsidR="00F04828" w:rsidRDefault="00F04828" w:rsidP="00F04828">
      <w:pPr>
        <w:pStyle w:val="JudgmentText"/>
      </w:pPr>
      <w:r>
        <w:t>Furthermore, section 20 of the LRA provides in relevant part:</w:t>
      </w:r>
    </w:p>
    <w:p w14:paraId="02ED423B" w14:textId="77777777" w:rsidR="00F04828" w:rsidRDefault="00F04828" w:rsidP="00F04828">
      <w:pPr>
        <w:pStyle w:val="JudgmentText"/>
        <w:numPr>
          <w:ilvl w:val="0"/>
          <w:numId w:val="0"/>
        </w:numPr>
        <w:ind w:left="900" w:hanging="720"/>
      </w:pPr>
    </w:p>
    <w:p w14:paraId="06034A15" w14:textId="2A6A542F" w:rsidR="00F04828" w:rsidRPr="00F04828" w:rsidRDefault="00F04828" w:rsidP="00F04828">
      <w:pPr>
        <w:pStyle w:val="JudgmentText"/>
        <w:numPr>
          <w:ilvl w:val="0"/>
          <w:numId w:val="0"/>
        </w:numPr>
        <w:ind w:left="180"/>
        <w:rPr>
          <w:i/>
        </w:rPr>
      </w:pPr>
      <w:r>
        <w:tab/>
      </w:r>
      <w:r>
        <w:tab/>
      </w:r>
      <w:r w:rsidR="00926A39">
        <w:t>“</w:t>
      </w:r>
      <w:r w:rsidRPr="00F04828">
        <w:rPr>
          <w:i/>
        </w:rPr>
        <w:t>Subject to the provisions of this Act-</w:t>
      </w:r>
    </w:p>
    <w:p w14:paraId="473DACDE" w14:textId="00AF853A" w:rsidR="00F04828" w:rsidRDefault="00F04828" w:rsidP="00F04828">
      <w:pPr>
        <w:pStyle w:val="JudgmentText"/>
        <w:numPr>
          <w:ilvl w:val="0"/>
          <w:numId w:val="0"/>
        </w:numPr>
        <w:ind w:left="180"/>
        <w:rPr>
          <w:i/>
        </w:rPr>
      </w:pPr>
      <w:r w:rsidRPr="00F04828">
        <w:rPr>
          <w:i/>
        </w:rPr>
        <w:tab/>
      </w:r>
      <w:r w:rsidRPr="00F04828">
        <w:rPr>
          <w:i/>
        </w:rPr>
        <w:tab/>
        <w:t xml:space="preserve">(a) the registration of a person as the proprietor of land with an absolute title shall </w:t>
      </w:r>
      <w:r w:rsidRPr="00F04828">
        <w:rPr>
          <w:i/>
        </w:rPr>
        <w:tab/>
      </w:r>
      <w:r w:rsidRPr="00F04828">
        <w:rPr>
          <w:i/>
        </w:rPr>
        <w:tab/>
        <w:t>vest in him the absolute ownership of that land, together</w:t>
      </w:r>
      <w:r>
        <w:t xml:space="preserve"> </w:t>
      </w:r>
      <w:r w:rsidRPr="00F04828">
        <w:rPr>
          <w:i/>
        </w:rPr>
        <w:t>with all rights, privileges</w:t>
      </w:r>
      <w:r>
        <w:t xml:space="preserve"> </w:t>
      </w:r>
      <w:r>
        <w:tab/>
      </w:r>
      <w:r>
        <w:tab/>
      </w:r>
      <w:r w:rsidRPr="00F04828">
        <w:rPr>
          <w:i/>
        </w:rPr>
        <w:t>and appurtenances belonging or appurtenant thereto;</w:t>
      </w:r>
      <w:r w:rsidR="00926A39">
        <w:rPr>
          <w:i/>
        </w:rPr>
        <w:t>…”</w:t>
      </w:r>
    </w:p>
    <w:p w14:paraId="4956F267" w14:textId="4CFFA6A6" w:rsidR="00F04828" w:rsidRPr="00F04828" w:rsidRDefault="00F04828" w:rsidP="00F04828">
      <w:pPr>
        <w:pStyle w:val="JudgmentText"/>
        <w:rPr>
          <w:rStyle w:val="solext0"/>
          <w:lang w:val="en-US"/>
        </w:rPr>
      </w:pPr>
      <w:bookmarkStart w:id="14" w:name="_Toc385333478"/>
      <w:r>
        <w:rPr>
          <w:rStyle w:val="solext0"/>
          <w:lang w:val="en-US"/>
        </w:rPr>
        <w:t xml:space="preserve">The question arises as to the circumstances in which a registered title can be annulled or rectified. Section 72 of the </w:t>
      </w:r>
      <w:r w:rsidR="00926A39">
        <w:rPr>
          <w:rStyle w:val="solext0"/>
          <w:lang w:val="en-US"/>
        </w:rPr>
        <w:t>LRA</w:t>
      </w:r>
      <w:r>
        <w:rPr>
          <w:rStyle w:val="solext0"/>
          <w:lang w:val="en-US"/>
        </w:rPr>
        <w:t xml:space="preserve"> protects the interest of a proprietor who succeeds a deceased landowner </w:t>
      </w:r>
      <w:r w:rsidRPr="00F04828">
        <w:rPr>
          <w:rStyle w:val="solext0"/>
          <w:lang w:val="en-US"/>
        </w:rPr>
        <w:t>upon production and filing of an affidavit by them in the prescribed form</w:t>
      </w:r>
      <w:r>
        <w:rPr>
          <w:rStyle w:val="solext0"/>
          <w:lang w:val="en-US"/>
        </w:rPr>
        <w:t xml:space="preserve">. There is an averment that the Affidavit on Transmission by death was made by fraud or in error. The rectification of the Register is permitted by the Registrar only where the error or omission does not materially affect the interest of a proprietor, is consented to by all persons interested and in other very limited circumstances (section 88 of the </w:t>
      </w:r>
      <w:r w:rsidR="00926A39">
        <w:rPr>
          <w:rStyle w:val="solext0"/>
          <w:lang w:val="en-US"/>
        </w:rPr>
        <w:t>LRA</w:t>
      </w:r>
      <w:r>
        <w:rPr>
          <w:rStyle w:val="solext0"/>
          <w:lang w:val="en-US"/>
        </w:rPr>
        <w:t xml:space="preserve">). However, section 89 of the </w:t>
      </w:r>
      <w:r w:rsidR="00926A39">
        <w:rPr>
          <w:rStyle w:val="solext0"/>
          <w:lang w:val="en-US"/>
        </w:rPr>
        <w:t>LRA</w:t>
      </w:r>
      <w:r>
        <w:rPr>
          <w:rStyle w:val="solext0"/>
          <w:lang w:val="en-US"/>
        </w:rPr>
        <w:t xml:space="preserve"> permits the rectification of the register by the court in other circumstances outlined as follows:    </w:t>
      </w:r>
    </w:p>
    <w:p w14:paraId="25A9A5B4" w14:textId="56E46F5F" w:rsidR="00F04828" w:rsidRPr="00F04828" w:rsidRDefault="00F04828" w:rsidP="00F04828">
      <w:pPr>
        <w:pStyle w:val="JudgmentText"/>
        <w:numPr>
          <w:ilvl w:val="0"/>
          <w:numId w:val="0"/>
        </w:numPr>
        <w:ind w:left="180"/>
        <w:rPr>
          <w:i/>
        </w:rPr>
      </w:pPr>
      <w:bookmarkStart w:id="15" w:name="_Toc410965737"/>
      <w:bookmarkStart w:id="16" w:name="zoupio-_Toc385333479"/>
      <w:bookmarkEnd w:id="14"/>
      <w:bookmarkEnd w:id="15"/>
      <w:bookmarkEnd w:id="16"/>
      <w:r>
        <w:tab/>
      </w:r>
      <w:r>
        <w:tab/>
      </w:r>
      <w:r w:rsidRPr="00F04828">
        <w:rPr>
          <w:i/>
        </w:rPr>
        <w:t>(1) Subject to subsection (2), the court may order</w:t>
      </w:r>
      <w:r w:rsidRPr="00F04828">
        <w:rPr>
          <w:rStyle w:val="apple-converted-space"/>
          <w:i/>
          <w:sz w:val="22"/>
          <w:szCs w:val="22"/>
        </w:rPr>
        <w:t xml:space="preserve"> rectification of the </w:t>
      </w:r>
      <w:r w:rsidRPr="00F04828">
        <w:rPr>
          <w:i/>
        </w:rPr>
        <w:t xml:space="preserve">register </w:t>
      </w:r>
      <w:r w:rsidRPr="00F04828">
        <w:rPr>
          <w:i/>
        </w:rPr>
        <w:tab/>
      </w:r>
      <w:r w:rsidRPr="00F04828">
        <w:rPr>
          <w:i/>
        </w:rPr>
        <w:tab/>
      </w:r>
      <w:r w:rsidRPr="00F04828">
        <w:rPr>
          <w:i/>
        </w:rPr>
        <w:tab/>
        <w:t xml:space="preserve">by directing that any registration be cancelled or amended where it is satisfied that </w:t>
      </w:r>
      <w:r w:rsidRPr="00F04828">
        <w:rPr>
          <w:i/>
        </w:rPr>
        <w:tab/>
      </w:r>
      <w:r w:rsidRPr="00F04828">
        <w:rPr>
          <w:i/>
        </w:rPr>
        <w:tab/>
        <w:t>any registration has been obtained, made or omitted by fraud or mistake.</w:t>
      </w:r>
    </w:p>
    <w:p w14:paraId="7846A31C" w14:textId="42D400C4" w:rsidR="00F04828" w:rsidRPr="00F04828" w:rsidRDefault="00F04828" w:rsidP="00F04828">
      <w:pPr>
        <w:pStyle w:val="JudgmentText"/>
        <w:numPr>
          <w:ilvl w:val="0"/>
          <w:numId w:val="0"/>
        </w:numPr>
        <w:ind w:left="180"/>
        <w:rPr>
          <w:i/>
        </w:rPr>
      </w:pPr>
      <w:r w:rsidRPr="00F04828">
        <w:rPr>
          <w:i/>
        </w:rPr>
        <w:tab/>
      </w:r>
      <w:r w:rsidRPr="00F04828">
        <w:rPr>
          <w:i/>
        </w:rPr>
        <w:tab/>
        <w:t xml:space="preserve">(2) The register shall not be rectified so as to affect the title of a proprietor who is </w:t>
      </w:r>
      <w:r w:rsidRPr="00F04828">
        <w:rPr>
          <w:i/>
        </w:rPr>
        <w:tab/>
      </w:r>
      <w:r w:rsidRPr="00F04828">
        <w:rPr>
          <w:i/>
        </w:rPr>
        <w:tab/>
        <w:t xml:space="preserve">in possession and acquired the land, lease or charge for valuable consideration, </w:t>
      </w:r>
      <w:r w:rsidRPr="00F04828">
        <w:rPr>
          <w:i/>
        </w:rPr>
        <w:tab/>
      </w:r>
      <w:r w:rsidRPr="00F04828">
        <w:rPr>
          <w:i/>
        </w:rPr>
        <w:tab/>
      </w:r>
      <w:r w:rsidRPr="00F04828">
        <w:rPr>
          <w:i/>
        </w:rPr>
        <w:tab/>
        <w:t xml:space="preserve">unless such proprietor had knowledge of the omission, fraud or mistake in </w:t>
      </w:r>
      <w:r w:rsidRPr="00F04828">
        <w:rPr>
          <w:i/>
        </w:rPr>
        <w:tab/>
      </w:r>
      <w:r w:rsidRPr="00F04828">
        <w:rPr>
          <w:i/>
        </w:rPr>
        <w:tab/>
      </w:r>
      <w:r w:rsidRPr="00F04828">
        <w:rPr>
          <w:i/>
        </w:rPr>
        <w:lastRenderedPageBreak/>
        <w:tab/>
      </w:r>
      <w:r w:rsidRPr="00F04828">
        <w:rPr>
          <w:i/>
        </w:rPr>
        <w:tab/>
        <w:t xml:space="preserve">consequence of which rectification is sought, or caused such omission, fraud or </w:t>
      </w:r>
      <w:r w:rsidRPr="00F04828">
        <w:rPr>
          <w:i/>
        </w:rPr>
        <w:tab/>
      </w:r>
      <w:r w:rsidRPr="00F04828">
        <w:rPr>
          <w:i/>
        </w:rPr>
        <w:tab/>
      </w:r>
      <w:r w:rsidRPr="00F04828">
        <w:rPr>
          <w:i/>
        </w:rPr>
        <w:tab/>
        <w:t>mistake or substantially contributed to it by his act, neglect or default.</w:t>
      </w:r>
    </w:p>
    <w:p w14:paraId="57CE15D7" w14:textId="47CFA704" w:rsidR="00F04828" w:rsidRDefault="00F04828" w:rsidP="00D11399">
      <w:pPr>
        <w:pStyle w:val="JudgmentText"/>
      </w:pPr>
      <w:bookmarkStart w:id="17" w:name="_Toc410965738"/>
      <w:bookmarkStart w:id="18" w:name="zoupio-_Toc385333480"/>
      <w:bookmarkEnd w:id="17"/>
      <w:bookmarkEnd w:id="18"/>
      <w:r>
        <w:t xml:space="preserve">As I have stated there is an allegation of fraud, mistake or bad faith made by the Plaintiff.  In the circumstances and in view of the provisions of the </w:t>
      </w:r>
      <w:r w:rsidR="00926A39">
        <w:t>LRA</w:t>
      </w:r>
      <w:r>
        <w:t xml:space="preserve"> relating to rectification of title by the Court and the provisions of the Civil Code relating to prescription, I am duty bound to hear evidence in order to determine if the First Defendant’s  title was obtained in good faith or by other means. </w:t>
      </w:r>
    </w:p>
    <w:p w14:paraId="542D9083" w14:textId="6896BD7C" w:rsidR="00F04828" w:rsidRDefault="00F04828" w:rsidP="00D11399">
      <w:pPr>
        <w:pStyle w:val="JudgmentText"/>
      </w:pPr>
      <w:r>
        <w:t>I therefore set this case down for hearing of the merits on</w:t>
      </w:r>
      <w:r w:rsidR="00926A39">
        <w:t xml:space="preserve"> 21 May 2018.</w:t>
      </w:r>
    </w:p>
    <w:p w14:paraId="0DA52263" w14:textId="1E8F218E" w:rsidR="00F04828" w:rsidRPr="00D11399" w:rsidRDefault="00F04828" w:rsidP="00F04828">
      <w:pPr>
        <w:pStyle w:val="JudgmentText"/>
      </w:pPr>
      <w:r>
        <w:t xml:space="preserve">The Registrar of Lands is also hereby directed to provide a report to the Court on the root of title and </w:t>
      </w:r>
      <w:r w:rsidRPr="00F04828">
        <w:t xml:space="preserve">chain of ownership </w:t>
      </w:r>
      <w:r>
        <w:t xml:space="preserve">by the First Defendant and other co-owners of Parcel S2025 on or before the 29 March 2018. A copy of this ruling is to be served on her Office. </w:t>
      </w:r>
    </w:p>
    <w:p w14:paraId="528A1ED7" w14:textId="74070013" w:rsidR="00E65EF0" w:rsidRDefault="000B6464" w:rsidP="000B6464">
      <w:pPr>
        <w:pStyle w:val="JudgmentText"/>
        <w:numPr>
          <w:ilvl w:val="0"/>
          <w:numId w:val="0"/>
        </w:numPr>
      </w:pPr>
      <w:r>
        <w:tab/>
      </w:r>
      <w:r w:rsidR="00E65EF0">
        <w:t xml:space="preserve"> </w:t>
      </w:r>
    </w:p>
    <w:p w14:paraId="17CDF420" w14:textId="77777777" w:rsidR="00E6492F" w:rsidRDefault="000C6A5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531B372E" w14:textId="77777777"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14:paraId="5620CB75" w14:textId="4F3115B6"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F04828">
        <w:rPr>
          <w:sz w:val="24"/>
          <w:szCs w:val="24"/>
        </w:rPr>
        <w:t>7 February 2018</w:t>
      </w:r>
    </w:p>
    <w:p w14:paraId="432A28FC" w14:textId="77777777"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14:paraId="43733173"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353CE3D1" w14:textId="77777777"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14:paraId="7BFC96FF"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2439BF2E" w14:textId="77777777" w:rsidR="00E33F35" w:rsidRPr="00054691" w:rsidRDefault="00054691" w:rsidP="0006489F">
      <w:pPr>
        <w:pStyle w:val="ListParagraph"/>
        <w:widowControl/>
        <w:autoSpaceDE/>
        <w:autoSpaceDN/>
        <w:adjustRightInd/>
        <w:ind w:left="0"/>
        <w:contextualSpacing w:val="0"/>
        <w:jc w:val="both"/>
        <w:rPr>
          <w:b/>
          <w:sz w:val="24"/>
          <w:szCs w:val="24"/>
        </w:rPr>
      </w:pPr>
      <w:r>
        <w:rPr>
          <w:b/>
          <w:sz w:val="24"/>
          <w:szCs w:val="24"/>
        </w:rPr>
        <w:t>M. TWOMEY</w:t>
      </w:r>
    </w:p>
    <w:bookmarkStart w:id="19" w:name="Dropdown7"/>
    <w:p w14:paraId="56681C01" w14:textId="77777777" w:rsidR="009E05E5" w:rsidRPr="00E33F35" w:rsidRDefault="000C6A5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D356A0">
        <w:rPr>
          <w:b/>
          <w:sz w:val="24"/>
          <w:szCs w:val="24"/>
        </w:rPr>
      </w:r>
      <w:r w:rsidR="00D356A0">
        <w:rPr>
          <w:b/>
          <w:sz w:val="24"/>
          <w:szCs w:val="24"/>
        </w:rPr>
        <w:fldChar w:fldCharType="separate"/>
      </w:r>
      <w:r>
        <w:rPr>
          <w:b/>
          <w:sz w:val="24"/>
          <w:szCs w:val="24"/>
        </w:rPr>
        <w:fldChar w:fldCharType="end"/>
      </w:r>
      <w:bookmarkEnd w:id="1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574E" w14:textId="77777777" w:rsidR="00D356A0" w:rsidRDefault="00D356A0" w:rsidP="00DB6D34">
      <w:r>
        <w:separator/>
      </w:r>
    </w:p>
  </w:endnote>
  <w:endnote w:type="continuationSeparator" w:id="0">
    <w:p w14:paraId="3227658C" w14:textId="77777777" w:rsidR="00D356A0" w:rsidRDefault="00D356A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C04C" w14:textId="77777777" w:rsidR="00D11399" w:rsidRDefault="00D11399">
    <w:pPr>
      <w:pStyle w:val="Footer"/>
      <w:jc w:val="center"/>
    </w:pPr>
    <w:r>
      <w:fldChar w:fldCharType="begin"/>
    </w:r>
    <w:r>
      <w:instrText xml:space="preserve"> PAGE   \* MERGEFORMAT </w:instrText>
    </w:r>
    <w:r>
      <w:fldChar w:fldCharType="separate"/>
    </w:r>
    <w:r w:rsidR="00F01BE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B884" w14:textId="77777777" w:rsidR="00D356A0" w:rsidRDefault="00D356A0" w:rsidP="00DB6D34">
      <w:r>
        <w:separator/>
      </w:r>
    </w:p>
  </w:footnote>
  <w:footnote w:type="continuationSeparator" w:id="0">
    <w:p w14:paraId="0D49656B" w14:textId="77777777" w:rsidR="00D356A0" w:rsidRDefault="00D356A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117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9C02EA8"/>
    <w:multiLevelType w:val="hybridMultilevel"/>
    <w:tmpl w:val="6E7AC0F6"/>
    <w:lvl w:ilvl="0" w:tplc="465496E4">
      <w:start w:val="1"/>
      <w:numFmt w:val="decimal"/>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44"/>
    <w:rsid w:val="00000407"/>
    <w:rsid w:val="00005BEF"/>
    <w:rsid w:val="00030C81"/>
    <w:rsid w:val="00054691"/>
    <w:rsid w:val="00062255"/>
    <w:rsid w:val="0006489F"/>
    <w:rsid w:val="000710B0"/>
    <w:rsid w:val="00075573"/>
    <w:rsid w:val="00091036"/>
    <w:rsid w:val="000911E9"/>
    <w:rsid w:val="000A10B8"/>
    <w:rsid w:val="000B6464"/>
    <w:rsid w:val="000B7E37"/>
    <w:rsid w:val="000C6A59"/>
    <w:rsid w:val="000D1DD3"/>
    <w:rsid w:val="000E39A5"/>
    <w:rsid w:val="000E7400"/>
    <w:rsid w:val="000F7AB6"/>
    <w:rsid w:val="001008BC"/>
    <w:rsid w:val="00101D12"/>
    <w:rsid w:val="0010732D"/>
    <w:rsid w:val="00117CBF"/>
    <w:rsid w:val="00126A10"/>
    <w:rsid w:val="001376AB"/>
    <w:rsid w:val="00144612"/>
    <w:rsid w:val="0014598E"/>
    <w:rsid w:val="00163EA5"/>
    <w:rsid w:val="0016510C"/>
    <w:rsid w:val="00180158"/>
    <w:rsid w:val="001E4ED8"/>
    <w:rsid w:val="001F0144"/>
    <w:rsid w:val="001F255E"/>
    <w:rsid w:val="0020244B"/>
    <w:rsid w:val="00217DAF"/>
    <w:rsid w:val="00225016"/>
    <w:rsid w:val="00231C17"/>
    <w:rsid w:val="00236AAC"/>
    <w:rsid w:val="0024353F"/>
    <w:rsid w:val="00290E14"/>
    <w:rsid w:val="002A7376"/>
    <w:rsid w:val="002B2255"/>
    <w:rsid w:val="002B3026"/>
    <w:rsid w:val="002C12FE"/>
    <w:rsid w:val="002C7560"/>
    <w:rsid w:val="002D06AA"/>
    <w:rsid w:val="002D67FC"/>
    <w:rsid w:val="002E25E4"/>
    <w:rsid w:val="002E6963"/>
    <w:rsid w:val="002F40A1"/>
    <w:rsid w:val="00301D88"/>
    <w:rsid w:val="00304E76"/>
    <w:rsid w:val="00307099"/>
    <w:rsid w:val="003124CA"/>
    <w:rsid w:val="00340D64"/>
    <w:rsid w:val="003647E7"/>
    <w:rsid w:val="00377341"/>
    <w:rsid w:val="0037789A"/>
    <w:rsid w:val="003838CC"/>
    <w:rsid w:val="003862CB"/>
    <w:rsid w:val="0038700C"/>
    <w:rsid w:val="003B461C"/>
    <w:rsid w:val="003B4C19"/>
    <w:rsid w:val="003C17AC"/>
    <w:rsid w:val="003D58AA"/>
    <w:rsid w:val="003D7B97"/>
    <w:rsid w:val="003E2ABC"/>
    <w:rsid w:val="003E404C"/>
    <w:rsid w:val="003F0F8D"/>
    <w:rsid w:val="004156B9"/>
    <w:rsid w:val="00435EB8"/>
    <w:rsid w:val="0043660F"/>
    <w:rsid w:val="00445BFA"/>
    <w:rsid w:val="00452BB6"/>
    <w:rsid w:val="0046133B"/>
    <w:rsid w:val="00464531"/>
    <w:rsid w:val="004B22D0"/>
    <w:rsid w:val="004C3D80"/>
    <w:rsid w:val="004D7835"/>
    <w:rsid w:val="004F2480"/>
    <w:rsid w:val="004F3823"/>
    <w:rsid w:val="00505A26"/>
    <w:rsid w:val="005207C8"/>
    <w:rsid w:val="00530663"/>
    <w:rsid w:val="00540558"/>
    <w:rsid w:val="0055036F"/>
    <w:rsid w:val="005514D6"/>
    <w:rsid w:val="00552704"/>
    <w:rsid w:val="00572AB3"/>
    <w:rsid w:val="005836AC"/>
    <w:rsid w:val="00584583"/>
    <w:rsid w:val="00594FAC"/>
    <w:rsid w:val="005E6584"/>
    <w:rsid w:val="005F6CF4"/>
    <w:rsid w:val="00606587"/>
    <w:rsid w:val="00606EEA"/>
    <w:rsid w:val="0061371B"/>
    <w:rsid w:val="00615AFD"/>
    <w:rsid w:val="006174DB"/>
    <w:rsid w:val="006237AA"/>
    <w:rsid w:val="006363CE"/>
    <w:rsid w:val="00637194"/>
    <w:rsid w:val="0064023C"/>
    <w:rsid w:val="006578C2"/>
    <w:rsid w:val="00666D33"/>
    <w:rsid w:val="006A58E4"/>
    <w:rsid w:val="006D36C9"/>
    <w:rsid w:val="007175A6"/>
    <w:rsid w:val="00741231"/>
    <w:rsid w:val="00744508"/>
    <w:rsid w:val="0077082A"/>
    <w:rsid w:val="007913D0"/>
    <w:rsid w:val="007A0B88"/>
    <w:rsid w:val="007A47DC"/>
    <w:rsid w:val="007B6178"/>
    <w:rsid w:val="007C2809"/>
    <w:rsid w:val="007C75D9"/>
    <w:rsid w:val="007D416E"/>
    <w:rsid w:val="00807411"/>
    <w:rsid w:val="00810D55"/>
    <w:rsid w:val="00814147"/>
    <w:rsid w:val="00814CF5"/>
    <w:rsid w:val="00816425"/>
    <w:rsid w:val="00821758"/>
    <w:rsid w:val="00822D1A"/>
    <w:rsid w:val="00823079"/>
    <w:rsid w:val="0083298A"/>
    <w:rsid w:val="00841387"/>
    <w:rsid w:val="00846EF1"/>
    <w:rsid w:val="008472B3"/>
    <w:rsid w:val="008478D6"/>
    <w:rsid w:val="00883106"/>
    <w:rsid w:val="008965A6"/>
    <w:rsid w:val="008A2ABD"/>
    <w:rsid w:val="008A5208"/>
    <w:rsid w:val="008C0FD6"/>
    <w:rsid w:val="008C1315"/>
    <w:rsid w:val="008D775F"/>
    <w:rsid w:val="008E103F"/>
    <w:rsid w:val="008E1DB1"/>
    <w:rsid w:val="008E512C"/>
    <w:rsid w:val="008E7613"/>
    <w:rsid w:val="008E7749"/>
    <w:rsid w:val="008E7F92"/>
    <w:rsid w:val="008F0C10"/>
    <w:rsid w:val="008F38F7"/>
    <w:rsid w:val="00902D3C"/>
    <w:rsid w:val="00926A39"/>
    <w:rsid w:val="00926D09"/>
    <w:rsid w:val="009336BA"/>
    <w:rsid w:val="00937FB4"/>
    <w:rsid w:val="0094087C"/>
    <w:rsid w:val="00951EC0"/>
    <w:rsid w:val="0096041D"/>
    <w:rsid w:val="00963B0D"/>
    <w:rsid w:val="0097511F"/>
    <w:rsid w:val="00981287"/>
    <w:rsid w:val="00983045"/>
    <w:rsid w:val="009C0391"/>
    <w:rsid w:val="009E05E5"/>
    <w:rsid w:val="009F1B68"/>
    <w:rsid w:val="009F4DC4"/>
    <w:rsid w:val="00A11166"/>
    <w:rsid w:val="00A14038"/>
    <w:rsid w:val="00A25CE3"/>
    <w:rsid w:val="00A42850"/>
    <w:rsid w:val="00A433F5"/>
    <w:rsid w:val="00A53837"/>
    <w:rsid w:val="00A609AC"/>
    <w:rsid w:val="00A6275A"/>
    <w:rsid w:val="00A65340"/>
    <w:rsid w:val="00A80E4E"/>
    <w:rsid w:val="00A925CB"/>
    <w:rsid w:val="00AB070D"/>
    <w:rsid w:val="00AC3885"/>
    <w:rsid w:val="00AD75CD"/>
    <w:rsid w:val="00B01694"/>
    <w:rsid w:val="00B05D6E"/>
    <w:rsid w:val="00B119B1"/>
    <w:rsid w:val="00B14612"/>
    <w:rsid w:val="00B23E73"/>
    <w:rsid w:val="00B4124C"/>
    <w:rsid w:val="00B41B6B"/>
    <w:rsid w:val="00B45AFC"/>
    <w:rsid w:val="00B4625E"/>
    <w:rsid w:val="00B75AE2"/>
    <w:rsid w:val="00B839EE"/>
    <w:rsid w:val="00B9148E"/>
    <w:rsid w:val="00B94805"/>
    <w:rsid w:val="00BA6027"/>
    <w:rsid w:val="00BA64EA"/>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485C"/>
    <w:rsid w:val="00C35333"/>
    <w:rsid w:val="00C55FDF"/>
    <w:rsid w:val="00C5739F"/>
    <w:rsid w:val="00C87FCA"/>
    <w:rsid w:val="00C969B7"/>
    <w:rsid w:val="00CA1B0C"/>
    <w:rsid w:val="00CA7795"/>
    <w:rsid w:val="00CA7F40"/>
    <w:rsid w:val="00CB3C7E"/>
    <w:rsid w:val="00D03314"/>
    <w:rsid w:val="00D06A0F"/>
    <w:rsid w:val="00D07BC0"/>
    <w:rsid w:val="00D11399"/>
    <w:rsid w:val="00D24C89"/>
    <w:rsid w:val="00D356A0"/>
    <w:rsid w:val="00D375BB"/>
    <w:rsid w:val="00D82047"/>
    <w:rsid w:val="00D82C22"/>
    <w:rsid w:val="00DB6D34"/>
    <w:rsid w:val="00DD4E02"/>
    <w:rsid w:val="00DD5A4F"/>
    <w:rsid w:val="00DE08C1"/>
    <w:rsid w:val="00DF2970"/>
    <w:rsid w:val="00DF303A"/>
    <w:rsid w:val="00E0467F"/>
    <w:rsid w:val="00E0505F"/>
    <w:rsid w:val="00E30B60"/>
    <w:rsid w:val="00E33B33"/>
    <w:rsid w:val="00E33F35"/>
    <w:rsid w:val="00E35862"/>
    <w:rsid w:val="00E41E94"/>
    <w:rsid w:val="00E55C69"/>
    <w:rsid w:val="00E57D4D"/>
    <w:rsid w:val="00E6492F"/>
    <w:rsid w:val="00E65691"/>
    <w:rsid w:val="00E65EF0"/>
    <w:rsid w:val="00E91FA1"/>
    <w:rsid w:val="00E944E2"/>
    <w:rsid w:val="00EA6F17"/>
    <w:rsid w:val="00EC12D0"/>
    <w:rsid w:val="00EC2355"/>
    <w:rsid w:val="00EC6290"/>
    <w:rsid w:val="00EF2051"/>
    <w:rsid w:val="00EF4345"/>
    <w:rsid w:val="00EF7DB6"/>
    <w:rsid w:val="00F00A19"/>
    <w:rsid w:val="00F01BED"/>
    <w:rsid w:val="00F0209D"/>
    <w:rsid w:val="00F04828"/>
    <w:rsid w:val="00F24CCD"/>
    <w:rsid w:val="00F25A29"/>
    <w:rsid w:val="00F35C67"/>
    <w:rsid w:val="00F500BE"/>
    <w:rsid w:val="00F804CC"/>
    <w:rsid w:val="00F82A83"/>
    <w:rsid w:val="00FB0AFB"/>
    <w:rsid w:val="00FB2453"/>
    <w:rsid w:val="00FB2A5E"/>
    <w:rsid w:val="00FB39BA"/>
    <w:rsid w:val="00FC61E3"/>
    <w:rsid w:val="00FD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F3B70"/>
  <w15:docId w15:val="{782AC9A7-FE5B-43D2-994A-33DFE53F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ind w:left="900"/>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customStyle="1" w:styleId="estatutes-1-sectionheading">
    <w:name w:val="estatutes-1-sectionheading"/>
    <w:basedOn w:val="Normal"/>
    <w:rsid w:val="00F04828"/>
    <w:pPr>
      <w:widowControl/>
      <w:autoSpaceDE/>
      <w:autoSpaceDN/>
      <w:adjustRightInd/>
      <w:spacing w:before="100" w:beforeAutospacing="1" w:after="100" w:afterAutospacing="1"/>
    </w:pPr>
    <w:rPr>
      <w:rFonts w:eastAsia="Times New Roman"/>
      <w:sz w:val="24"/>
      <w:szCs w:val="24"/>
      <w:lang w:val="en-US"/>
    </w:rPr>
  </w:style>
  <w:style w:type="character" w:customStyle="1" w:styleId="solext0">
    <w:name w:val="solext0"/>
    <w:basedOn w:val="DefaultParagraphFont"/>
    <w:rsid w:val="00F04828"/>
  </w:style>
  <w:style w:type="character" w:customStyle="1" w:styleId="apple-converted-space">
    <w:name w:val="apple-converted-space"/>
    <w:basedOn w:val="DefaultParagraphFont"/>
    <w:rsid w:val="00F04828"/>
  </w:style>
  <w:style w:type="paragraph" w:customStyle="1" w:styleId="estatutes-1-section">
    <w:name w:val="estatutes-1-section"/>
    <w:basedOn w:val="Normal"/>
    <w:rsid w:val="00F04828"/>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F04828"/>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F04828"/>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F04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6079">
      <w:bodyDiv w:val="1"/>
      <w:marLeft w:val="0"/>
      <w:marRight w:val="0"/>
      <w:marTop w:val="0"/>
      <w:marBottom w:val="0"/>
      <w:divBdr>
        <w:top w:val="none" w:sz="0" w:space="0" w:color="auto"/>
        <w:left w:val="none" w:sz="0" w:space="0" w:color="auto"/>
        <w:bottom w:val="none" w:sz="0" w:space="0" w:color="auto"/>
        <w:right w:val="none" w:sz="0" w:space="0" w:color="auto"/>
      </w:divBdr>
    </w:div>
    <w:div w:id="611328481">
      <w:bodyDiv w:val="1"/>
      <w:marLeft w:val="0"/>
      <w:marRight w:val="0"/>
      <w:marTop w:val="0"/>
      <w:marBottom w:val="0"/>
      <w:divBdr>
        <w:top w:val="none" w:sz="0" w:space="0" w:color="auto"/>
        <w:left w:val="none" w:sz="0" w:space="0" w:color="auto"/>
        <w:bottom w:val="none" w:sz="0" w:space="0" w:color="auto"/>
        <w:right w:val="none" w:sz="0" w:space="0" w:color="auto"/>
      </w:divBdr>
    </w:div>
    <w:div w:id="1740247547">
      <w:bodyDiv w:val="1"/>
      <w:marLeft w:val="0"/>
      <w:marRight w:val="0"/>
      <w:marTop w:val="0"/>
      <w:marBottom w:val="0"/>
      <w:divBdr>
        <w:top w:val="none" w:sz="0" w:space="0" w:color="auto"/>
        <w:left w:val="none" w:sz="0" w:space="0" w:color="auto"/>
        <w:bottom w:val="none" w:sz="0" w:space="0" w:color="auto"/>
        <w:right w:val="none" w:sz="0" w:space="0" w:color="auto"/>
      </w:divBdr>
    </w:div>
    <w:div w:id="1933855308">
      <w:bodyDiv w:val="1"/>
      <w:marLeft w:val="0"/>
      <w:marRight w:val="0"/>
      <w:marTop w:val="0"/>
      <w:marBottom w:val="0"/>
      <w:divBdr>
        <w:top w:val="none" w:sz="0" w:space="0" w:color="auto"/>
        <w:left w:val="none" w:sz="0" w:space="0" w:color="auto"/>
        <w:bottom w:val="none" w:sz="0" w:space="0" w:color="auto"/>
        <w:right w:val="none" w:sz="0" w:space="0" w:color="auto"/>
      </w:divBdr>
    </w:div>
    <w:div w:id="20705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F7A2-5483-46B4-90EC-FB08B62B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Annie Houareau</cp:lastModifiedBy>
  <cp:revision>3</cp:revision>
  <cp:lastPrinted>2013-08-26T11:27:00Z</cp:lastPrinted>
  <dcterms:created xsi:type="dcterms:W3CDTF">2018-02-08T04:35:00Z</dcterms:created>
  <dcterms:modified xsi:type="dcterms:W3CDTF">2018-02-09T10:08:00Z</dcterms:modified>
</cp:coreProperties>
</file>