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14:paraId="0DE23A57" w14:textId="77777777" w:rsidR="008965A6" w:rsidRDefault="000C6A59"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054691">
        <w:rPr>
          <w:b/>
          <w:sz w:val="24"/>
          <w:szCs w:val="24"/>
        </w:rPr>
        <w:t> </w:t>
      </w:r>
      <w:r w:rsidR="00054691">
        <w:rPr>
          <w:b/>
          <w:sz w:val="24"/>
          <w:szCs w:val="24"/>
        </w:rPr>
        <w:t> </w:t>
      </w:r>
      <w:r w:rsidR="00054691">
        <w:rPr>
          <w:b/>
          <w:sz w:val="24"/>
          <w:szCs w:val="24"/>
        </w:rPr>
        <w:t> </w:t>
      </w:r>
      <w:r w:rsidR="00054691">
        <w:rPr>
          <w:b/>
          <w:sz w:val="24"/>
          <w:szCs w:val="24"/>
        </w:rPr>
        <w:t> </w:t>
      </w:r>
      <w:r w:rsidR="00054691">
        <w:rPr>
          <w:b/>
          <w:sz w:val="24"/>
          <w:szCs w:val="24"/>
        </w:rPr>
        <w:t> </w:t>
      </w:r>
      <w:r w:rsidRPr="0096251D">
        <w:rPr>
          <w:b/>
          <w:sz w:val="24"/>
          <w:szCs w:val="24"/>
        </w:rPr>
        <w:fldChar w:fldCharType="end"/>
      </w:r>
      <w:bookmarkEnd w:id="0"/>
    </w:p>
    <w:bookmarkStart w:id="1" w:name="Text42"/>
    <w:p w14:paraId="3AE4DA3F" w14:textId="77777777" w:rsidR="008965A6" w:rsidRPr="00B938BB" w:rsidRDefault="000C6A5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054691">
        <w:rPr>
          <w:i/>
          <w:sz w:val="24"/>
          <w:szCs w:val="24"/>
        </w:rPr>
        <w:t> </w:t>
      </w:r>
      <w:r w:rsidR="00054691">
        <w:rPr>
          <w:i/>
          <w:sz w:val="24"/>
          <w:szCs w:val="24"/>
        </w:rPr>
        <w:t> </w:t>
      </w:r>
      <w:r w:rsidR="00054691">
        <w:rPr>
          <w:i/>
          <w:sz w:val="24"/>
          <w:szCs w:val="24"/>
        </w:rPr>
        <w:t> </w:t>
      </w:r>
      <w:r w:rsidR="00054691">
        <w:rPr>
          <w:i/>
          <w:sz w:val="24"/>
          <w:szCs w:val="24"/>
        </w:rPr>
        <w:t> </w:t>
      </w:r>
      <w:r w:rsidR="00054691">
        <w:rPr>
          <w:i/>
          <w:sz w:val="24"/>
          <w:szCs w:val="24"/>
        </w:rPr>
        <w:t> </w:t>
      </w:r>
      <w:r>
        <w:rPr>
          <w:i/>
          <w:sz w:val="24"/>
          <w:szCs w:val="24"/>
        </w:rPr>
        <w:fldChar w:fldCharType="end"/>
      </w:r>
      <w:bookmarkEnd w:id="1"/>
    </w:p>
    <w:p w14:paraId="78957707" w14:textId="77777777" w:rsidR="008965A6" w:rsidRDefault="008965A6" w:rsidP="00CA7795">
      <w:pPr>
        <w:jc w:val="center"/>
        <w:rPr>
          <w:b/>
          <w:sz w:val="28"/>
          <w:szCs w:val="28"/>
        </w:rPr>
      </w:pPr>
    </w:p>
    <w:p w14:paraId="19044713" w14:textId="77777777" w:rsidR="00AD75CD" w:rsidRPr="00606EEA" w:rsidRDefault="00C55FDF" w:rsidP="00CA7795">
      <w:pPr>
        <w:jc w:val="center"/>
        <w:rPr>
          <w:b/>
          <w:sz w:val="28"/>
          <w:szCs w:val="28"/>
        </w:rPr>
      </w:pPr>
      <w:r w:rsidRPr="00606EEA">
        <w:rPr>
          <w:b/>
          <w:sz w:val="28"/>
          <w:szCs w:val="28"/>
        </w:rPr>
        <w:t>IN THE SUPREME COURT OF SEYCHELLES</w:t>
      </w:r>
    </w:p>
    <w:p w14:paraId="54275D5F" w14:textId="77777777" w:rsidR="00C55FDF" w:rsidRDefault="002B3026" w:rsidP="0006489F">
      <w:pPr>
        <w:spacing w:before="240"/>
        <w:jc w:val="center"/>
        <w:rPr>
          <w:b/>
          <w:sz w:val="28"/>
          <w:szCs w:val="28"/>
        </w:rPr>
      </w:pPr>
      <w:r>
        <w:rPr>
          <w:b/>
          <w:sz w:val="28"/>
          <w:szCs w:val="28"/>
        </w:rPr>
        <w:t xml:space="preserve">MA 182/2016 arising in </w:t>
      </w:r>
      <w:r w:rsidR="00C55FDF" w:rsidRPr="00B75AE2">
        <w:rPr>
          <w:b/>
          <w:sz w:val="28"/>
          <w:szCs w:val="28"/>
        </w:rPr>
        <w:t>C</w:t>
      </w:r>
      <w:r w:rsidR="00B23E73" w:rsidRPr="00B75AE2">
        <w:rPr>
          <w:b/>
          <w:sz w:val="28"/>
          <w:szCs w:val="28"/>
        </w:rPr>
        <w:t xml:space="preserve">ivil </w:t>
      </w:r>
      <w:r w:rsidR="00C55FDF" w:rsidRPr="00B75AE2">
        <w:rPr>
          <w:b/>
          <w:sz w:val="28"/>
          <w:szCs w:val="28"/>
        </w:rPr>
        <w:t>S</w:t>
      </w:r>
      <w:r w:rsidR="00BF5CC9" w:rsidRPr="00B75AE2">
        <w:rPr>
          <w:b/>
          <w:sz w:val="28"/>
          <w:szCs w:val="28"/>
        </w:rPr>
        <w:t>ide: C</w:t>
      </w:r>
      <w:r w:rsidR="00A53837" w:rsidRPr="00B75AE2">
        <w:rPr>
          <w:b/>
          <w:sz w:val="28"/>
          <w:szCs w:val="28"/>
        </w:rPr>
        <w:t>A</w:t>
      </w:r>
      <w:r w:rsidR="00C55FDF" w:rsidRPr="00B75AE2">
        <w:rPr>
          <w:b/>
          <w:sz w:val="28"/>
          <w:szCs w:val="28"/>
        </w:rPr>
        <w:t xml:space="preserve"> </w:t>
      </w:r>
      <w:r>
        <w:rPr>
          <w:b/>
          <w:sz w:val="28"/>
          <w:szCs w:val="28"/>
        </w:rPr>
        <w:t>19</w:t>
      </w:r>
      <w:r w:rsidR="00C55FDF" w:rsidRPr="00B75AE2">
        <w:rPr>
          <w:b/>
          <w:sz w:val="28"/>
          <w:szCs w:val="28"/>
        </w:rPr>
        <w:t>/</w:t>
      </w:r>
      <w:r w:rsidR="00C87FCA" w:rsidRPr="00B75AE2">
        <w:rPr>
          <w:b/>
          <w:sz w:val="28"/>
          <w:szCs w:val="28"/>
        </w:rPr>
        <w:t>20</w:t>
      </w:r>
      <w:r>
        <w:rPr>
          <w:b/>
          <w:sz w:val="28"/>
          <w:szCs w:val="28"/>
        </w:rPr>
        <w:t>15</w:t>
      </w:r>
    </w:p>
    <w:p w14:paraId="0535EB91" w14:textId="77777777" w:rsidR="002B3026" w:rsidRPr="00B75AE2" w:rsidRDefault="002B3026" w:rsidP="0006489F">
      <w:pPr>
        <w:spacing w:before="240"/>
        <w:jc w:val="center"/>
        <w:rPr>
          <w:b/>
          <w:sz w:val="28"/>
          <w:szCs w:val="28"/>
        </w:rPr>
      </w:pPr>
      <w:r>
        <w:rPr>
          <w:b/>
          <w:sz w:val="28"/>
          <w:szCs w:val="28"/>
        </w:rPr>
        <w:t xml:space="preserve">Civil side CA19/2015 (Consolidated) </w:t>
      </w:r>
    </w:p>
    <w:p w14:paraId="009ADC4B" w14:textId="77893D08"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6528E6">
        <w:rPr>
          <w:b/>
          <w:sz w:val="24"/>
          <w:szCs w:val="24"/>
        </w:rPr>
        <w:t>8</w:t>
      </w:r>
      <w:r w:rsidR="000C6A59">
        <w:rPr>
          <w:b/>
          <w:sz w:val="24"/>
          <w:szCs w:val="24"/>
        </w:rPr>
        <w:fldChar w:fldCharType="begin"/>
      </w:r>
      <w:r w:rsidR="003F0F8D">
        <w:rPr>
          <w:b/>
          <w:sz w:val="24"/>
          <w:szCs w:val="24"/>
        </w:rPr>
        <w:instrText xml:space="preserve">  </w:instrText>
      </w:r>
      <w:r w:rsidR="000C6A59">
        <w:rPr>
          <w:b/>
          <w:sz w:val="24"/>
          <w:szCs w:val="24"/>
        </w:rPr>
        <w:fldChar w:fldCharType="end"/>
      </w:r>
      <w:r w:rsidR="00DB6D34" w:rsidRPr="00606EEA">
        <w:rPr>
          <w:b/>
          <w:sz w:val="24"/>
          <w:szCs w:val="24"/>
        </w:rPr>
        <w:t>] SCSC</w:t>
      </w:r>
      <w:r w:rsidR="00000407">
        <w:rPr>
          <w:b/>
          <w:sz w:val="24"/>
          <w:szCs w:val="24"/>
        </w:rPr>
        <w:t xml:space="preserve"> </w:t>
      </w:r>
      <w:r w:rsidR="000C6A59">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0C6A59">
        <w:rPr>
          <w:b/>
          <w:sz w:val="24"/>
          <w:szCs w:val="24"/>
        </w:rPr>
      </w:r>
      <w:r w:rsidR="000C6A5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C6A59">
        <w:rPr>
          <w:b/>
          <w:sz w:val="24"/>
          <w:szCs w:val="24"/>
        </w:rPr>
        <w:fldChar w:fldCharType="end"/>
      </w:r>
      <w:bookmarkEnd w:id="2"/>
    </w:p>
    <w:p w14:paraId="5001C8B7" w14:textId="77777777" w:rsidR="00C55FDF" w:rsidRPr="00606EEA" w:rsidRDefault="00C55FDF" w:rsidP="00E57D4D">
      <w:pPr>
        <w:pBdr>
          <w:bottom w:val="single" w:sz="4" w:space="5" w:color="auto"/>
        </w:pBdr>
        <w:jc w:val="center"/>
        <w:rPr>
          <w:b/>
          <w:sz w:val="24"/>
          <w:szCs w:val="24"/>
        </w:rPr>
      </w:pPr>
    </w:p>
    <w:p w14:paraId="6F7DF968" w14:textId="77777777" w:rsidR="00572AB3" w:rsidRDefault="00572AB3" w:rsidP="00572AB3">
      <w:pPr>
        <w:rPr>
          <w:sz w:val="24"/>
          <w:szCs w:val="24"/>
        </w:rPr>
      </w:pPr>
    </w:p>
    <w:bookmarkStart w:id="3" w:name="Text20"/>
    <w:p w14:paraId="4ED609C9" w14:textId="77777777" w:rsidR="00FB2453" w:rsidRPr="00B119B1" w:rsidRDefault="000C6A5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14:paraId="762FCB7D" w14:textId="77777777" w:rsidR="006528E6" w:rsidRDefault="006528E6" w:rsidP="004B22D0">
      <w:pPr>
        <w:spacing w:after="240"/>
        <w:jc w:val="center"/>
        <w:rPr>
          <w:sz w:val="24"/>
          <w:szCs w:val="24"/>
        </w:rPr>
      </w:pPr>
      <w:bookmarkStart w:id="4" w:name="Dropdown10"/>
      <w:r w:rsidRPr="006528E6">
        <w:rPr>
          <w:b/>
          <w:sz w:val="24"/>
          <w:szCs w:val="24"/>
        </w:rPr>
        <w:t>ALL VALUE BANK LIMITED</w:t>
      </w:r>
      <w:r w:rsidR="002B3026">
        <w:rPr>
          <w:sz w:val="24"/>
          <w:szCs w:val="24"/>
        </w:rPr>
        <w:tab/>
      </w:r>
    </w:p>
    <w:p w14:paraId="0442395E" w14:textId="229E743C" w:rsidR="004B22D0" w:rsidRDefault="000C6A59"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5B1722">
        <w:rPr>
          <w:sz w:val="24"/>
          <w:szCs w:val="24"/>
        </w:rPr>
      </w:r>
      <w:r w:rsidR="005B1722">
        <w:rPr>
          <w:sz w:val="24"/>
          <w:szCs w:val="24"/>
        </w:rPr>
        <w:fldChar w:fldCharType="separate"/>
      </w:r>
      <w:r>
        <w:rPr>
          <w:sz w:val="24"/>
          <w:szCs w:val="24"/>
        </w:rPr>
        <w:fldChar w:fldCharType="end"/>
      </w:r>
      <w:bookmarkEnd w:id="4"/>
    </w:p>
    <w:p w14:paraId="7B9F7A5A" w14:textId="77777777"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14:paraId="3025B92B" w14:textId="77777777"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14:paraId="323D84CF" w14:textId="77777777" w:rsidR="00FB2453" w:rsidRDefault="00FB2453" w:rsidP="004B22D0">
      <w:pPr>
        <w:spacing w:before="120"/>
        <w:jc w:val="center"/>
        <w:rPr>
          <w:sz w:val="24"/>
          <w:szCs w:val="24"/>
        </w:rPr>
      </w:pPr>
      <w:proofErr w:type="gramStart"/>
      <w:r>
        <w:rPr>
          <w:sz w:val="24"/>
          <w:szCs w:val="24"/>
        </w:rPr>
        <w:lastRenderedPageBreak/>
        <w:t>versus</w:t>
      </w:r>
      <w:proofErr w:type="gramEnd"/>
    </w:p>
    <w:p w14:paraId="7D1CB909" w14:textId="77777777" w:rsidR="00FB2453" w:rsidRDefault="00FB2453" w:rsidP="003862CB">
      <w:pPr>
        <w:jc w:val="center"/>
        <w:rPr>
          <w:sz w:val="24"/>
          <w:szCs w:val="24"/>
        </w:rPr>
      </w:pPr>
    </w:p>
    <w:bookmarkStart w:id="5" w:name="Text22"/>
    <w:p w14:paraId="51F3852E" w14:textId="77777777" w:rsidR="00FB2453" w:rsidRPr="00B119B1" w:rsidRDefault="000C6A59"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14:paraId="33DDF9D7" w14:textId="77777777" w:rsidR="006528E6" w:rsidRDefault="006528E6" w:rsidP="004B22D0">
      <w:pPr>
        <w:spacing w:after="240"/>
        <w:jc w:val="center"/>
        <w:rPr>
          <w:sz w:val="24"/>
          <w:szCs w:val="24"/>
        </w:rPr>
      </w:pPr>
      <w:bookmarkStart w:id="6" w:name="Dropdown11"/>
      <w:r w:rsidRPr="006528E6">
        <w:rPr>
          <w:b/>
          <w:sz w:val="24"/>
          <w:szCs w:val="24"/>
        </w:rPr>
        <w:t>CENTRAL BANK OF SEYCHELLES</w:t>
      </w:r>
      <w:r w:rsidR="002B3026">
        <w:rPr>
          <w:sz w:val="24"/>
          <w:szCs w:val="24"/>
        </w:rPr>
        <w:tab/>
      </w:r>
    </w:p>
    <w:p w14:paraId="064919BE" w14:textId="65C670FD" w:rsidR="004B22D0" w:rsidRDefault="000C6A59"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5B1722">
        <w:rPr>
          <w:sz w:val="24"/>
          <w:szCs w:val="24"/>
        </w:rPr>
      </w:r>
      <w:r w:rsidR="005B1722">
        <w:rPr>
          <w:sz w:val="24"/>
          <w:szCs w:val="24"/>
        </w:rPr>
        <w:fldChar w:fldCharType="separate"/>
      </w:r>
      <w:r>
        <w:rPr>
          <w:sz w:val="24"/>
          <w:szCs w:val="24"/>
        </w:rPr>
        <w:fldChar w:fldCharType="end"/>
      </w:r>
      <w:bookmarkEnd w:id="6"/>
    </w:p>
    <w:p w14:paraId="3D6D544F"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26481CB7" w14:textId="77777777" w:rsidR="00E0467F" w:rsidRPr="00F0209D" w:rsidRDefault="00E0467F" w:rsidP="00F0209D">
      <w:pPr>
        <w:pBdr>
          <w:bottom w:val="single" w:sz="4" w:space="2" w:color="auto"/>
        </w:pBdr>
        <w:jc w:val="center"/>
        <w:rPr>
          <w:sz w:val="12"/>
          <w:szCs w:val="12"/>
        </w:rPr>
      </w:pPr>
    </w:p>
    <w:p w14:paraId="37824CEE" w14:textId="37655434"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5551F3">
        <w:rPr>
          <w:sz w:val="24"/>
          <w:szCs w:val="24"/>
        </w:rPr>
        <w:t xml:space="preserve">   </w:t>
      </w:r>
      <w:r w:rsidR="005551F3">
        <w:rPr>
          <w:sz w:val="24"/>
          <w:szCs w:val="24"/>
        </w:rPr>
        <w:tab/>
      </w:r>
      <w:r w:rsidR="00E65EF0">
        <w:rPr>
          <w:sz w:val="24"/>
          <w:szCs w:val="24"/>
        </w:rPr>
        <w:t xml:space="preserve">5 July 2017, </w:t>
      </w:r>
      <w:r w:rsidR="002B3026">
        <w:rPr>
          <w:sz w:val="24"/>
          <w:szCs w:val="24"/>
        </w:rPr>
        <w:t>30 January 2018</w:t>
      </w:r>
      <w:r w:rsidRPr="00E0467F">
        <w:rPr>
          <w:sz w:val="24"/>
          <w:szCs w:val="24"/>
        </w:rPr>
        <w:tab/>
      </w:r>
      <w:r w:rsidRPr="00E0467F">
        <w:rPr>
          <w:sz w:val="24"/>
          <w:szCs w:val="24"/>
        </w:rPr>
        <w:tab/>
      </w:r>
      <w:bookmarkStart w:id="7" w:name="Text34"/>
      <w:r w:rsidR="000C6A59">
        <w:rPr>
          <w:sz w:val="24"/>
          <w:szCs w:val="24"/>
        </w:rPr>
        <w:fldChar w:fldCharType="begin">
          <w:ffData>
            <w:name w:val="Text34"/>
            <w:enabled/>
            <w:calcOnExit w:val="0"/>
            <w:textInput/>
          </w:ffData>
        </w:fldChar>
      </w:r>
      <w:r w:rsidR="002A7376">
        <w:rPr>
          <w:sz w:val="24"/>
          <w:szCs w:val="24"/>
        </w:rPr>
        <w:instrText xml:space="preserve"> FORMTEXT </w:instrText>
      </w:r>
      <w:r w:rsidR="000C6A59">
        <w:rPr>
          <w:sz w:val="24"/>
          <w:szCs w:val="24"/>
        </w:rPr>
      </w:r>
      <w:r w:rsidR="000C6A5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C6A59">
        <w:rPr>
          <w:sz w:val="24"/>
          <w:szCs w:val="24"/>
        </w:rPr>
        <w:fldChar w:fldCharType="end"/>
      </w:r>
      <w:bookmarkEnd w:id="7"/>
      <w:r w:rsidR="000C6A59">
        <w:rPr>
          <w:sz w:val="24"/>
          <w:szCs w:val="24"/>
        </w:rPr>
        <w:fldChar w:fldCharType="begin"/>
      </w:r>
      <w:r w:rsidR="003F0F8D">
        <w:rPr>
          <w:sz w:val="24"/>
          <w:szCs w:val="24"/>
        </w:rPr>
        <w:instrText xml:space="preserve">  </w:instrText>
      </w:r>
      <w:r w:rsidR="000C6A59">
        <w:rPr>
          <w:sz w:val="24"/>
          <w:szCs w:val="24"/>
        </w:rPr>
        <w:fldChar w:fldCharType="end"/>
      </w:r>
    </w:p>
    <w:p w14:paraId="1CCE25FF" w14:textId="455C2D9A"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2B3026">
        <w:rPr>
          <w:sz w:val="24"/>
          <w:szCs w:val="24"/>
        </w:rPr>
        <w:t xml:space="preserve"> </w:t>
      </w:r>
      <w:r w:rsidR="005551F3">
        <w:rPr>
          <w:sz w:val="24"/>
          <w:szCs w:val="24"/>
        </w:rPr>
        <w:tab/>
      </w:r>
      <w:r w:rsidR="002B3026">
        <w:rPr>
          <w:sz w:val="24"/>
          <w:szCs w:val="24"/>
        </w:rPr>
        <w:t>Mr. Kieran Shah SC</w:t>
      </w:r>
      <w:r>
        <w:rPr>
          <w:sz w:val="24"/>
          <w:szCs w:val="24"/>
        </w:rPr>
        <w:tab/>
      </w:r>
      <w:r w:rsidR="000C6A59">
        <w:rPr>
          <w:sz w:val="24"/>
          <w:szCs w:val="24"/>
        </w:rPr>
        <w:fldChar w:fldCharType="begin"/>
      </w:r>
      <w:r w:rsidR="00F804CC">
        <w:rPr>
          <w:sz w:val="24"/>
          <w:szCs w:val="24"/>
        </w:rPr>
        <w:instrText xml:space="preserve"> ASK  "Enter Appellant Lawyer full name"  \* MERGEFORMAT </w:instrText>
      </w:r>
      <w:r w:rsidR="000C6A59">
        <w:rPr>
          <w:sz w:val="24"/>
          <w:szCs w:val="24"/>
        </w:rPr>
        <w:fldChar w:fldCharType="end"/>
      </w:r>
      <w:r w:rsidR="000C6A59">
        <w:rPr>
          <w:sz w:val="24"/>
          <w:szCs w:val="24"/>
        </w:rPr>
        <w:fldChar w:fldCharType="begin"/>
      </w:r>
      <w:r w:rsidR="003F0F8D">
        <w:rPr>
          <w:sz w:val="24"/>
          <w:szCs w:val="24"/>
        </w:rPr>
        <w:instrText xml:space="preserve">  </w:instrText>
      </w:r>
      <w:r w:rsidR="000C6A59">
        <w:rPr>
          <w:sz w:val="24"/>
          <w:szCs w:val="24"/>
        </w:rPr>
        <w:fldChar w:fldCharType="end"/>
      </w:r>
      <w:r w:rsidR="00F804CC">
        <w:rPr>
          <w:b/>
          <w:sz w:val="24"/>
          <w:szCs w:val="24"/>
        </w:rPr>
        <w:t xml:space="preserve"> </w:t>
      </w:r>
      <w:r w:rsidR="009E05E5">
        <w:rPr>
          <w:sz w:val="24"/>
          <w:szCs w:val="24"/>
        </w:rPr>
        <w:t xml:space="preserve">for </w:t>
      </w:r>
      <w:bookmarkStart w:id="8" w:name="Dropdown12"/>
      <w:r w:rsidR="000C6A5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5B1722">
        <w:rPr>
          <w:sz w:val="24"/>
          <w:szCs w:val="24"/>
        </w:rPr>
      </w:r>
      <w:r w:rsidR="005B1722">
        <w:rPr>
          <w:sz w:val="24"/>
          <w:szCs w:val="24"/>
        </w:rPr>
        <w:fldChar w:fldCharType="separate"/>
      </w:r>
      <w:r w:rsidR="000C6A59">
        <w:rPr>
          <w:sz w:val="24"/>
          <w:szCs w:val="24"/>
        </w:rPr>
        <w:fldChar w:fldCharType="end"/>
      </w:r>
      <w:bookmarkEnd w:id="8"/>
    </w:p>
    <w:p w14:paraId="2B9471D1" w14:textId="77777777"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C6A59">
        <w:rPr>
          <w:sz w:val="24"/>
          <w:szCs w:val="24"/>
        </w:rPr>
        <w:fldChar w:fldCharType="begin">
          <w:ffData>
            <w:name w:val="Text35"/>
            <w:enabled/>
            <w:calcOnExit w:val="0"/>
            <w:textInput/>
          </w:ffData>
        </w:fldChar>
      </w:r>
      <w:bookmarkStart w:id="9" w:name="Text35"/>
      <w:r>
        <w:rPr>
          <w:sz w:val="24"/>
          <w:szCs w:val="24"/>
        </w:rPr>
        <w:instrText xml:space="preserve"> FORMTEXT </w:instrText>
      </w:r>
      <w:r w:rsidR="000C6A59">
        <w:rPr>
          <w:sz w:val="24"/>
          <w:szCs w:val="24"/>
        </w:rPr>
      </w:r>
      <w:r w:rsidR="000C6A5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C6A59">
        <w:rPr>
          <w:sz w:val="24"/>
          <w:szCs w:val="24"/>
        </w:rPr>
        <w:fldChar w:fldCharType="end"/>
      </w:r>
      <w:bookmarkEnd w:id="9"/>
    </w:p>
    <w:p w14:paraId="78DF3205" w14:textId="5FA87997"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sidR="002B3026">
        <w:rPr>
          <w:sz w:val="24"/>
          <w:szCs w:val="24"/>
        </w:rPr>
        <w:t xml:space="preserve">  </w:t>
      </w:r>
      <w:r w:rsidR="005551F3">
        <w:rPr>
          <w:sz w:val="24"/>
          <w:szCs w:val="24"/>
        </w:rPr>
        <w:tab/>
      </w:r>
      <w:r w:rsidR="002B3026">
        <w:rPr>
          <w:sz w:val="24"/>
          <w:szCs w:val="24"/>
        </w:rPr>
        <w:t xml:space="preserve">Mr. George </w:t>
      </w:r>
      <w:proofErr w:type="spellStart"/>
      <w:r w:rsidR="002B3026">
        <w:rPr>
          <w:sz w:val="24"/>
          <w:szCs w:val="24"/>
        </w:rPr>
        <w:t>Thatchett</w:t>
      </w:r>
      <w:proofErr w:type="spellEnd"/>
      <w:r w:rsidR="000C6A59">
        <w:rPr>
          <w:sz w:val="24"/>
          <w:szCs w:val="24"/>
        </w:rPr>
        <w:fldChar w:fldCharType="begin"/>
      </w:r>
      <w:r w:rsidR="00F804CC">
        <w:rPr>
          <w:sz w:val="24"/>
          <w:szCs w:val="24"/>
        </w:rPr>
        <w:instrText xml:space="preserve"> ASK  "Enter Respondent Lawyer Full Name"  \* MERGEFORMAT </w:instrText>
      </w:r>
      <w:r w:rsidR="000C6A59">
        <w:rPr>
          <w:sz w:val="24"/>
          <w:szCs w:val="24"/>
        </w:rPr>
        <w:fldChar w:fldCharType="end"/>
      </w:r>
      <w:r w:rsidR="000C6A59">
        <w:rPr>
          <w:sz w:val="24"/>
          <w:szCs w:val="24"/>
        </w:rPr>
        <w:fldChar w:fldCharType="begin"/>
      </w:r>
      <w:r w:rsidR="003F0F8D">
        <w:rPr>
          <w:sz w:val="24"/>
          <w:szCs w:val="24"/>
        </w:rPr>
        <w:instrText xml:space="preserve">  </w:instrText>
      </w:r>
      <w:r w:rsidR="000C6A59">
        <w:rPr>
          <w:sz w:val="24"/>
          <w:szCs w:val="24"/>
        </w:rPr>
        <w:fldChar w:fldCharType="end"/>
      </w:r>
      <w:r w:rsidR="003F0F8D">
        <w:rPr>
          <w:sz w:val="24"/>
          <w:szCs w:val="24"/>
        </w:rPr>
        <w:t xml:space="preserve"> </w:t>
      </w:r>
      <w:r>
        <w:rPr>
          <w:sz w:val="24"/>
          <w:szCs w:val="24"/>
        </w:rPr>
        <w:t xml:space="preserve">for </w:t>
      </w:r>
      <w:bookmarkStart w:id="10" w:name="Dropdown13"/>
      <w:r w:rsidR="000C6A5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5B1722">
        <w:rPr>
          <w:sz w:val="24"/>
          <w:szCs w:val="24"/>
        </w:rPr>
      </w:r>
      <w:r w:rsidR="005B1722">
        <w:rPr>
          <w:sz w:val="24"/>
          <w:szCs w:val="24"/>
        </w:rPr>
        <w:fldChar w:fldCharType="separate"/>
      </w:r>
      <w:r w:rsidR="000C6A59">
        <w:rPr>
          <w:sz w:val="24"/>
          <w:szCs w:val="24"/>
        </w:rPr>
        <w:fldChar w:fldCharType="end"/>
      </w:r>
      <w:bookmarkEnd w:id="10"/>
    </w:p>
    <w:p w14:paraId="258ED484" w14:textId="77777777"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C6A59">
        <w:rPr>
          <w:sz w:val="24"/>
          <w:szCs w:val="24"/>
        </w:rPr>
        <w:fldChar w:fldCharType="begin">
          <w:ffData>
            <w:name w:val="Text36"/>
            <w:enabled/>
            <w:calcOnExit w:val="0"/>
            <w:textInput/>
          </w:ffData>
        </w:fldChar>
      </w:r>
      <w:bookmarkStart w:id="11" w:name="Text36"/>
      <w:r>
        <w:rPr>
          <w:sz w:val="24"/>
          <w:szCs w:val="24"/>
        </w:rPr>
        <w:instrText xml:space="preserve"> FORMTEXT </w:instrText>
      </w:r>
      <w:r w:rsidR="000C6A59">
        <w:rPr>
          <w:sz w:val="24"/>
          <w:szCs w:val="24"/>
        </w:rPr>
      </w:r>
      <w:r w:rsidR="000C6A5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C6A59">
        <w:rPr>
          <w:sz w:val="24"/>
          <w:szCs w:val="24"/>
        </w:rPr>
        <w:fldChar w:fldCharType="end"/>
      </w:r>
      <w:bookmarkEnd w:id="11"/>
    </w:p>
    <w:p w14:paraId="737B989A" w14:textId="2A34CED4"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2B3026">
        <w:rPr>
          <w:sz w:val="24"/>
          <w:szCs w:val="24"/>
        </w:rPr>
        <w:t xml:space="preserve"> </w:t>
      </w:r>
      <w:r w:rsidR="005551F3">
        <w:rPr>
          <w:sz w:val="24"/>
          <w:szCs w:val="24"/>
        </w:rPr>
        <w:tab/>
      </w:r>
      <w:r w:rsidR="00CA2031">
        <w:rPr>
          <w:sz w:val="24"/>
          <w:szCs w:val="24"/>
        </w:rPr>
        <w:t>1</w:t>
      </w:r>
      <w:r w:rsidR="002B3026">
        <w:rPr>
          <w:sz w:val="24"/>
          <w:szCs w:val="24"/>
        </w:rPr>
        <w:t>9 February</w:t>
      </w:r>
      <w:r w:rsidR="005551F3">
        <w:rPr>
          <w:sz w:val="24"/>
          <w:szCs w:val="24"/>
        </w:rPr>
        <w:t xml:space="preserve"> </w:t>
      </w:r>
      <w:r w:rsidR="002B3026">
        <w:rPr>
          <w:sz w:val="24"/>
          <w:szCs w:val="24"/>
        </w:rPr>
        <w:t>2018</w:t>
      </w:r>
      <w:r w:rsidR="00E0467F">
        <w:rPr>
          <w:sz w:val="24"/>
          <w:szCs w:val="24"/>
        </w:rPr>
        <w:tab/>
      </w:r>
      <w:bookmarkStart w:id="12" w:name="Text26"/>
      <w:r w:rsidR="000C6A5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C6A59">
        <w:rPr>
          <w:sz w:val="24"/>
          <w:szCs w:val="24"/>
        </w:rPr>
      </w:r>
      <w:r w:rsidR="000C6A5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C6A59">
        <w:rPr>
          <w:sz w:val="24"/>
          <w:szCs w:val="24"/>
        </w:rPr>
        <w:fldChar w:fldCharType="end"/>
      </w:r>
      <w:bookmarkEnd w:id="12"/>
    </w:p>
    <w:p w14:paraId="679A452D"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End w:id="13"/>
    <w:p w14:paraId="245CCBA8" w14:textId="77777777" w:rsidR="00C87FCA" w:rsidRDefault="002B3026" w:rsidP="00C87FCA">
      <w:pPr>
        <w:pBdr>
          <w:top w:val="dotted" w:sz="4" w:space="1" w:color="auto"/>
          <w:bottom w:val="dotted" w:sz="4" w:space="1" w:color="auto"/>
        </w:pBdr>
        <w:jc w:val="center"/>
        <w:rPr>
          <w:b/>
          <w:sz w:val="24"/>
          <w:szCs w:val="24"/>
        </w:rPr>
      </w:pPr>
      <w:r>
        <w:rPr>
          <w:b/>
          <w:sz w:val="24"/>
          <w:szCs w:val="24"/>
        </w:rPr>
        <w:t>RULING</w:t>
      </w:r>
    </w:p>
    <w:p w14:paraId="16FDAC9F" w14:textId="77777777" w:rsidR="001008BC" w:rsidRDefault="001008BC" w:rsidP="00C87FCA">
      <w:pPr>
        <w:pBdr>
          <w:top w:val="dotted" w:sz="4" w:space="1" w:color="auto"/>
          <w:bottom w:val="dotted" w:sz="4" w:space="1" w:color="auto"/>
        </w:pBdr>
        <w:jc w:val="center"/>
        <w:rPr>
          <w:b/>
          <w:sz w:val="24"/>
          <w:szCs w:val="24"/>
        </w:rPr>
      </w:pPr>
    </w:p>
    <w:p w14:paraId="1CD41945"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0FDA26D0" w14:textId="77777777" w:rsidR="00C87FCA" w:rsidRDefault="0005469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3F0FBCA0"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59C40F67" w14:textId="4A1AE682" w:rsidR="00EF7DB6" w:rsidRDefault="00F25A29" w:rsidP="00EF7DB6">
      <w:pPr>
        <w:pStyle w:val="JudgmentText"/>
      </w:pPr>
      <w:r>
        <w:lastRenderedPageBreak/>
        <w:t>The Appellant applied for a banking licence from the Respondent</w:t>
      </w:r>
      <w:r w:rsidR="00EF7DB6">
        <w:t xml:space="preserve"> pursuant </w:t>
      </w:r>
      <w:r w:rsidR="00E65EF0">
        <w:t>to</w:t>
      </w:r>
      <w:r w:rsidR="00EF7DB6">
        <w:t xml:space="preserve"> the pr</w:t>
      </w:r>
      <w:r w:rsidR="00E65EF0">
        <w:t>o</w:t>
      </w:r>
      <w:r w:rsidR="00EF7DB6">
        <w:t>vis</w:t>
      </w:r>
      <w:r w:rsidR="00E65EF0">
        <w:t>i</w:t>
      </w:r>
      <w:r w:rsidR="00EF7DB6">
        <w:t>ons of the Financial Institutions Act 2004</w:t>
      </w:r>
      <w:r w:rsidR="00E65EF0">
        <w:t xml:space="preserve"> (hereinafter the Act)</w:t>
      </w:r>
      <w:r w:rsidR="00CA2031">
        <w:t xml:space="preserve"> in October 2013</w:t>
      </w:r>
      <w:r w:rsidR="00EF7DB6">
        <w:t>.</w:t>
      </w:r>
      <w:r w:rsidR="00CA2031">
        <w:t xml:space="preserve"> </w:t>
      </w:r>
      <w:r w:rsidR="00CA2031">
        <w:lastRenderedPageBreak/>
        <w:t xml:space="preserve">Correspondence between the parties ensued until </w:t>
      </w:r>
      <w:r w:rsidR="009D2990">
        <w:t>23</w:t>
      </w:r>
      <w:r w:rsidR="00CA2031">
        <w:t xml:space="preserve"> </w:t>
      </w:r>
      <w:r w:rsidR="009D2990">
        <w:t>April</w:t>
      </w:r>
      <w:r w:rsidR="00CA2031">
        <w:t xml:space="preserve"> 2</w:t>
      </w:r>
      <w:r w:rsidR="009D2990">
        <w:t>01</w:t>
      </w:r>
      <w:r w:rsidR="006B03CE">
        <w:t>4</w:t>
      </w:r>
      <w:r w:rsidR="00CA2031">
        <w:t xml:space="preserve"> </w:t>
      </w:r>
      <w:r w:rsidR="009D2990">
        <w:t>when the R</w:t>
      </w:r>
      <w:r w:rsidR="00CA2031">
        <w:t>espo</w:t>
      </w:r>
      <w:r w:rsidR="009D2990">
        <w:t>ndent</w:t>
      </w:r>
      <w:r w:rsidR="00CA2031">
        <w:t xml:space="preserve"> deemed all requested </w:t>
      </w:r>
      <w:r w:rsidR="009D2990">
        <w:t>documents</w:t>
      </w:r>
      <w:r w:rsidR="00CA2031">
        <w:t xml:space="preserve"> received and evaluation of the </w:t>
      </w:r>
      <w:r w:rsidR="009D2990">
        <w:t>application</w:t>
      </w:r>
      <w:r w:rsidR="00CA2031">
        <w:t xml:space="preserve"> </w:t>
      </w:r>
      <w:r w:rsidR="009D2990">
        <w:t>began</w:t>
      </w:r>
      <w:r w:rsidR="00CA2031">
        <w:t xml:space="preserve">. </w:t>
      </w:r>
    </w:p>
    <w:p w14:paraId="518FD4FC" w14:textId="3C429468" w:rsidR="00F25A29" w:rsidRDefault="00E65EF0" w:rsidP="00464531">
      <w:pPr>
        <w:pStyle w:val="JudgmentText"/>
      </w:pPr>
      <w:r>
        <w:t>B</w:t>
      </w:r>
      <w:r w:rsidR="00F25A29">
        <w:t>y letter of 4 July 2014</w:t>
      </w:r>
      <w:r w:rsidR="004A56EA">
        <w:t>,</w:t>
      </w:r>
      <w:r w:rsidR="00F25A29">
        <w:t xml:space="preserve"> </w:t>
      </w:r>
      <w:r>
        <w:t xml:space="preserve">the </w:t>
      </w:r>
      <w:r w:rsidR="00F35C67">
        <w:t>Respondent refused the li</w:t>
      </w:r>
      <w:r>
        <w:t xml:space="preserve">cence </w:t>
      </w:r>
      <w:r w:rsidR="00F25A29">
        <w:t xml:space="preserve">based on information disclosed to </w:t>
      </w:r>
      <w:r w:rsidR="00F35C67">
        <w:t>it</w:t>
      </w:r>
      <w:r w:rsidR="00B34B34">
        <w:t xml:space="preserve"> by the Financial Intelligence Unit</w:t>
      </w:r>
      <w:r w:rsidR="00F25A29">
        <w:t xml:space="preserve"> under conditions of confidentiality. The Appellant appealed the decision but by letter of </w:t>
      </w:r>
      <w:r w:rsidR="002D1264">
        <w:t xml:space="preserve">8 </w:t>
      </w:r>
      <w:r w:rsidR="00F25A29">
        <w:t>January 2015</w:t>
      </w:r>
      <w:r w:rsidR="00EB6817">
        <w:t>,</w:t>
      </w:r>
      <w:r w:rsidR="00F25A29">
        <w:t xml:space="preserve"> </w:t>
      </w:r>
      <w:r w:rsidR="009D2990">
        <w:t xml:space="preserve">the </w:t>
      </w:r>
      <w:r w:rsidR="00F24CCD">
        <w:t>refusal</w:t>
      </w:r>
      <w:r w:rsidR="00F25A29">
        <w:t xml:space="preserve"> </w:t>
      </w:r>
      <w:r w:rsidR="009D2990">
        <w:t xml:space="preserve">of the licence </w:t>
      </w:r>
      <w:r w:rsidR="00F25A29">
        <w:t xml:space="preserve">was confirmed. </w:t>
      </w:r>
      <w:r w:rsidR="00EF7DB6">
        <w:t>Subsequently</w:t>
      </w:r>
      <w:r w:rsidR="00EB6817">
        <w:t>,</w:t>
      </w:r>
      <w:r w:rsidR="00F25A29">
        <w:t xml:space="preserve"> the </w:t>
      </w:r>
      <w:r w:rsidR="00EF7DB6">
        <w:t>Appellant</w:t>
      </w:r>
      <w:r w:rsidR="00F25A29">
        <w:t xml:space="preserve"> </w:t>
      </w:r>
      <w:r w:rsidR="00EF7DB6">
        <w:t>wrote</w:t>
      </w:r>
      <w:r w:rsidR="00F25A29">
        <w:t xml:space="preserve"> to the </w:t>
      </w:r>
      <w:r w:rsidR="00EF7DB6">
        <w:t>Respondent</w:t>
      </w:r>
      <w:r w:rsidR="00F25A29">
        <w:t xml:space="preserve"> complaining that the information relied on </w:t>
      </w:r>
      <w:r w:rsidR="00F35C67">
        <w:t xml:space="preserve">for the refusal </w:t>
      </w:r>
      <w:r w:rsidR="00F25A29">
        <w:t xml:space="preserve">of the banking licence was not </w:t>
      </w:r>
      <w:r w:rsidR="00EF7DB6">
        <w:t>disclosed</w:t>
      </w:r>
      <w:r w:rsidR="00F25A29">
        <w:t xml:space="preserve"> </w:t>
      </w:r>
      <w:r w:rsidR="00F35C67">
        <w:t xml:space="preserve">and that </w:t>
      </w:r>
      <w:r w:rsidR="00F25A29">
        <w:t>it did not</w:t>
      </w:r>
      <w:r w:rsidR="00EF7DB6">
        <w:t xml:space="preserve"> </w:t>
      </w:r>
      <w:r w:rsidR="00F25A29">
        <w:t>have a fair chance t</w:t>
      </w:r>
      <w:r w:rsidR="00EF7DB6">
        <w:t>o</w:t>
      </w:r>
      <w:r w:rsidR="00F25A29">
        <w:t xml:space="preserve"> answer to </w:t>
      </w:r>
      <w:r w:rsidR="00F35C67">
        <w:t>the information</w:t>
      </w:r>
      <w:r w:rsidR="00F25A29">
        <w:t>. It asked for a recons</w:t>
      </w:r>
      <w:r w:rsidR="00EF7DB6">
        <w:t>ide</w:t>
      </w:r>
      <w:r w:rsidR="00F25A29">
        <w:t>ration</w:t>
      </w:r>
      <w:r w:rsidR="00EF7DB6">
        <w:t xml:space="preserve"> </w:t>
      </w:r>
      <w:r w:rsidR="00F25A29">
        <w:t>of the decis</w:t>
      </w:r>
      <w:r w:rsidR="00EF7DB6">
        <w:t>ion</w:t>
      </w:r>
      <w:r w:rsidR="00F35C67">
        <w:t>.</w:t>
      </w:r>
      <w:r w:rsidR="00F25A29">
        <w:t xml:space="preserve"> The</w:t>
      </w:r>
      <w:r w:rsidR="00EF7DB6">
        <w:t xml:space="preserve"> parties met </w:t>
      </w:r>
      <w:r w:rsidR="009D2990">
        <w:t xml:space="preserve">on </w:t>
      </w:r>
      <w:r w:rsidR="002D1264">
        <w:t>14 August 2015</w:t>
      </w:r>
      <w:r w:rsidR="009D2990">
        <w:t xml:space="preserve"> </w:t>
      </w:r>
      <w:r w:rsidR="00EF7DB6">
        <w:t>and the Respondent after taking note of the Appellant’s concerns maintained its refusal to grant the licence</w:t>
      </w:r>
      <w:r w:rsidR="002D1264">
        <w:t xml:space="preserve"> on 1 September 2015</w:t>
      </w:r>
      <w:r w:rsidR="00EF7DB6">
        <w:t xml:space="preserve">. </w:t>
      </w:r>
    </w:p>
    <w:p w14:paraId="15EA96F9" w14:textId="614438DD" w:rsidR="0006489F" w:rsidRDefault="00F35C67" w:rsidP="00EF7DB6">
      <w:pPr>
        <w:pStyle w:val="JudgmentText"/>
      </w:pPr>
      <w:r>
        <w:t>On 15 September 2015, t</w:t>
      </w:r>
      <w:r w:rsidR="002B3026">
        <w:t xml:space="preserve">he Appellant appealed </w:t>
      </w:r>
      <w:r w:rsidR="00EF7DB6">
        <w:t>the</w:t>
      </w:r>
      <w:r w:rsidR="002B3026">
        <w:t xml:space="preserve"> decision of the </w:t>
      </w:r>
      <w:r w:rsidR="00EF7DB6">
        <w:t>Respondent to the Supreme Court</w:t>
      </w:r>
      <w:r w:rsidR="002B3026">
        <w:t xml:space="preserve"> </w:t>
      </w:r>
      <w:r w:rsidR="00EF7DB6">
        <w:t>pursuant to</w:t>
      </w:r>
      <w:r w:rsidR="00EF7DB6" w:rsidRPr="00EF7DB6">
        <w:t xml:space="preserve"> section 16(2) of the Act.</w:t>
      </w:r>
      <w:r w:rsidR="00E65EF0">
        <w:t xml:space="preserve"> </w:t>
      </w:r>
    </w:p>
    <w:p w14:paraId="63AE969C" w14:textId="11466362" w:rsidR="002B3026" w:rsidRDefault="002B3026" w:rsidP="00464531">
      <w:pPr>
        <w:pStyle w:val="JudgmentText"/>
      </w:pPr>
      <w:r>
        <w:t>As a result of the appeal</w:t>
      </w:r>
      <w:r w:rsidR="00F24CCD">
        <w:t>,</w:t>
      </w:r>
      <w:r>
        <w:t xml:space="preserve"> two files of documents were served by the Respondent on the Appellant in order for it to formulate its grounds of appeal. Subsequently</w:t>
      </w:r>
      <w:r w:rsidR="005551F3">
        <w:t>,</w:t>
      </w:r>
      <w:r>
        <w:t xml:space="preserve"> the </w:t>
      </w:r>
      <w:r w:rsidR="005551F3">
        <w:t>Ap</w:t>
      </w:r>
      <w:r>
        <w:t>pellant fi</w:t>
      </w:r>
      <w:r w:rsidR="00F24CCD">
        <w:t>led</w:t>
      </w:r>
      <w:r>
        <w:t xml:space="preserve"> a motion dated 31 May 2016 requesting</w:t>
      </w:r>
      <w:r w:rsidR="00AB070D">
        <w:t xml:space="preserve"> (</w:t>
      </w:r>
      <w:r>
        <w:t>a) the minutes of a meeting held on14 August 2015 between the parties and (b)</w:t>
      </w:r>
      <w:r w:rsidR="007310E2">
        <w:t xml:space="preserve"> the</w:t>
      </w:r>
      <w:r w:rsidR="00BB0C75">
        <w:t xml:space="preserve"> </w:t>
      </w:r>
      <w:r>
        <w:t xml:space="preserve">confidential information relied on by the Respondent. </w:t>
      </w:r>
    </w:p>
    <w:p w14:paraId="3BD4DBCD" w14:textId="77777777" w:rsidR="00F35C67" w:rsidRDefault="00AB070D" w:rsidP="00464531">
      <w:pPr>
        <w:pStyle w:val="JudgmentText"/>
      </w:pPr>
      <w:r>
        <w:t>The Respo</w:t>
      </w:r>
      <w:r w:rsidR="00F25A29">
        <w:t>ndent</w:t>
      </w:r>
      <w:r>
        <w:t xml:space="preserve"> provided the minutes of the meeting </w:t>
      </w:r>
      <w:r w:rsidR="00F25A29">
        <w:t>b</w:t>
      </w:r>
      <w:r>
        <w:t xml:space="preserve">ut refused to disclose the </w:t>
      </w:r>
      <w:r w:rsidR="00F25A29">
        <w:t>confidential</w:t>
      </w:r>
      <w:r>
        <w:t xml:space="preserve"> </w:t>
      </w:r>
      <w:r w:rsidR="00F25A29">
        <w:t>information</w:t>
      </w:r>
      <w:r>
        <w:t xml:space="preserve"> sought</w:t>
      </w:r>
      <w:r w:rsidR="00E65EF0">
        <w:t xml:space="preserve"> based on the provisions of section 6 </w:t>
      </w:r>
      <w:r w:rsidR="00615AFD">
        <w:t xml:space="preserve">(3) (b) </w:t>
      </w:r>
      <w:r w:rsidR="00E65EF0">
        <w:t>of the Act</w:t>
      </w:r>
      <w:r w:rsidR="00615AFD">
        <w:t>.</w:t>
      </w:r>
      <w:r w:rsidR="00C3485C">
        <w:t xml:space="preserve"> </w:t>
      </w:r>
    </w:p>
    <w:p w14:paraId="66E93CEA" w14:textId="6C3CA656" w:rsidR="00AB6FC6" w:rsidRDefault="00AB6FC6" w:rsidP="00AB6FC6">
      <w:pPr>
        <w:pStyle w:val="JudgmentText"/>
        <w:numPr>
          <w:ilvl w:val="0"/>
          <w:numId w:val="7"/>
        </w:numPr>
      </w:pPr>
      <w:r>
        <w:t xml:space="preserve">It objected to the disclosure of the confidential information stating that </w:t>
      </w:r>
      <w:r w:rsidR="007310E2">
        <w:t>this</w:t>
      </w:r>
      <w:r>
        <w:t xml:space="preserve"> was precluded by law. </w:t>
      </w:r>
      <w:r w:rsidR="007560DD">
        <w:t>In response</w:t>
      </w:r>
      <w:r w:rsidR="00576C06">
        <w:t>,</w:t>
      </w:r>
      <w:r w:rsidR="007560DD">
        <w:t xml:space="preserve"> the </w:t>
      </w:r>
      <w:r w:rsidR="00BB0C75">
        <w:t>A</w:t>
      </w:r>
      <w:r w:rsidR="007560DD">
        <w:t>ppellant has submitted that it is unable to file a memorandum of appeal unless the information is disclosed.</w:t>
      </w:r>
      <w:r w:rsidR="00576C06">
        <w:t xml:space="preserve"> </w:t>
      </w:r>
      <w:r w:rsidR="006B03CE">
        <w:t>It</w:t>
      </w:r>
      <w:r w:rsidR="00576C06">
        <w:t xml:space="preserve"> submits further that the proviso relating to the confidential information seeks to only protect the source of the information but not the information itself.  </w:t>
      </w:r>
      <w:r w:rsidR="007560DD">
        <w:t xml:space="preserve"> </w:t>
      </w:r>
    </w:p>
    <w:p w14:paraId="37BE27D0" w14:textId="42B7AD88" w:rsidR="00576C06" w:rsidRDefault="00576C06" w:rsidP="00576C06">
      <w:pPr>
        <w:pStyle w:val="JudgmentText"/>
        <w:numPr>
          <w:ilvl w:val="0"/>
          <w:numId w:val="7"/>
        </w:numPr>
      </w:pPr>
      <w:r>
        <w:t xml:space="preserve">I have decided to </w:t>
      </w:r>
      <w:r w:rsidR="007310E2">
        <w:t>consolidate</w:t>
      </w:r>
      <w:r>
        <w:t xml:space="preserve"> the appeal</w:t>
      </w:r>
      <w:r w:rsidR="007310E2">
        <w:t>,</w:t>
      </w:r>
      <w:r>
        <w:t xml:space="preserve"> which at this stage is not grounded, </w:t>
      </w:r>
      <w:r w:rsidR="007310E2">
        <w:t xml:space="preserve">and </w:t>
      </w:r>
      <w:r>
        <w:t xml:space="preserve">the application for the disclosure of the information as </w:t>
      </w:r>
      <w:r w:rsidRPr="00576C06">
        <w:t>Mr. Shah, Learned Counsel for the Appellant</w:t>
      </w:r>
      <w:r w:rsidR="00EB6817">
        <w:t>,</w:t>
      </w:r>
      <w:r>
        <w:t xml:space="preserve"> has submitted that a decision on the latter will determine the appeal.</w:t>
      </w:r>
    </w:p>
    <w:p w14:paraId="08CBA880" w14:textId="2B8BA61D" w:rsidR="00576C06" w:rsidRPr="00576C06" w:rsidRDefault="00D94C33" w:rsidP="00576C06">
      <w:pPr>
        <w:pStyle w:val="JudgmentText"/>
        <w:numPr>
          <w:ilvl w:val="0"/>
          <w:numId w:val="7"/>
        </w:numPr>
      </w:pPr>
      <w:r>
        <w:lastRenderedPageBreak/>
        <w:t xml:space="preserve">I first turn to </w:t>
      </w:r>
      <w:r w:rsidR="00576C06">
        <w:t>a</w:t>
      </w:r>
      <w:r>
        <w:t xml:space="preserve"> procedural point relating to the appeal being out of time</w:t>
      </w:r>
      <w:r w:rsidR="00576C06">
        <w:t xml:space="preserve"> which has been raised by the Respondent</w:t>
      </w:r>
      <w:r>
        <w:t xml:space="preserve">. </w:t>
      </w:r>
      <w:r w:rsidR="00576C06" w:rsidRPr="00576C06">
        <w:t xml:space="preserve">Learned Counsel for the Respondent, Mr. </w:t>
      </w:r>
      <w:proofErr w:type="spellStart"/>
      <w:r w:rsidR="00576C06" w:rsidRPr="00576C06">
        <w:t>Thatchett</w:t>
      </w:r>
      <w:proofErr w:type="spellEnd"/>
      <w:r w:rsidR="00576C06">
        <w:t>,</w:t>
      </w:r>
      <w:r w:rsidR="00576C06" w:rsidRPr="00576C06">
        <w:t xml:space="preserve"> has submitted that the appeal is out of time since the decision of the Respondent was dated 8 January 2015 and the appeal filed on 15 September 2015 more than eight months after the decision and clearly outside the permissible fourteen days under section 16 (3) of the Act as read with Rule 6 (2) of the Appeal Rules (Courts Act). It is also his submission that the letter from the Respondent dated 1 September 2015 was issued in good will and did not convey any statutory decision.  </w:t>
      </w:r>
    </w:p>
    <w:p w14:paraId="69F818CA" w14:textId="5A91A619" w:rsidR="00D94C33" w:rsidRDefault="00D94C33" w:rsidP="00AB6FC6">
      <w:pPr>
        <w:pStyle w:val="JudgmentText"/>
        <w:numPr>
          <w:ilvl w:val="0"/>
          <w:numId w:val="7"/>
        </w:numPr>
      </w:pPr>
      <w:r>
        <w:t xml:space="preserve">Section 16 of the Act provides in relevant </w:t>
      </w:r>
      <w:r w:rsidR="008A2975">
        <w:t xml:space="preserve">part </w:t>
      </w:r>
      <w:r>
        <w:t>that</w:t>
      </w:r>
      <w:r w:rsidR="00576C06">
        <w:t>:</w:t>
      </w:r>
      <w:r>
        <w:t xml:space="preserve"> </w:t>
      </w:r>
    </w:p>
    <w:p w14:paraId="6DDBDB44" w14:textId="4EF76FF3" w:rsidR="00D94C33" w:rsidRPr="00900F0D" w:rsidRDefault="00D94C33" w:rsidP="00E65EB9">
      <w:pPr>
        <w:pStyle w:val="JudgmentText"/>
        <w:numPr>
          <w:ilvl w:val="0"/>
          <w:numId w:val="0"/>
        </w:numPr>
        <w:ind w:left="900"/>
        <w:jc w:val="left"/>
        <w:rPr>
          <w:i/>
        </w:rPr>
      </w:pPr>
      <w:r w:rsidRPr="00900F0D">
        <w:rPr>
          <w:i/>
        </w:rPr>
        <w:t>(1) Where the Central Bank takes a decision —</w:t>
      </w:r>
    </w:p>
    <w:p w14:paraId="2677B066" w14:textId="18E5C1AD" w:rsidR="00D94C33" w:rsidRPr="00900F0D" w:rsidRDefault="00D94C33" w:rsidP="00E65EB9">
      <w:pPr>
        <w:pStyle w:val="JudgmentText"/>
        <w:numPr>
          <w:ilvl w:val="0"/>
          <w:numId w:val="0"/>
        </w:numPr>
        <w:ind w:left="1440"/>
        <w:rPr>
          <w:i/>
        </w:rPr>
      </w:pPr>
      <w:r w:rsidRPr="00900F0D">
        <w:rPr>
          <w:i/>
        </w:rPr>
        <w:t xml:space="preserve">(a)  </w:t>
      </w:r>
      <w:proofErr w:type="gramStart"/>
      <w:r w:rsidRPr="00900F0D">
        <w:rPr>
          <w:i/>
        </w:rPr>
        <w:t>to</w:t>
      </w:r>
      <w:proofErr w:type="gramEnd"/>
      <w:r w:rsidRPr="00900F0D">
        <w:rPr>
          <w:i/>
        </w:rPr>
        <w:t xml:space="preserve"> refuse to grant a licence under section 6;</w:t>
      </w:r>
    </w:p>
    <w:p w14:paraId="58B6F3B9" w14:textId="5E02537D" w:rsidR="00D94C33" w:rsidRPr="00900F0D" w:rsidRDefault="00D94C33" w:rsidP="00E65EB9">
      <w:pPr>
        <w:pStyle w:val="JudgmentText"/>
        <w:numPr>
          <w:ilvl w:val="0"/>
          <w:numId w:val="0"/>
        </w:numPr>
        <w:ind w:left="1440"/>
        <w:rPr>
          <w:i/>
        </w:rPr>
      </w:pPr>
      <w:r w:rsidRPr="00900F0D">
        <w:rPr>
          <w:i/>
        </w:rPr>
        <w:t>…</w:t>
      </w:r>
    </w:p>
    <w:p w14:paraId="7DB0E2A9" w14:textId="34A6086A" w:rsidR="00D94C33" w:rsidRPr="00900F0D" w:rsidRDefault="00D94C33" w:rsidP="00E65EB9">
      <w:pPr>
        <w:pStyle w:val="JudgmentText"/>
        <w:numPr>
          <w:ilvl w:val="0"/>
          <w:numId w:val="0"/>
        </w:numPr>
        <w:ind w:left="1440"/>
        <w:rPr>
          <w:i/>
        </w:rPr>
      </w:pPr>
      <w:proofErr w:type="gramStart"/>
      <w:r w:rsidRPr="00900F0D">
        <w:rPr>
          <w:i/>
        </w:rPr>
        <w:t>the</w:t>
      </w:r>
      <w:proofErr w:type="gramEnd"/>
      <w:r w:rsidRPr="00900F0D">
        <w:rPr>
          <w:i/>
        </w:rPr>
        <w:t xml:space="preserve"> aggrieved party may appeal to the Central Bank</w:t>
      </w:r>
      <w:r w:rsidR="00E65EB9">
        <w:rPr>
          <w:i/>
        </w:rPr>
        <w:t xml:space="preserve"> within 15 days from the date </w:t>
      </w:r>
      <w:r w:rsidRPr="00900F0D">
        <w:rPr>
          <w:i/>
        </w:rPr>
        <w:t xml:space="preserve">on which the aggrieved party receives notification of the decision of the Central Bank to reconsider its decision. The filing of an appeal </w:t>
      </w:r>
      <w:r w:rsidR="00E65EB9">
        <w:rPr>
          <w:i/>
        </w:rPr>
        <w:t xml:space="preserve">does not effect a suspension </w:t>
      </w:r>
      <w:r w:rsidRPr="00900F0D">
        <w:rPr>
          <w:i/>
        </w:rPr>
        <w:t>of any measures imposed by the Central Bank.</w:t>
      </w:r>
    </w:p>
    <w:p w14:paraId="05F4612A" w14:textId="622A4D3C" w:rsidR="00D94C33" w:rsidRPr="00900F0D" w:rsidRDefault="00D94C33" w:rsidP="00E65EB9">
      <w:pPr>
        <w:pStyle w:val="JudgmentText"/>
        <w:numPr>
          <w:ilvl w:val="0"/>
          <w:numId w:val="0"/>
        </w:numPr>
        <w:ind w:left="1260" w:hanging="360"/>
        <w:rPr>
          <w:i/>
        </w:rPr>
      </w:pPr>
      <w:r w:rsidRPr="00900F0D">
        <w:rPr>
          <w:i/>
        </w:rPr>
        <w:t>(2) The Central Bank shall afford to the aggri</w:t>
      </w:r>
      <w:r w:rsidR="00E65EB9">
        <w:rPr>
          <w:i/>
        </w:rPr>
        <w:t xml:space="preserve">eved party an opportunity of </w:t>
      </w:r>
      <w:r w:rsidRPr="00900F0D">
        <w:rPr>
          <w:i/>
        </w:rPr>
        <w:t>submitting a written statement of its case and, at the re</w:t>
      </w:r>
      <w:r w:rsidR="00E65EB9">
        <w:rPr>
          <w:i/>
        </w:rPr>
        <w:t xml:space="preserve">quest of the aggrieved party, </w:t>
      </w:r>
      <w:r w:rsidRPr="00900F0D">
        <w:rPr>
          <w:i/>
        </w:rPr>
        <w:t xml:space="preserve">provide for a hearing before the Board. </w:t>
      </w:r>
      <w:r w:rsidRPr="00900F0D">
        <w:rPr>
          <w:i/>
          <w:u w:val="single"/>
        </w:rPr>
        <w:t>The Central Bank shall take a final decision within 90 days after considering the case.</w:t>
      </w:r>
    </w:p>
    <w:p w14:paraId="0B402DCD" w14:textId="48651EF0" w:rsidR="00D94C33" w:rsidRPr="006B03CE" w:rsidRDefault="00D94C33" w:rsidP="00E65EB9">
      <w:pPr>
        <w:pStyle w:val="JudgmentText"/>
        <w:numPr>
          <w:ilvl w:val="0"/>
          <w:numId w:val="0"/>
        </w:numPr>
        <w:ind w:left="1260" w:hanging="360"/>
      </w:pPr>
      <w:r w:rsidRPr="00900F0D">
        <w:rPr>
          <w:i/>
        </w:rPr>
        <w:t>(3)  If an aggrieved party is not satisfied with the fina</w:t>
      </w:r>
      <w:r w:rsidR="00E65EB9">
        <w:rPr>
          <w:i/>
        </w:rPr>
        <w:t xml:space="preserve">l decision of the Central Bank </w:t>
      </w:r>
      <w:r w:rsidRPr="00900F0D">
        <w:rPr>
          <w:i/>
        </w:rPr>
        <w:t>under this section, the aggrieved party may appeal to</w:t>
      </w:r>
      <w:r w:rsidR="00E65EB9">
        <w:rPr>
          <w:i/>
        </w:rPr>
        <w:t xml:space="preserve"> the Supreme Court within the </w:t>
      </w:r>
      <w:r w:rsidRPr="00900F0D">
        <w:rPr>
          <w:i/>
        </w:rPr>
        <w:t>time and in accordance with the procedures applicable to civil appeals to that Court.</w:t>
      </w:r>
      <w:r w:rsidR="006B03CE">
        <w:t xml:space="preserve"> (Emphasis added).</w:t>
      </w:r>
    </w:p>
    <w:p w14:paraId="3829C506" w14:textId="5B12F819" w:rsidR="00D94C33" w:rsidRDefault="00D94C33" w:rsidP="00BB0C75">
      <w:pPr>
        <w:pStyle w:val="JudgmentText"/>
      </w:pPr>
      <w:r>
        <w:t xml:space="preserve">With regard to appeals to the Supreme Court, </w:t>
      </w:r>
      <w:r w:rsidR="00BB0C75">
        <w:t>rule</w:t>
      </w:r>
      <w:r>
        <w:t xml:space="preserve"> 6 of </w:t>
      </w:r>
      <w:r w:rsidR="00BB0C75">
        <w:t xml:space="preserve">the </w:t>
      </w:r>
      <w:r w:rsidR="00BB0C75" w:rsidRPr="00BB0C75">
        <w:t xml:space="preserve">Appeal Rules (Courts Act) </w:t>
      </w:r>
      <w:r>
        <w:t>provides in relevant part:</w:t>
      </w:r>
    </w:p>
    <w:p w14:paraId="35784FD2" w14:textId="6A917338" w:rsidR="00D94C33" w:rsidRPr="00900F0D" w:rsidRDefault="00D94C33" w:rsidP="00E65EB9">
      <w:pPr>
        <w:pStyle w:val="JudgmentText"/>
        <w:numPr>
          <w:ilvl w:val="0"/>
          <w:numId w:val="0"/>
        </w:numPr>
        <w:ind w:left="1260" w:hanging="360"/>
        <w:rPr>
          <w:i/>
        </w:rPr>
      </w:pPr>
      <w:r w:rsidRPr="00900F0D">
        <w:rPr>
          <w:i/>
        </w:rPr>
        <w:lastRenderedPageBreak/>
        <w:t xml:space="preserve">6.  (1) </w:t>
      </w:r>
      <w:proofErr w:type="gramStart"/>
      <w:r w:rsidRPr="00900F0D">
        <w:rPr>
          <w:i/>
        </w:rPr>
        <w:t>Every</w:t>
      </w:r>
      <w:proofErr w:type="gramEnd"/>
      <w:r w:rsidRPr="00900F0D">
        <w:rPr>
          <w:i/>
        </w:rPr>
        <w:t xml:space="preserve"> appeal shall be commenced by a notice of appeal.</w:t>
      </w:r>
    </w:p>
    <w:p w14:paraId="639B008E" w14:textId="639ED456" w:rsidR="00D94C33" w:rsidRPr="00E65EB9" w:rsidRDefault="00D94C33" w:rsidP="00E65EB9">
      <w:pPr>
        <w:pStyle w:val="JudgmentText"/>
        <w:numPr>
          <w:ilvl w:val="0"/>
          <w:numId w:val="0"/>
        </w:numPr>
        <w:ind w:left="1260" w:hanging="360"/>
        <w:rPr>
          <w:i/>
        </w:rPr>
      </w:pPr>
      <w:r w:rsidRPr="00E65EB9">
        <w:rPr>
          <w:i/>
        </w:rPr>
        <w:t>(2)  The notice of appeal shall be delivered to the clerk of the court within fourteen days from the date of the decision appealed again</w:t>
      </w:r>
      <w:r w:rsidR="00E65EB9" w:rsidRPr="00E65EB9">
        <w:rPr>
          <w:i/>
        </w:rPr>
        <w:t xml:space="preserve">st unless some other period is </w:t>
      </w:r>
      <w:r w:rsidRPr="00E65EB9">
        <w:rPr>
          <w:i/>
        </w:rPr>
        <w:t>expressly provided by the law which authorises the appeal.</w:t>
      </w:r>
    </w:p>
    <w:p w14:paraId="4C713C8C" w14:textId="729AD723" w:rsidR="00D94C33" w:rsidRDefault="00D94C33" w:rsidP="00D94C33">
      <w:pPr>
        <w:pStyle w:val="JudgmentText"/>
      </w:pPr>
      <w:r>
        <w:t>Insofar as the provisions above are concerned, and given that the decision of the Board on appeal was delivered on 8 January 2015, the notice of appeal dated 15 September 2015 is clearly out of time. However, notwithstanding what appears to be the Respondent’s final decision, it entertained further submissions from the Appellant</w:t>
      </w:r>
      <w:r w:rsidR="00EC0B71">
        <w:t xml:space="preserve"> </w:t>
      </w:r>
      <w:r>
        <w:t>and even met with it on 14 August 201</w:t>
      </w:r>
      <w:r w:rsidR="00EB6817">
        <w:t>5</w:t>
      </w:r>
      <w:r>
        <w:t xml:space="preserve">. </w:t>
      </w:r>
      <w:r w:rsidR="00657236">
        <w:t>It</w:t>
      </w:r>
      <w:r w:rsidR="00657236" w:rsidRPr="00657236">
        <w:t xml:space="preserve"> appears that negotiations between</w:t>
      </w:r>
      <w:r w:rsidR="00657236">
        <w:t xml:space="preserve"> </w:t>
      </w:r>
      <w:r w:rsidR="00657236" w:rsidRPr="00657236">
        <w:t>the parties w</w:t>
      </w:r>
      <w:r w:rsidR="00657236">
        <w:t>e</w:t>
      </w:r>
      <w:r w:rsidR="00657236" w:rsidRPr="00657236">
        <w:t>re still ongoing</w:t>
      </w:r>
      <w:r w:rsidR="00657236">
        <w:t xml:space="preserve"> despite the decision of 8 January. </w:t>
      </w:r>
      <w:r w:rsidRPr="00657236">
        <w:t>T</w:t>
      </w:r>
      <w:r>
        <w:t>his therefore renders the Respondent’s decision of 8 January 2015 equivocal. In the circumstances</w:t>
      </w:r>
      <w:r w:rsidR="00B61F6D">
        <w:t>,</w:t>
      </w:r>
      <w:r>
        <w:t xml:space="preserve"> the inference is that it was its decision of 1 September 2015 that was its final decision. </w:t>
      </w:r>
      <w:r w:rsidR="00B61F6D">
        <w:t xml:space="preserve">The appeal notice dated 15 September </w:t>
      </w:r>
      <w:r w:rsidR="00EB6817">
        <w:t xml:space="preserve">2015 </w:t>
      </w:r>
      <w:r w:rsidR="00B61F6D">
        <w:t xml:space="preserve">would therefore fall within the statutory period. </w:t>
      </w:r>
      <w:r>
        <w:t xml:space="preserve">The submission of Mr. </w:t>
      </w:r>
      <w:proofErr w:type="spellStart"/>
      <w:r>
        <w:t>Thatchett</w:t>
      </w:r>
      <w:proofErr w:type="spellEnd"/>
      <w:r>
        <w:t xml:space="preserve">, Learned Counsel for the Respondent, on that point is therefore dismissed.  </w:t>
      </w:r>
    </w:p>
    <w:p w14:paraId="00881C4A" w14:textId="7883D3DC" w:rsidR="00C65B63" w:rsidRDefault="00BB0C75" w:rsidP="00101C00">
      <w:pPr>
        <w:pStyle w:val="JudgmentText"/>
      </w:pPr>
      <w:r>
        <w:t xml:space="preserve">With regard to the </w:t>
      </w:r>
      <w:r w:rsidR="00C65B63">
        <w:t xml:space="preserve">Appellant’s </w:t>
      </w:r>
      <w:r>
        <w:t xml:space="preserve">substantive </w:t>
      </w:r>
      <w:r w:rsidR="00C65B63">
        <w:t xml:space="preserve">submission relating to the reliance of the Respondent on the confidential information to refuse the banking licence, Mr. Shah has submitted </w:t>
      </w:r>
      <w:r w:rsidR="00744C6C">
        <w:t xml:space="preserve">that such reliance on the provision of the Act is misconceived. He states that </w:t>
      </w:r>
      <w:r w:rsidR="00C65B63">
        <w:t>“the bar created by the proviso to section 6 (3) (b</w:t>
      </w:r>
      <w:r w:rsidR="00744C6C">
        <w:t xml:space="preserve">) of the Act </w:t>
      </w:r>
      <w:r w:rsidR="00C65B63">
        <w:t xml:space="preserve">is to the ‘reasons’ for the decision by the Respondent but not to the information on the basis of which it has acted upon.” </w:t>
      </w:r>
    </w:p>
    <w:p w14:paraId="00B1E787" w14:textId="0048DB69" w:rsidR="00C65B63" w:rsidRDefault="00C65B63" w:rsidP="00C65B63">
      <w:pPr>
        <w:pStyle w:val="JudgmentText"/>
      </w:pPr>
      <w:r>
        <w:t xml:space="preserve">He further submitted that if the information was shared, the Appellant would be given an opportunity to rebut the same and/or show that the information was false or ‘coloured’.  Were the Appellant able to prove that such was the case there would be no necessity for the Court to examine the reasons for the refusal. Any other construction of the proviso would render it otiose. </w:t>
      </w:r>
      <w:r w:rsidR="001025C2">
        <w:t>The Appellant submitted further that t</w:t>
      </w:r>
      <w:r>
        <w:t>he main purpose of the proviso was to non-disclosure of the information</w:t>
      </w:r>
      <w:r w:rsidR="001025C2">
        <w:t>, and</w:t>
      </w:r>
      <w:r>
        <w:t xml:space="preserve"> in the circumstances </w:t>
      </w:r>
      <w:r w:rsidR="001025C2">
        <w:t xml:space="preserve">this was </w:t>
      </w:r>
      <w:r>
        <w:t xml:space="preserve">grossly unfair, unjust, unequal </w:t>
      </w:r>
      <w:r w:rsidR="001025C2">
        <w:t xml:space="preserve">and </w:t>
      </w:r>
      <w:r>
        <w:t>contrary to the rules of natural justice.</w:t>
      </w:r>
    </w:p>
    <w:p w14:paraId="440BD2B4" w14:textId="4319B458" w:rsidR="00C65B63" w:rsidRDefault="00744C6C" w:rsidP="00C65B63">
      <w:pPr>
        <w:pStyle w:val="JudgmentText"/>
      </w:pPr>
      <w:r>
        <w:lastRenderedPageBreak/>
        <w:t xml:space="preserve">Mr. </w:t>
      </w:r>
      <w:proofErr w:type="spellStart"/>
      <w:r>
        <w:t>Thatchett</w:t>
      </w:r>
      <w:proofErr w:type="spellEnd"/>
      <w:r>
        <w:t xml:space="preserve"> has</w:t>
      </w:r>
      <w:r w:rsidR="00C65B63">
        <w:t xml:space="preserve"> submitted that the law under section 6</w:t>
      </w:r>
      <w:r w:rsidR="00591097">
        <w:t xml:space="preserve"> </w:t>
      </w:r>
      <w:r w:rsidR="00C65B63">
        <w:t xml:space="preserve">(3) (b) (ii) of the Act precludes the disclosure of the information </w:t>
      </w:r>
      <w:r>
        <w:t>generally</w:t>
      </w:r>
      <w:r w:rsidR="00B34B34">
        <w:t>,</w:t>
      </w:r>
      <w:r>
        <w:t xml:space="preserve"> </w:t>
      </w:r>
      <w:r w:rsidR="00C65B63">
        <w:t>and statutorily the Respondent need not give any reasons for its refusal.</w:t>
      </w:r>
    </w:p>
    <w:p w14:paraId="149F0C42" w14:textId="32BD5354" w:rsidR="00C65B63" w:rsidRDefault="00B34B34" w:rsidP="00C65B63">
      <w:pPr>
        <w:pStyle w:val="JudgmentText"/>
      </w:pPr>
      <w:r>
        <w:t xml:space="preserve">Mr. </w:t>
      </w:r>
      <w:proofErr w:type="spellStart"/>
      <w:r>
        <w:t>Thatchett</w:t>
      </w:r>
      <w:proofErr w:type="spellEnd"/>
      <w:r>
        <w:t xml:space="preserve"> </w:t>
      </w:r>
      <w:r w:rsidR="00C65B63">
        <w:t>has further submitted that the confidential information was disclosed to the Respondent by the Financial Intelligence Unit, an agency established under the provisions of the Anti-Money Laundering Act 2006 and that the requested documents</w:t>
      </w:r>
      <w:r w:rsidR="001025C2">
        <w:t xml:space="preserve"> </w:t>
      </w:r>
      <w:r w:rsidR="00C65B63">
        <w:t>relat</w:t>
      </w:r>
      <w:r w:rsidR="001025C2">
        <w:t>e</w:t>
      </w:r>
      <w:r w:rsidR="00C65B63">
        <w:t xml:space="preserve"> to the character or the identity of the directors</w:t>
      </w:r>
      <w:r w:rsidR="001025C2">
        <w:t xml:space="preserve"> and</w:t>
      </w:r>
      <w:r w:rsidR="00C65B63">
        <w:t xml:space="preserve"> </w:t>
      </w:r>
      <w:r w:rsidR="001025C2">
        <w:t xml:space="preserve">were </w:t>
      </w:r>
      <w:r w:rsidR="00C65B63">
        <w:t>only divulged to the Respondent in their letters to the Appellant of 4 July 2014 and 8 September 2015 and were therefore not part of the public record of the Bank or its Board</w:t>
      </w:r>
      <w:r w:rsidR="00AD2D34">
        <w:t xml:space="preserve"> with regard to making the decision</w:t>
      </w:r>
      <w:r w:rsidR="00C65B63">
        <w:t xml:space="preserve"> and therefore do not merit disclosure to the Appellant. He relied on the case of </w:t>
      </w:r>
      <w:proofErr w:type="spellStart"/>
      <w:r w:rsidR="00C65B63" w:rsidRPr="00591097">
        <w:rPr>
          <w:i/>
        </w:rPr>
        <w:t>Intershore</w:t>
      </w:r>
      <w:proofErr w:type="spellEnd"/>
      <w:r w:rsidR="00C65B63" w:rsidRPr="00591097">
        <w:rPr>
          <w:i/>
        </w:rPr>
        <w:t xml:space="preserve"> Banking Corporation Ltd v The Central Bank of Seychelles</w:t>
      </w:r>
      <w:r w:rsidR="00C65B63">
        <w:t xml:space="preserve"> (CA 34/2013 and MA 249/2014) [2016] SCSC 329 (17 May 2016, paragraphs 50-58) for this submission. </w:t>
      </w:r>
    </w:p>
    <w:p w14:paraId="70012E59" w14:textId="77777777" w:rsidR="002B3026" w:rsidRDefault="00615AFD" w:rsidP="00464531">
      <w:pPr>
        <w:pStyle w:val="JudgmentText"/>
      </w:pPr>
      <w:r>
        <w:t>The relevant provisions of the Act for a banking licence</w:t>
      </w:r>
      <w:r w:rsidR="00340D64">
        <w:t xml:space="preserve"> applicable to the present case </w:t>
      </w:r>
      <w:r w:rsidR="00F24CCD">
        <w:t>are</w:t>
      </w:r>
      <w:r w:rsidR="00C3485C">
        <w:t xml:space="preserve"> as follows</w:t>
      </w:r>
      <w:r w:rsidR="00F24CCD">
        <w:t>:</w:t>
      </w:r>
      <w:r w:rsidR="00E65EF0">
        <w:t xml:space="preserve"> </w:t>
      </w:r>
    </w:p>
    <w:p w14:paraId="3BCE5F47" w14:textId="5B756B53" w:rsidR="00565603" w:rsidRDefault="001473EC" w:rsidP="001E6AD0">
      <w:pPr>
        <w:pStyle w:val="JudgmentText"/>
        <w:numPr>
          <w:ilvl w:val="0"/>
          <w:numId w:val="0"/>
        </w:numPr>
        <w:ind w:left="180"/>
        <w:rPr>
          <w:i/>
        </w:rPr>
      </w:pPr>
      <w:r>
        <w:rPr>
          <w:i/>
        </w:rPr>
        <w:tab/>
      </w:r>
      <w:r w:rsidR="006B03CE">
        <w:rPr>
          <w:i/>
        </w:rPr>
        <w:tab/>
      </w:r>
      <w:r w:rsidR="000B6464" w:rsidRPr="00615AFD">
        <w:rPr>
          <w:i/>
        </w:rPr>
        <w:t>“6.</w:t>
      </w:r>
      <w:r w:rsidR="00A609AC">
        <w:rPr>
          <w:i/>
        </w:rPr>
        <w:t xml:space="preserve"> </w:t>
      </w:r>
      <w:r w:rsidR="000B6464" w:rsidRPr="00615AFD">
        <w:rPr>
          <w:i/>
        </w:rPr>
        <w:t>(1</w:t>
      </w:r>
      <w:r w:rsidR="00F24CCD" w:rsidRPr="00615AFD">
        <w:rPr>
          <w:i/>
        </w:rPr>
        <w:t>) In</w:t>
      </w:r>
      <w:r w:rsidR="000B6464" w:rsidRPr="00615AFD">
        <w:rPr>
          <w:i/>
        </w:rPr>
        <w:t xml:space="preserve"> considering an application for a licence received under section 5, the </w:t>
      </w:r>
      <w:r w:rsidR="006B03CE">
        <w:rPr>
          <w:i/>
        </w:rPr>
        <w:tab/>
      </w:r>
      <w:r w:rsidR="006B03CE">
        <w:rPr>
          <w:i/>
        </w:rPr>
        <w:tab/>
      </w:r>
      <w:r w:rsidR="006B03CE">
        <w:rPr>
          <w:i/>
        </w:rPr>
        <w:tab/>
      </w:r>
      <w:r w:rsidR="000B6464" w:rsidRPr="00615AFD">
        <w:rPr>
          <w:i/>
        </w:rPr>
        <w:t xml:space="preserve">Central Bank shall conduct such investigation as it may deem </w:t>
      </w:r>
      <w:r w:rsidR="00F24CCD" w:rsidRPr="00615AFD">
        <w:rPr>
          <w:i/>
        </w:rPr>
        <w:t>necessary and</w:t>
      </w:r>
      <w:r w:rsidR="00565603">
        <w:rPr>
          <w:i/>
        </w:rPr>
        <w:t xml:space="preserve"> </w:t>
      </w:r>
      <w:r w:rsidR="00565603" w:rsidRPr="00565603">
        <w:rPr>
          <w:i/>
        </w:rPr>
        <w:t xml:space="preserve"> shall  </w:t>
      </w:r>
      <w:r w:rsidR="006B03CE">
        <w:rPr>
          <w:i/>
        </w:rPr>
        <w:tab/>
      </w:r>
      <w:r w:rsidR="006B03CE">
        <w:rPr>
          <w:i/>
        </w:rPr>
        <w:tab/>
      </w:r>
      <w:r w:rsidR="00565603" w:rsidRPr="00565603">
        <w:rPr>
          <w:i/>
        </w:rPr>
        <w:t>grant  a  licence to the applicant on being satisfied as to</w:t>
      </w:r>
      <w:r w:rsidR="00565603">
        <w:rPr>
          <w:i/>
        </w:rPr>
        <w:t xml:space="preserve"> </w:t>
      </w:r>
      <w:r w:rsidR="00565603">
        <w:rPr>
          <w:i/>
        </w:rPr>
        <w:noBreakHyphen/>
        <w:t xml:space="preserve"> </w:t>
      </w:r>
      <w:r w:rsidR="000B6464" w:rsidRPr="00615AFD">
        <w:rPr>
          <w:i/>
        </w:rPr>
        <w:t xml:space="preserve"> </w:t>
      </w:r>
    </w:p>
    <w:p w14:paraId="785BF53B" w14:textId="35F34480" w:rsidR="000B6464" w:rsidRPr="00615AFD" w:rsidRDefault="006B03CE" w:rsidP="001473EC">
      <w:pPr>
        <w:pStyle w:val="JudgmentText"/>
        <w:numPr>
          <w:ilvl w:val="0"/>
          <w:numId w:val="0"/>
        </w:numPr>
        <w:ind w:left="720"/>
        <w:rPr>
          <w:i/>
          <w:lang w:val="en-US"/>
        </w:rPr>
      </w:pPr>
      <w:r>
        <w:rPr>
          <w:i/>
        </w:rPr>
        <w:tab/>
      </w:r>
      <w:r>
        <w:rPr>
          <w:i/>
        </w:rPr>
        <w:tab/>
      </w:r>
      <w:r w:rsidR="00A609AC">
        <w:rPr>
          <w:i/>
        </w:rPr>
        <w:t>(</w:t>
      </w:r>
      <w:r w:rsidR="000B6464" w:rsidRPr="00615AFD">
        <w:rPr>
          <w:i/>
        </w:rPr>
        <w:t>a</w:t>
      </w:r>
      <w:r w:rsidR="00F24CCD" w:rsidRPr="00615AFD">
        <w:rPr>
          <w:i/>
        </w:rPr>
        <w:t xml:space="preserve">) </w:t>
      </w:r>
      <w:proofErr w:type="gramStart"/>
      <w:r w:rsidR="00F24CCD" w:rsidRPr="00615AFD">
        <w:rPr>
          <w:i/>
        </w:rPr>
        <w:t>the</w:t>
      </w:r>
      <w:proofErr w:type="gramEnd"/>
      <w:r w:rsidR="000B6464" w:rsidRPr="00615AFD">
        <w:rPr>
          <w:i/>
        </w:rPr>
        <w:t xml:space="preserve"> validity of the documents submitted under section 5(1);</w:t>
      </w:r>
    </w:p>
    <w:p w14:paraId="7ADBBDA9" w14:textId="5097AA21" w:rsidR="000B6464" w:rsidRPr="00615AFD" w:rsidRDefault="006B03CE" w:rsidP="001473EC">
      <w:pPr>
        <w:pStyle w:val="JudgmentText"/>
        <w:numPr>
          <w:ilvl w:val="0"/>
          <w:numId w:val="0"/>
        </w:numPr>
        <w:ind w:left="720"/>
        <w:rPr>
          <w:i/>
          <w:lang w:val="en-US"/>
        </w:rPr>
      </w:pPr>
      <w:r>
        <w:rPr>
          <w:i/>
        </w:rPr>
        <w:tab/>
      </w:r>
      <w:r>
        <w:rPr>
          <w:i/>
        </w:rPr>
        <w:tab/>
      </w:r>
      <w:r w:rsidR="000B6464" w:rsidRPr="00615AFD">
        <w:rPr>
          <w:i/>
        </w:rPr>
        <w:t>(b)  </w:t>
      </w:r>
      <w:proofErr w:type="gramStart"/>
      <w:r w:rsidR="000B6464" w:rsidRPr="00615AFD">
        <w:rPr>
          <w:i/>
        </w:rPr>
        <w:t>the</w:t>
      </w:r>
      <w:proofErr w:type="gramEnd"/>
      <w:r w:rsidR="000B6464" w:rsidRPr="00615AFD">
        <w:rPr>
          <w:i/>
        </w:rPr>
        <w:t xml:space="preserve"> —</w:t>
      </w:r>
    </w:p>
    <w:p w14:paraId="5B07E585" w14:textId="6566A6B4" w:rsidR="000B6464" w:rsidRPr="00615AFD" w:rsidRDefault="006B03CE" w:rsidP="001473EC">
      <w:pPr>
        <w:pStyle w:val="JudgmentText"/>
        <w:numPr>
          <w:ilvl w:val="0"/>
          <w:numId w:val="0"/>
        </w:numPr>
        <w:ind w:left="1440"/>
        <w:rPr>
          <w:i/>
          <w:lang w:val="en-US"/>
        </w:rPr>
      </w:pPr>
      <w:r>
        <w:rPr>
          <w:i/>
        </w:rPr>
        <w:tab/>
      </w:r>
      <w:r>
        <w:rPr>
          <w:i/>
        </w:rPr>
        <w:tab/>
      </w:r>
      <w:r w:rsidR="000B6464" w:rsidRPr="00615AFD">
        <w:rPr>
          <w:i/>
        </w:rPr>
        <w:t>(</w:t>
      </w:r>
      <w:proofErr w:type="spellStart"/>
      <w:r w:rsidR="000B6464" w:rsidRPr="00615AFD">
        <w:rPr>
          <w:i/>
        </w:rPr>
        <w:t>i</w:t>
      </w:r>
      <w:proofErr w:type="spellEnd"/>
      <w:r w:rsidR="000B6464" w:rsidRPr="00615AFD">
        <w:rPr>
          <w:i/>
        </w:rPr>
        <w:t>)  </w:t>
      </w:r>
      <w:proofErr w:type="gramStart"/>
      <w:r w:rsidR="000B6464" w:rsidRPr="00615AFD">
        <w:rPr>
          <w:i/>
        </w:rPr>
        <w:t>financial</w:t>
      </w:r>
      <w:proofErr w:type="gramEnd"/>
      <w:r w:rsidR="000B6464" w:rsidRPr="00615AFD">
        <w:rPr>
          <w:i/>
        </w:rPr>
        <w:t xml:space="preserve"> status; and</w:t>
      </w:r>
    </w:p>
    <w:p w14:paraId="58FCF329" w14:textId="4935B348" w:rsidR="000B6464" w:rsidRPr="00615AFD" w:rsidRDefault="006B03CE" w:rsidP="001473EC">
      <w:pPr>
        <w:pStyle w:val="JudgmentText"/>
        <w:numPr>
          <w:ilvl w:val="0"/>
          <w:numId w:val="0"/>
        </w:numPr>
        <w:ind w:left="1440"/>
        <w:rPr>
          <w:i/>
          <w:lang w:val="en-US"/>
        </w:rPr>
      </w:pPr>
      <w:r>
        <w:rPr>
          <w:i/>
        </w:rPr>
        <w:tab/>
      </w:r>
      <w:r>
        <w:rPr>
          <w:i/>
        </w:rPr>
        <w:tab/>
      </w:r>
      <w:r w:rsidR="000B6464" w:rsidRPr="00615AFD">
        <w:rPr>
          <w:i/>
        </w:rPr>
        <w:t>(ii)  </w:t>
      </w:r>
      <w:proofErr w:type="gramStart"/>
      <w:r w:rsidR="000B6464" w:rsidRPr="00615AFD">
        <w:rPr>
          <w:i/>
        </w:rPr>
        <w:t>history</w:t>
      </w:r>
      <w:proofErr w:type="gramEnd"/>
      <w:r w:rsidR="000B6464" w:rsidRPr="00615AFD">
        <w:rPr>
          <w:i/>
        </w:rPr>
        <w:t xml:space="preserve"> of the applicant, where the applicant is an established </w:t>
      </w:r>
      <w:r>
        <w:rPr>
          <w:i/>
        </w:rPr>
        <w:tab/>
      </w:r>
      <w:r>
        <w:rPr>
          <w:i/>
        </w:rPr>
        <w:tab/>
      </w:r>
      <w:r>
        <w:rPr>
          <w:i/>
        </w:rPr>
        <w:tab/>
      </w:r>
      <w:r w:rsidR="000B6464" w:rsidRPr="00615AFD">
        <w:rPr>
          <w:i/>
        </w:rPr>
        <w:t>financial  institution;</w:t>
      </w:r>
    </w:p>
    <w:p w14:paraId="7B094F8C" w14:textId="2C2BB736" w:rsidR="000B6464" w:rsidRPr="00615AFD" w:rsidRDefault="006B03CE" w:rsidP="00565603">
      <w:pPr>
        <w:pStyle w:val="JudgmentText"/>
        <w:numPr>
          <w:ilvl w:val="0"/>
          <w:numId w:val="0"/>
        </w:numPr>
        <w:ind w:left="720"/>
        <w:rPr>
          <w:i/>
        </w:rPr>
      </w:pPr>
      <w:r>
        <w:rPr>
          <w:i/>
        </w:rPr>
        <w:tab/>
      </w:r>
      <w:r>
        <w:rPr>
          <w:i/>
        </w:rPr>
        <w:tab/>
      </w:r>
      <w:r w:rsidR="000B6464" w:rsidRPr="00615AFD">
        <w:rPr>
          <w:i/>
        </w:rPr>
        <w:t>(c)  </w:t>
      </w:r>
      <w:proofErr w:type="gramStart"/>
      <w:r w:rsidR="000B6464" w:rsidRPr="00615AFD">
        <w:rPr>
          <w:i/>
        </w:rPr>
        <w:t>the</w:t>
      </w:r>
      <w:proofErr w:type="gramEnd"/>
      <w:r w:rsidR="000B6464" w:rsidRPr="00615AFD">
        <w:rPr>
          <w:i/>
        </w:rPr>
        <w:t xml:space="preserve"> character and professional experience of its administrators;</w:t>
      </w:r>
    </w:p>
    <w:p w14:paraId="2F3D9E07" w14:textId="07727E45" w:rsidR="000B6464" w:rsidRPr="00615AFD" w:rsidRDefault="000B6464" w:rsidP="00565603">
      <w:pPr>
        <w:pStyle w:val="JudgmentText"/>
        <w:numPr>
          <w:ilvl w:val="0"/>
          <w:numId w:val="0"/>
        </w:numPr>
        <w:ind w:left="720"/>
        <w:rPr>
          <w:i/>
        </w:rPr>
      </w:pPr>
      <w:r w:rsidRPr="00615AFD">
        <w:rPr>
          <w:i/>
        </w:rPr>
        <w:t xml:space="preserve">      </w:t>
      </w:r>
      <w:r w:rsidR="006B03CE">
        <w:rPr>
          <w:i/>
        </w:rPr>
        <w:tab/>
      </w:r>
      <w:r w:rsidR="006B03CE">
        <w:rPr>
          <w:i/>
        </w:rPr>
        <w:tab/>
      </w:r>
      <w:r w:rsidRPr="00615AFD">
        <w:rPr>
          <w:i/>
        </w:rPr>
        <w:t xml:space="preserve"> …</w:t>
      </w:r>
    </w:p>
    <w:p w14:paraId="69E4493C" w14:textId="052D0DED" w:rsidR="000B6464" w:rsidRPr="00615AFD" w:rsidRDefault="001473EC" w:rsidP="001E6AD0">
      <w:pPr>
        <w:pStyle w:val="JudgmentText"/>
        <w:numPr>
          <w:ilvl w:val="0"/>
          <w:numId w:val="0"/>
        </w:numPr>
        <w:ind w:left="180"/>
        <w:rPr>
          <w:i/>
        </w:rPr>
      </w:pPr>
      <w:r>
        <w:rPr>
          <w:i/>
        </w:rPr>
        <w:lastRenderedPageBreak/>
        <w:tab/>
      </w:r>
      <w:r w:rsidR="006B03CE">
        <w:rPr>
          <w:i/>
        </w:rPr>
        <w:tab/>
      </w:r>
      <w:r w:rsidR="001E6AD0">
        <w:rPr>
          <w:i/>
        </w:rPr>
        <w:t>(</w:t>
      </w:r>
      <w:r w:rsidR="000B6464" w:rsidRPr="00615AFD">
        <w:rPr>
          <w:i/>
        </w:rPr>
        <w:t xml:space="preserve">2)  Within 30 days after the receipt of an </w:t>
      </w:r>
      <w:r w:rsidR="001E6AD0">
        <w:rPr>
          <w:i/>
        </w:rPr>
        <w:t xml:space="preserve">application, the Central Bank </w:t>
      </w:r>
      <w:r w:rsidR="000B6464" w:rsidRPr="00615AFD">
        <w:rPr>
          <w:i/>
        </w:rPr>
        <w:t xml:space="preserve">shall inform </w:t>
      </w:r>
      <w:r w:rsidR="006B03CE">
        <w:rPr>
          <w:i/>
        </w:rPr>
        <w:tab/>
      </w:r>
      <w:r w:rsidR="006B03CE">
        <w:rPr>
          <w:i/>
        </w:rPr>
        <w:tab/>
      </w:r>
      <w:r w:rsidR="000B6464" w:rsidRPr="00615AFD">
        <w:rPr>
          <w:i/>
        </w:rPr>
        <w:t xml:space="preserve">the </w:t>
      </w:r>
      <w:r w:rsidR="006B03CE">
        <w:rPr>
          <w:i/>
        </w:rPr>
        <w:t>a</w:t>
      </w:r>
      <w:r w:rsidR="000B6464" w:rsidRPr="00615AFD">
        <w:rPr>
          <w:i/>
        </w:rPr>
        <w:t>pplicant whether the applic</w:t>
      </w:r>
      <w:r w:rsidR="001E6AD0">
        <w:rPr>
          <w:i/>
        </w:rPr>
        <w:t xml:space="preserve">ation is deemed complete or </w:t>
      </w:r>
      <w:r w:rsidR="000B6464" w:rsidRPr="00615AFD">
        <w:rPr>
          <w:i/>
        </w:rPr>
        <w:t xml:space="preserve">specify the additional </w:t>
      </w:r>
      <w:r w:rsidR="006B03CE">
        <w:rPr>
          <w:i/>
        </w:rPr>
        <w:tab/>
      </w:r>
      <w:r w:rsidR="006B03CE">
        <w:rPr>
          <w:i/>
        </w:rPr>
        <w:tab/>
      </w:r>
      <w:r w:rsidR="000B6464" w:rsidRPr="00615AFD">
        <w:rPr>
          <w:i/>
        </w:rPr>
        <w:t>information requi</w:t>
      </w:r>
      <w:r w:rsidR="001E6AD0">
        <w:rPr>
          <w:i/>
        </w:rPr>
        <w:t xml:space="preserve">red to make the application </w:t>
      </w:r>
      <w:r w:rsidR="000B6464" w:rsidRPr="00615AFD">
        <w:rPr>
          <w:i/>
        </w:rPr>
        <w:t>complete.</w:t>
      </w:r>
    </w:p>
    <w:p w14:paraId="75DA62B4" w14:textId="0C405C51" w:rsidR="000B6464" w:rsidRPr="00615AFD" w:rsidRDefault="001473EC" w:rsidP="001E6AD0">
      <w:pPr>
        <w:pStyle w:val="JudgmentText"/>
        <w:numPr>
          <w:ilvl w:val="0"/>
          <w:numId w:val="0"/>
        </w:numPr>
        <w:ind w:left="180"/>
        <w:rPr>
          <w:i/>
        </w:rPr>
      </w:pPr>
      <w:r>
        <w:rPr>
          <w:i/>
        </w:rPr>
        <w:tab/>
      </w:r>
      <w:r w:rsidR="006B03CE">
        <w:rPr>
          <w:i/>
        </w:rPr>
        <w:tab/>
      </w:r>
      <w:r w:rsidR="000B6464" w:rsidRPr="00615AFD">
        <w:rPr>
          <w:i/>
        </w:rPr>
        <w:t>(3)  Within 90 days after the receipt of a comp</w:t>
      </w:r>
      <w:r w:rsidR="001E6AD0">
        <w:rPr>
          <w:i/>
        </w:rPr>
        <w:t xml:space="preserve">lete application, the Central </w:t>
      </w:r>
      <w:r w:rsidR="000B6464" w:rsidRPr="00615AFD">
        <w:rPr>
          <w:i/>
        </w:rPr>
        <w:t xml:space="preserve">Bank </w:t>
      </w:r>
      <w:r w:rsidR="006B03CE">
        <w:rPr>
          <w:i/>
        </w:rPr>
        <w:tab/>
      </w:r>
      <w:r w:rsidR="006B03CE">
        <w:rPr>
          <w:i/>
        </w:rPr>
        <w:tab/>
      </w:r>
      <w:r w:rsidR="006B03CE">
        <w:rPr>
          <w:i/>
        </w:rPr>
        <w:tab/>
      </w:r>
      <w:r w:rsidR="000B6464" w:rsidRPr="00615AFD">
        <w:rPr>
          <w:i/>
        </w:rPr>
        <w:t>shall —</w:t>
      </w:r>
    </w:p>
    <w:p w14:paraId="56098069" w14:textId="1C22551D" w:rsidR="000B6464" w:rsidRPr="00615AFD" w:rsidRDefault="006B03CE" w:rsidP="00565603">
      <w:pPr>
        <w:pStyle w:val="JudgmentText"/>
        <w:numPr>
          <w:ilvl w:val="0"/>
          <w:numId w:val="0"/>
        </w:numPr>
        <w:ind w:left="720"/>
        <w:rPr>
          <w:i/>
        </w:rPr>
      </w:pPr>
      <w:r>
        <w:rPr>
          <w:i/>
        </w:rPr>
        <w:tab/>
      </w:r>
      <w:r w:rsidR="000B6464" w:rsidRPr="00615AFD">
        <w:rPr>
          <w:i/>
        </w:rPr>
        <w:t xml:space="preserve">(a)  </w:t>
      </w:r>
      <w:proofErr w:type="gramStart"/>
      <w:r w:rsidR="000B6464" w:rsidRPr="00615AFD">
        <w:rPr>
          <w:i/>
        </w:rPr>
        <w:t>grant</w:t>
      </w:r>
      <w:proofErr w:type="gramEnd"/>
      <w:r w:rsidR="000B6464" w:rsidRPr="00615AFD">
        <w:rPr>
          <w:i/>
        </w:rPr>
        <w:t xml:space="preserve"> a licence; or</w:t>
      </w:r>
    </w:p>
    <w:p w14:paraId="45902113" w14:textId="524F22AD" w:rsidR="000B6464" w:rsidRPr="00615AFD" w:rsidRDefault="006B03CE" w:rsidP="00565603">
      <w:pPr>
        <w:pStyle w:val="JudgmentText"/>
        <w:numPr>
          <w:ilvl w:val="0"/>
          <w:numId w:val="0"/>
        </w:numPr>
        <w:ind w:left="720"/>
        <w:rPr>
          <w:i/>
        </w:rPr>
      </w:pPr>
      <w:r>
        <w:rPr>
          <w:i/>
        </w:rPr>
        <w:tab/>
      </w:r>
      <w:r w:rsidR="000B6464" w:rsidRPr="00615AFD">
        <w:rPr>
          <w:i/>
        </w:rPr>
        <w:t xml:space="preserve">(b) </w:t>
      </w:r>
      <w:proofErr w:type="gramStart"/>
      <w:r w:rsidR="000B6464" w:rsidRPr="00615AFD">
        <w:rPr>
          <w:i/>
        </w:rPr>
        <w:t>inform</w:t>
      </w:r>
      <w:proofErr w:type="gramEnd"/>
      <w:r w:rsidR="000B6464" w:rsidRPr="00615AFD">
        <w:rPr>
          <w:i/>
        </w:rPr>
        <w:t xml:space="preserve"> the applicant that it has refused to</w:t>
      </w:r>
      <w:r w:rsidR="001E6AD0">
        <w:rPr>
          <w:i/>
        </w:rPr>
        <w:t xml:space="preserve"> grant a licence giving the </w:t>
      </w:r>
      <w:r w:rsidR="000B6464" w:rsidRPr="00615AFD">
        <w:rPr>
          <w:i/>
        </w:rPr>
        <w:t xml:space="preserve">reasons for </w:t>
      </w:r>
      <w:r>
        <w:rPr>
          <w:i/>
        </w:rPr>
        <w:tab/>
      </w:r>
      <w:r w:rsidR="000B6464" w:rsidRPr="00615AFD">
        <w:rPr>
          <w:i/>
        </w:rPr>
        <w:t>the refusal:</w:t>
      </w:r>
    </w:p>
    <w:p w14:paraId="4551A314" w14:textId="40F22362" w:rsidR="000B6464" w:rsidRPr="00615AFD" w:rsidRDefault="006B03CE" w:rsidP="00565603">
      <w:pPr>
        <w:pStyle w:val="JudgmentText"/>
        <w:numPr>
          <w:ilvl w:val="0"/>
          <w:numId w:val="0"/>
        </w:numPr>
        <w:ind w:left="720"/>
        <w:rPr>
          <w:i/>
        </w:rPr>
      </w:pPr>
      <w:r>
        <w:rPr>
          <w:i/>
        </w:rPr>
        <w:tab/>
      </w:r>
      <w:r w:rsidR="000B6464" w:rsidRPr="00615AFD">
        <w:rPr>
          <w:i/>
        </w:rPr>
        <w:t>Provided that the Central Bank shall be u</w:t>
      </w:r>
      <w:r w:rsidR="001E6AD0">
        <w:rPr>
          <w:i/>
        </w:rPr>
        <w:t xml:space="preserve">nder no duty to give reasons </w:t>
      </w:r>
      <w:r w:rsidR="000B6464" w:rsidRPr="00615AFD">
        <w:rPr>
          <w:i/>
        </w:rPr>
        <w:t>where —</w:t>
      </w:r>
    </w:p>
    <w:p w14:paraId="67EA138D" w14:textId="749BABCD" w:rsidR="000B6464" w:rsidRPr="00615AFD" w:rsidRDefault="000B6464" w:rsidP="00565603">
      <w:pPr>
        <w:pStyle w:val="JudgmentText"/>
        <w:numPr>
          <w:ilvl w:val="0"/>
          <w:numId w:val="0"/>
        </w:numPr>
        <w:ind w:left="1440"/>
        <w:rPr>
          <w:i/>
        </w:rPr>
      </w:pPr>
      <w:r w:rsidRPr="00615AFD">
        <w:rPr>
          <w:i/>
        </w:rPr>
        <w:t>(</w:t>
      </w:r>
      <w:proofErr w:type="spellStart"/>
      <w:r w:rsidRPr="00615AFD">
        <w:rPr>
          <w:i/>
        </w:rPr>
        <w:t>i</w:t>
      </w:r>
      <w:proofErr w:type="spellEnd"/>
      <w:r w:rsidRPr="00615AFD">
        <w:rPr>
          <w:i/>
        </w:rPr>
        <w:t xml:space="preserve">)  </w:t>
      </w:r>
      <w:proofErr w:type="gramStart"/>
      <w:r w:rsidRPr="00615AFD">
        <w:rPr>
          <w:i/>
        </w:rPr>
        <w:t>it</w:t>
      </w:r>
      <w:proofErr w:type="gramEnd"/>
      <w:r w:rsidRPr="00615AFD">
        <w:rPr>
          <w:i/>
        </w:rPr>
        <w:t xml:space="preserve"> is precluded by law;</w:t>
      </w:r>
    </w:p>
    <w:p w14:paraId="19FCE789" w14:textId="38CE66AB" w:rsidR="000B6464" w:rsidRPr="00591097" w:rsidRDefault="000B6464" w:rsidP="00565603">
      <w:pPr>
        <w:pStyle w:val="JudgmentText"/>
        <w:numPr>
          <w:ilvl w:val="0"/>
          <w:numId w:val="0"/>
        </w:numPr>
        <w:ind w:left="1440"/>
        <w:rPr>
          <w:i/>
          <w:u w:val="single"/>
        </w:rPr>
      </w:pPr>
      <w:r w:rsidRPr="00591097">
        <w:rPr>
          <w:i/>
          <w:u w:val="single"/>
        </w:rPr>
        <w:t>(ii)  information has been disclosed to the Central Bank under conditions of confidentiality between the Central Bank and any public sector agency or law enforcement agency; or</w:t>
      </w:r>
    </w:p>
    <w:p w14:paraId="164B280C" w14:textId="1983512F" w:rsidR="000B6464" w:rsidRPr="00591097" w:rsidRDefault="000B6464" w:rsidP="00565603">
      <w:pPr>
        <w:pStyle w:val="JudgmentText"/>
        <w:numPr>
          <w:ilvl w:val="0"/>
          <w:numId w:val="0"/>
        </w:numPr>
        <w:ind w:left="1440"/>
      </w:pPr>
      <w:r w:rsidRPr="00615AFD">
        <w:rPr>
          <w:i/>
        </w:rPr>
        <w:t xml:space="preserve">(iii) </w:t>
      </w:r>
      <w:proofErr w:type="gramStart"/>
      <w:r w:rsidRPr="00615AFD">
        <w:rPr>
          <w:i/>
        </w:rPr>
        <w:t>information</w:t>
      </w:r>
      <w:proofErr w:type="gramEnd"/>
      <w:r w:rsidRPr="00615AFD">
        <w:rPr>
          <w:i/>
        </w:rPr>
        <w:t xml:space="preserve"> has been disclosed to the Central Bank under conditions of confidentiality between the Central Bank and any other foreign regulatory agency </w:t>
      </w:r>
      <w:r w:rsidR="00615AFD" w:rsidRPr="00615AFD">
        <w:rPr>
          <w:i/>
        </w:rPr>
        <w:t>p</w:t>
      </w:r>
      <w:r w:rsidRPr="00615AFD">
        <w:rPr>
          <w:i/>
        </w:rPr>
        <w:t>ursuant to a memorandum of understanding, an agreement or a treaty entered into by the Central Bank or the Republic of Seychelles.</w:t>
      </w:r>
      <w:r w:rsidR="00565603">
        <w:t xml:space="preserve"> [Emphasis added]</w:t>
      </w:r>
    </w:p>
    <w:p w14:paraId="770FC3C5" w14:textId="38ACCF79" w:rsidR="00B61F6D" w:rsidRDefault="00591097" w:rsidP="00591097">
      <w:pPr>
        <w:pStyle w:val="JudgmentText"/>
      </w:pPr>
      <w:r>
        <w:t>Mr. Shah</w:t>
      </w:r>
      <w:r w:rsidR="001F57A5">
        <w:t>,</w:t>
      </w:r>
      <w:r>
        <w:t xml:space="preserve"> in interpreting section </w:t>
      </w:r>
      <w:r w:rsidRPr="00591097">
        <w:t>6 (3) (b) (ii)</w:t>
      </w:r>
      <w:r>
        <w:t xml:space="preserve"> of the Act</w:t>
      </w:r>
      <w:r w:rsidR="001F57A5">
        <w:t>,</w:t>
      </w:r>
      <w:r>
        <w:t xml:space="preserve"> has stated that it has to be harmoniously constructed with the </w:t>
      </w:r>
      <w:r w:rsidR="00F766D9">
        <w:t>rest</w:t>
      </w:r>
      <w:r>
        <w:t xml:space="preserve"> of the provis</w:t>
      </w:r>
      <w:r w:rsidR="00F766D9">
        <w:t>i</w:t>
      </w:r>
      <w:r>
        <w:t>on</w:t>
      </w:r>
      <w:r w:rsidR="00B61F6D">
        <w:t xml:space="preserve">. In </w:t>
      </w:r>
      <w:r w:rsidR="00686C78">
        <w:t>h</w:t>
      </w:r>
      <w:r w:rsidR="00B61F6D">
        <w:t>is submission</w:t>
      </w:r>
      <w:r w:rsidR="005551F3">
        <w:t>,</w:t>
      </w:r>
      <w:r w:rsidR="00B61F6D">
        <w:t xml:space="preserve"> </w:t>
      </w:r>
      <w:r w:rsidR="008643B7">
        <w:t xml:space="preserve">the thrust of the provision is that </w:t>
      </w:r>
      <w:r w:rsidR="00EB6817">
        <w:t xml:space="preserve">the </w:t>
      </w:r>
      <w:r w:rsidR="008643B7">
        <w:t xml:space="preserve">Bank informs the applicant </w:t>
      </w:r>
      <w:r w:rsidR="00565603">
        <w:t xml:space="preserve">for </w:t>
      </w:r>
      <w:r w:rsidR="008643B7">
        <w:t>a licence</w:t>
      </w:r>
      <w:r w:rsidR="00565603">
        <w:t xml:space="preserve"> of</w:t>
      </w:r>
      <w:r w:rsidR="008643B7">
        <w:t xml:space="preserve"> the reasons for </w:t>
      </w:r>
      <w:r w:rsidR="00EB6817">
        <w:t>its</w:t>
      </w:r>
      <w:r w:rsidR="008643B7">
        <w:t xml:space="preserve"> refusal to grant the same. The proviso only provides that the Bank has no duty to give reasons where the information is given under conditions of confidentiality. In his submission therefore</w:t>
      </w:r>
      <w:r w:rsidR="00EB6817">
        <w:t>,</w:t>
      </w:r>
      <w:r w:rsidR="008643B7">
        <w:t xml:space="preserve"> the purpose of the proviso is to protect the confidentiality of the source of the information and not the information itself. I am not persuaded by this submission for the reasons I </w:t>
      </w:r>
      <w:proofErr w:type="spellStart"/>
      <w:r w:rsidR="008643B7">
        <w:t>expone</w:t>
      </w:r>
      <w:proofErr w:type="spellEnd"/>
      <w:r w:rsidR="008643B7">
        <w:t xml:space="preserve"> below. </w:t>
      </w:r>
    </w:p>
    <w:p w14:paraId="0A72D098" w14:textId="1CEA7DC0" w:rsidR="001473EC" w:rsidRDefault="00B61F6D" w:rsidP="001473EC">
      <w:pPr>
        <w:pStyle w:val="JudgmentText"/>
      </w:pPr>
      <w:r>
        <w:lastRenderedPageBreak/>
        <w:t xml:space="preserve">In </w:t>
      </w:r>
      <w:proofErr w:type="spellStart"/>
      <w:r w:rsidRPr="00912BE5">
        <w:rPr>
          <w:i/>
        </w:rPr>
        <w:t>Intershore</w:t>
      </w:r>
      <w:proofErr w:type="spellEnd"/>
      <w:r w:rsidRPr="00912BE5">
        <w:rPr>
          <w:i/>
        </w:rPr>
        <w:t xml:space="preserve"> Banking Corporation Ltd</w:t>
      </w:r>
      <w:r>
        <w:t xml:space="preserve"> (supra) in considering the disclosure of confidential information when it is statutorily precluded, </w:t>
      </w:r>
      <w:r w:rsidR="00912BE5">
        <w:t>the Court was tasked with considering the nature of such confidential information. I explained that it was my view that by definition</w:t>
      </w:r>
      <w:r w:rsidR="001473EC">
        <w:t xml:space="preserve"> -</w:t>
      </w:r>
    </w:p>
    <w:p w14:paraId="7E21DF75" w14:textId="4AA0C7AE" w:rsidR="00747797" w:rsidRPr="001473EC" w:rsidRDefault="001473EC" w:rsidP="001473EC">
      <w:pPr>
        <w:pStyle w:val="JudgmentText"/>
        <w:numPr>
          <w:ilvl w:val="0"/>
          <w:numId w:val="0"/>
        </w:numPr>
        <w:ind w:left="450"/>
        <w:rPr>
          <w:i/>
        </w:rPr>
      </w:pPr>
      <w:r w:rsidRPr="001473EC">
        <w:rPr>
          <w:i/>
        </w:rPr>
        <w:tab/>
      </w:r>
      <w:r w:rsidR="006B03CE">
        <w:rPr>
          <w:i/>
        </w:rPr>
        <w:t xml:space="preserve">      </w:t>
      </w:r>
      <w:r w:rsidR="006B03CE">
        <w:rPr>
          <w:i/>
        </w:rPr>
        <w:tab/>
      </w:r>
      <w:r w:rsidR="00912BE5" w:rsidRPr="001473EC">
        <w:rPr>
          <w:i/>
        </w:rPr>
        <w:t>“</w:t>
      </w:r>
      <w:proofErr w:type="gramStart"/>
      <w:r w:rsidR="00912BE5" w:rsidRPr="001473EC">
        <w:rPr>
          <w:i/>
        </w:rPr>
        <w:t>confidential</w:t>
      </w:r>
      <w:proofErr w:type="gramEnd"/>
      <w:r w:rsidR="00912BE5" w:rsidRPr="001473EC">
        <w:rPr>
          <w:i/>
        </w:rPr>
        <w:t xml:space="preserve"> information necessarily relate[d] t</w:t>
      </w:r>
      <w:r w:rsidR="007B3D35" w:rsidRPr="001473EC">
        <w:rPr>
          <w:i/>
        </w:rPr>
        <w:t xml:space="preserve">o a communication in writing, </w:t>
      </w:r>
      <w:r w:rsidR="006B03CE">
        <w:rPr>
          <w:i/>
        </w:rPr>
        <w:tab/>
      </w:r>
      <w:r w:rsidR="006B03CE">
        <w:rPr>
          <w:i/>
        </w:rPr>
        <w:tab/>
        <w:t xml:space="preserve">       </w:t>
      </w:r>
      <w:r w:rsidR="006B03CE">
        <w:rPr>
          <w:i/>
        </w:rPr>
        <w:tab/>
        <w:t xml:space="preserve"> </w:t>
      </w:r>
      <w:r w:rsidR="00912BE5" w:rsidRPr="001473EC">
        <w:rPr>
          <w:i/>
        </w:rPr>
        <w:t>visually, electronically or orally made in confidence between the disclo</w:t>
      </w:r>
      <w:r w:rsidR="007B3D35" w:rsidRPr="001473EC">
        <w:rPr>
          <w:i/>
        </w:rPr>
        <w:t xml:space="preserve">ser and the </w:t>
      </w:r>
      <w:r w:rsidR="006B03CE">
        <w:rPr>
          <w:i/>
        </w:rPr>
        <w:tab/>
      </w:r>
      <w:r w:rsidR="006B03CE">
        <w:rPr>
          <w:i/>
        </w:rPr>
        <w:tab/>
        <w:t xml:space="preserve"> </w:t>
      </w:r>
      <w:r w:rsidR="00912BE5" w:rsidRPr="001473EC">
        <w:rPr>
          <w:i/>
        </w:rPr>
        <w:t>recipient(s)”</w:t>
      </w:r>
    </w:p>
    <w:p w14:paraId="3F698BCB" w14:textId="568AC3FA" w:rsidR="00686C78" w:rsidRPr="00686C78" w:rsidRDefault="00686C78" w:rsidP="00686C78">
      <w:pPr>
        <w:pStyle w:val="JudgmentText"/>
      </w:pPr>
      <w:r>
        <w:t>I stated that w</w:t>
      </w:r>
      <w:r w:rsidRPr="00686C78">
        <w:t xml:space="preserve">hilst I recognise the need for access to information and the undesirability of blanket bans on public access to information </w:t>
      </w:r>
      <w:r>
        <w:t xml:space="preserve">there were limitations to that right. </w:t>
      </w:r>
    </w:p>
    <w:p w14:paraId="209DF755" w14:textId="0A07E323" w:rsidR="008A2975" w:rsidRDefault="008A2975" w:rsidP="008A2975">
      <w:pPr>
        <w:pStyle w:val="JudgmentText"/>
      </w:pPr>
      <w:r>
        <w:t xml:space="preserve">I also found, in that case, that where the </w:t>
      </w:r>
      <w:r w:rsidRPr="008A2975">
        <w:t xml:space="preserve">derogation to the right </w:t>
      </w:r>
      <w:r>
        <w:t xml:space="preserve">to information </w:t>
      </w:r>
      <w:r w:rsidRPr="008A2975">
        <w:t xml:space="preserve">exists in law, </w:t>
      </w:r>
      <w:r>
        <w:t>and</w:t>
      </w:r>
      <w:r w:rsidR="007B3D35">
        <w:t xml:space="preserve"> a</w:t>
      </w:r>
      <w:r>
        <w:t xml:space="preserve"> party seeks to have access to the information deemed confidential, </w:t>
      </w:r>
      <w:r w:rsidRPr="008A2975">
        <w:t>the</w:t>
      </w:r>
      <w:r>
        <w:t xml:space="preserve"> Court cannot interfere </w:t>
      </w:r>
      <w:r w:rsidRPr="008A2975">
        <w:t xml:space="preserve">with the decision of </w:t>
      </w:r>
      <w:r w:rsidR="007B3D35">
        <w:t xml:space="preserve">the Central </w:t>
      </w:r>
      <w:r w:rsidRPr="008A2975">
        <w:t>Bank in its exercise of its discretion</w:t>
      </w:r>
      <w:r>
        <w:t xml:space="preserve"> whether or not the case comes by way of judicial review or by appeal under the provisions of the Act.</w:t>
      </w:r>
    </w:p>
    <w:p w14:paraId="4518A032" w14:textId="69772AE6" w:rsidR="008A2975" w:rsidRDefault="008A2975" w:rsidP="008A2975">
      <w:pPr>
        <w:pStyle w:val="JudgmentText"/>
      </w:pPr>
      <w:r>
        <w:t xml:space="preserve">I </w:t>
      </w:r>
      <w:r w:rsidR="00EB6817">
        <w:t>held</w:t>
      </w:r>
      <w:r>
        <w:t xml:space="preserve"> that in any case the confidential information did not form part of the record of proceedings </w:t>
      </w:r>
      <w:r w:rsidR="00686C78">
        <w:t>pursuant to civil procedure rules in Seychelles, the Courts Act</w:t>
      </w:r>
      <w:r w:rsidR="00247424">
        <w:t>,</w:t>
      </w:r>
      <w:r w:rsidR="00686C78">
        <w:t xml:space="preserve"> and those of England and Wales which operate when our provisions are silent. </w:t>
      </w:r>
    </w:p>
    <w:p w14:paraId="200B4B05" w14:textId="1BB5A83A" w:rsidR="00EB6817" w:rsidRDefault="00D46A65" w:rsidP="001F3F0E">
      <w:pPr>
        <w:pStyle w:val="JudgmentText"/>
      </w:pPr>
      <w:r>
        <w:t>Let me say at the outset that in</w:t>
      </w:r>
      <w:r w:rsidR="008D267D">
        <w:t xml:space="preserve"> terms of </w:t>
      </w:r>
      <w:r>
        <w:t xml:space="preserve">disclosure of </w:t>
      </w:r>
      <w:r w:rsidR="008D267D">
        <w:t xml:space="preserve">confidential information generally, </w:t>
      </w:r>
      <w:r>
        <w:t xml:space="preserve">rules of </w:t>
      </w:r>
      <w:r w:rsidR="00EB6817">
        <w:t xml:space="preserve">both </w:t>
      </w:r>
      <w:r>
        <w:t>common law and statute exist</w:t>
      </w:r>
      <w:r w:rsidR="00EB6817" w:rsidRPr="00EB6817">
        <w:rPr>
          <w:rStyle w:val="Heading4Char"/>
          <w:rFonts w:ascii="Arial" w:hAnsi="Arial" w:cs="Arial"/>
          <w:color w:val="878787"/>
        </w:rPr>
        <w:t xml:space="preserve"> </w:t>
      </w:r>
      <w:r w:rsidR="00EB6817" w:rsidRPr="00EB6817">
        <w:rPr>
          <w:shd w:val="clear" w:color="auto" w:fill="FFFFFF"/>
        </w:rPr>
        <w:t>contemporaneously</w:t>
      </w:r>
      <w:r w:rsidR="00EB6817">
        <w:t xml:space="preserve"> but exclusive</w:t>
      </w:r>
      <w:r w:rsidR="00247424">
        <w:t>ly</w:t>
      </w:r>
      <w:r w:rsidR="00EB6817">
        <w:t xml:space="preserve"> of each other</w:t>
      </w:r>
      <w:r>
        <w:t xml:space="preserve">. </w:t>
      </w:r>
    </w:p>
    <w:p w14:paraId="5BE9158C" w14:textId="53DF267F" w:rsidR="001F3F0E" w:rsidRDefault="00E148BE" w:rsidP="001F3F0E">
      <w:pPr>
        <w:pStyle w:val="JudgmentText"/>
      </w:pPr>
      <w:r>
        <w:rPr>
          <w:lang w:val="en-US"/>
        </w:rPr>
        <w:t xml:space="preserve">This topic is relatively untraversed by the laws of Seychelles. In terms of </w:t>
      </w:r>
      <w:r>
        <w:t>Article 28 of the Constitution, e</w:t>
      </w:r>
      <w:r w:rsidR="00047C58">
        <w:t xml:space="preserve">ach person has </w:t>
      </w:r>
      <w:r w:rsidR="005E7271">
        <w:t xml:space="preserve">a </w:t>
      </w:r>
      <w:r w:rsidR="00047C58">
        <w:t>constitutional right to access information relating</w:t>
      </w:r>
      <w:r>
        <w:t xml:space="preserve"> to</w:t>
      </w:r>
      <w:r w:rsidR="00047C58">
        <w:t xml:space="preserve"> </w:t>
      </w:r>
      <w:r w:rsidR="00047C58">
        <w:rPr>
          <w:lang w:val="en-US"/>
        </w:rPr>
        <w:t>that person which is held by a public authority</w:t>
      </w:r>
      <w:r>
        <w:t>. This right may be limited by law to meet the needs of a society.</w:t>
      </w:r>
      <w:r w:rsidR="00047C58">
        <w:t xml:space="preserve"> </w:t>
      </w:r>
      <w:r>
        <w:t xml:space="preserve">However, </w:t>
      </w:r>
      <w:r w:rsidR="00047C58">
        <w:t xml:space="preserve">there is little </w:t>
      </w:r>
      <w:r>
        <w:t>jurisprudence developing this law in practice</w:t>
      </w:r>
      <w:r w:rsidR="00047C58">
        <w:t xml:space="preserve">, and therefore </w:t>
      </w:r>
      <w:r>
        <w:t xml:space="preserve">for general principles </w:t>
      </w:r>
      <w:r w:rsidR="00047C58">
        <w:t>we look to English law</w:t>
      </w:r>
      <w:r>
        <w:t xml:space="preserve">. </w:t>
      </w:r>
      <w:r w:rsidR="00D46A65">
        <w:t>There i</w:t>
      </w:r>
      <w:r w:rsidR="006D42FA">
        <w:t xml:space="preserve">s a common law right to access to information when </w:t>
      </w:r>
      <w:r w:rsidR="006D42FA" w:rsidRPr="006D42FA">
        <w:t xml:space="preserve">there </w:t>
      </w:r>
      <w:r w:rsidR="006D42FA">
        <w:t>is</w:t>
      </w:r>
      <w:r w:rsidR="006D42FA" w:rsidRPr="006D42FA">
        <w:t xml:space="preserve"> </w:t>
      </w:r>
      <w:r w:rsidR="00D46A65" w:rsidRPr="006D42FA">
        <w:t>a genuine</w:t>
      </w:r>
      <w:r w:rsidR="006D42FA" w:rsidRPr="006D42FA">
        <w:t xml:space="preserve"> public interest for it to be disclosed.</w:t>
      </w:r>
      <w:r w:rsidR="00D46A65">
        <w:t xml:space="preserve"> </w:t>
      </w:r>
      <w:r w:rsidR="001F3F0E">
        <w:t xml:space="preserve">There are certain limitations to that right. </w:t>
      </w:r>
      <w:r w:rsidR="00D46A65">
        <w:t>Non-disclosure in this regard, is subject to judicial review</w:t>
      </w:r>
      <w:r w:rsidR="001F3F0E">
        <w:t xml:space="preserve"> where the court balances the interest of the parties </w:t>
      </w:r>
      <w:r w:rsidR="001F3F0E">
        <w:lastRenderedPageBreak/>
        <w:t>concerned with that of the public and considers other relevant factors.</w:t>
      </w:r>
      <w:r w:rsidR="001F3F0E" w:rsidRPr="008643B7">
        <w:t xml:space="preserve"> </w:t>
      </w:r>
      <w:r w:rsidR="00D46A65" w:rsidRPr="008643B7">
        <w:t>In</w:t>
      </w:r>
      <w:r w:rsidR="00D46A65" w:rsidRPr="001F3F0E">
        <w:rPr>
          <w:i/>
        </w:rPr>
        <w:t xml:space="preserve">  Kennedy v The Charity Commission </w:t>
      </w:r>
      <w:r w:rsidR="00D46A65" w:rsidRPr="00D46A65">
        <w:t>[2014] UKSC 20</w:t>
      </w:r>
      <w:r w:rsidR="00D46A65">
        <w:t xml:space="preserve"> Lord </w:t>
      </w:r>
      <w:proofErr w:type="spellStart"/>
      <w:r w:rsidR="00D46A65">
        <w:t>Toulson</w:t>
      </w:r>
      <w:proofErr w:type="spellEnd"/>
      <w:r w:rsidR="00D46A65">
        <w:t xml:space="preserve"> opined that</w:t>
      </w:r>
      <w:r w:rsidR="001F3F0E">
        <w:t>:</w:t>
      </w:r>
    </w:p>
    <w:p w14:paraId="4CB57AB1" w14:textId="2ACFB3F3" w:rsidR="001F3F0E" w:rsidRDefault="006B03CE" w:rsidP="0048569B">
      <w:pPr>
        <w:pStyle w:val="JudgmentText"/>
        <w:numPr>
          <w:ilvl w:val="0"/>
          <w:numId w:val="0"/>
        </w:numPr>
        <w:ind w:left="900"/>
        <w:rPr>
          <w:i/>
        </w:rPr>
      </w:pPr>
      <w:r>
        <w:rPr>
          <w:i/>
        </w:rPr>
        <w:tab/>
        <w:t>“</w:t>
      </w:r>
      <w:r w:rsidR="001F3F0E" w:rsidRPr="001F3F0E">
        <w:rPr>
          <w:i/>
        </w:rPr>
        <w:t>It has long been recognised that judicial proce</w:t>
      </w:r>
      <w:r w:rsidR="00247424">
        <w:rPr>
          <w:i/>
        </w:rPr>
        <w:t xml:space="preserve">sses should be open to public </w:t>
      </w:r>
      <w:r>
        <w:rPr>
          <w:i/>
        </w:rPr>
        <w:tab/>
      </w:r>
      <w:r w:rsidR="001F3F0E" w:rsidRPr="001F3F0E">
        <w:rPr>
          <w:i/>
        </w:rPr>
        <w:t xml:space="preserve">scrutiny unless and to the extent that there are valid countervailing reasons. This </w:t>
      </w:r>
      <w:r>
        <w:rPr>
          <w:i/>
        </w:rPr>
        <w:tab/>
      </w:r>
      <w:r w:rsidR="001F3F0E" w:rsidRPr="001F3F0E">
        <w:rPr>
          <w:i/>
        </w:rPr>
        <w:t>is the open justice principle. The reasons for it have been stated on</w:t>
      </w:r>
      <w:r w:rsidR="00247424">
        <w:rPr>
          <w:i/>
        </w:rPr>
        <w:t xml:space="preserve"> many occasions. </w:t>
      </w:r>
      <w:r>
        <w:rPr>
          <w:i/>
        </w:rPr>
        <w:tab/>
      </w:r>
      <w:r w:rsidR="001F3F0E" w:rsidRPr="001F3F0E">
        <w:rPr>
          <w:i/>
        </w:rPr>
        <w:t>Letting in the light is the best way of keeping those re</w:t>
      </w:r>
      <w:r w:rsidR="00247424">
        <w:rPr>
          <w:i/>
        </w:rPr>
        <w:t xml:space="preserve">sponsible for exercising the </w:t>
      </w:r>
      <w:r>
        <w:rPr>
          <w:i/>
        </w:rPr>
        <w:tab/>
      </w:r>
      <w:r w:rsidR="001F3F0E" w:rsidRPr="001F3F0E">
        <w:rPr>
          <w:i/>
        </w:rPr>
        <w:t>judicial power of the state up to the mark and for ma</w:t>
      </w:r>
      <w:r w:rsidR="00247424">
        <w:rPr>
          <w:i/>
        </w:rPr>
        <w:t xml:space="preserve">intaining public confidence: </w:t>
      </w:r>
      <w:r>
        <w:rPr>
          <w:i/>
        </w:rPr>
        <w:tab/>
      </w:r>
      <w:r w:rsidR="001F3F0E" w:rsidRPr="001F3F0E">
        <w:rPr>
          <w:i/>
        </w:rPr>
        <w:t>Scott v Scott [1913] AC 417; R (Guardian News and Media Ltd) v C</w:t>
      </w:r>
      <w:r w:rsidR="00247424">
        <w:rPr>
          <w:i/>
        </w:rPr>
        <w:t xml:space="preserve">ity of </w:t>
      </w:r>
      <w:r>
        <w:rPr>
          <w:i/>
        </w:rPr>
        <w:tab/>
      </w:r>
      <w:r w:rsidR="001F3F0E" w:rsidRPr="001F3F0E">
        <w:rPr>
          <w:i/>
        </w:rPr>
        <w:t>Westminster Magistrates’ Court (Article 19 inte</w:t>
      </w:r>
      <w:r w:rsidR="00247424">
        <w:rPr>
          <w:i/>
        </w:rPr>
        <w:t xml:space="preserve">rvening)[2012] EWCA </w:t>
      </w:r>
      <w:proofErr w:type="spellStart"/>
      <w:r w:rsidR="00247424">
        <w:rPr>
          <w:i/>
        </w:rPr>
        <w:t>Civ</w:t>
      </w:r>
      <w:proofErr w:type="spellEnd"/>
      <w:r w:rsidR="00247424">
        <w:rPr>
          <w:i/>
        </w:rPr>
        <w:t xml:space="preserve"> 420; </w:t>
      </w:r>
      <w:r>
        <w:rPr>
          <w:i/>
        </w:rPr>
        <w:tab/>
      </w:r>
      <w:r w:rsidR="001F3F0E" w:rsidRPr="001F3F0E">
        <w:rPr>
          <w:i/>
        </w:rPr>
        <w:t>[2013] QB 618.</w:t>
      </w:r>
    </w:p>
    <w:p w14:paraId="13CECD54" w14:textId="6085AAA2" w:rsidR="008D267D" w:rsidRPr="001F3F0E" w:rsidRDefault="006B03CE" w:rsidP="0048569B">
      <w:pPr>
        <w:pStyle w:val="JudgmentText"/>
        <w:numPr>
          <w:ilvl w:val="0"/>
          <w:numId w:val="0"/>
        </w:numPr>
        <w:ind w:left="900"/>
        <w:rPr>
          <w:i/>
        </w:rPr>
      </w:pPr>
      <w:r>
        <w:rPr>
          <w:i/>
        </w:rPr>
        <w:tab/>
      </w:r>
      <w:r w:rsidR="001F3F0E" w:rsidRPr="001F3F0E">
        <w:rPr>
          <w:i/>
        </w:rPr>
        <w:t>… There may be many reasons why public access to</w:t>
      </w:r>
      <w:r w:rsidR="00247424">
        <w:rPr>
          <w:i/>
        </w:rPr>
        <w:t xml:space="preserve"> certain information about the </w:t>
      </w:r>
      <w:r>
        <w:rPr>
          <w:i/>
        </w:rPr>
        <w:tab/>
      </w:r>
      <w:r w:rsidR="001F3F0E" w:rsidRPr="001F3F0E">
        <w:rPr>
          <w:i/>
        </w:rPr>
        <w:t>court proceedings should be denied, limited or postponed. The inform</w:t>
      </w:r>
      <w:r w:rsidR="00247424">
        <w:rPr>
          <w:i/>
        </w:rPr>
        <w:t xml:space="preserve">ation may be </w:t>
      </w:r>
      <w:r>
        <w:rPr>
          <w:i/>
        </w:rPr>
        <w:tab/>
      </w:r>
      <w:r w:rsidR="001F3F0E" w:rsidRPr="001F3F0E">
        <w:rPr>
          <w:i/>
        </w:rPr>
        <w:t xml:space="preserve">confidential; it may relate to a person with a particular </w:t>
      </w:r>
      <w:r w:rsidR="00247424">
        <w:rPr>
          <w:i/>
        </w:rPr>
        <w:t xml:space="preserve">vulnerability; its disclosure </w:t>
      </w:r>
      <w:r>
        <w:rPr>
          <w:i/>
        </w:rPr>
        <w:tab/>
      </w:r>
      <w:r w:rsidR="001F3F0E" w:rsidRPr="001F3F0E">
        <w:rPr>
          <w:i/>
        </w:rPr>
        <w:t xml:space="preserve">might impede the judicial process; it may concern allegations against other persons </w:t>
      </w:r>
      <w:r>
        <w:rPr>
          <w:i/>
        </w:rPr>
        <w:tab/>
      </w:r>
      <w:r w:rsidR="001F3F0E" w:rsidRPr="001F3F0E">
        <w:rPr>
          <w:i/>
        </w:rPr>
        <w:t>which have not been explored and could be potentially damaging to</w:t>
      </w:r>
      <w:r w:rsidR="00247424">
        <w:rPr>
          <w:i/>
        </w:rPr>
        <w:t xml:space="preserve"> them; it may </w:t>
      </w:r>
      <w:r>
        <w:rPr>
          <w:i/>
        </w:rPr>
        <w:tab/>
      </w:r>
      <w:r w:rsidR="001F3F0E" w:rsidRPr="001F3F0E">
        <w:rPr>
          <w:i/>
        </w:rPr>
        <w:t>be of such peripheral, if any, relevance to the judic</w:t>
      </w:r>
      <w:r w:rsidR="00247424">
        <w:rPr>
          <w:i/>
        </w:rPr>
        <w:t xml:space="preserve">ial process that it would be </w:t>
      </w:r>
      <w:r>
        <w:rPr>
          <w:i/>
        </w:rPr>
        <w:tab/>
      </w:r>
      <w:r w:rsidR="001F3F0E" w:rsidRPr="001F3F0E">
        <w:rPr>
          <w:i/>
        </w:rPr>
        <w:t>disproportionate to require its disclosure; and these are only a few examples.</w:t>
      </w:r>
      <w:r w:rsidR="00414245">
        <w:rPr>
          <w:i/>
        </w:rPr>
        <w:t>”</w:t>
      </w:r>
      <w:r w:rsidR="001F3F0E" w:rsidRPr="001F3F0E">
        <w:rPr>
          <w:i/>
        </w:rPr>
        <w:t xml:space="preserve"> </w:t>
      </w:r>
      <w:r w:rsidR="00414245">
        <w:rPr>
          <w:i/>
        </w:rPr>
        <w:tab/>
      </w:r>
      <w:r w:rsidR="00D46A65" w:rsidRPr="001F3F0E">
        <w:t>[109-</w:t>
      </w:r>
      <w:r>
        <w:tab/>
      </w:r>
      <w:r w:rsidR="00D46A65" w:rsidRPr="001F3F0E">
        <w:t>1</w:t>
      </w:r>
      <w:r w:rsidR="001F3F0E">
        <w:t>15</w:t>
      </w:r>
      <w:r w:rsidR="00D46A65" w:rsidRPr="001F3F0E">
        <w:t>]</w:t>
      </w:r>
    </w:p>
    <w:p w14:paraId="30B58624" w14:textId="7E7A8524" w:rsidR="001F3F0E" w:rsidRDefault="001F3F0E" w:rsidP="00EE02C9">
      <w:pPr>
        <w:pStyle w:val="JudgmentText"/>
      </w:pPr>
      <w:r>
        <w:t xml:space="preserve">Lord </w:t>
      </w:r>
      <w:proofErr w:type="spellStart"/>
      <w:r>
        <w:t>Toulson</w:t>
      </w:r>
      <w:proofErr w:type="spellEnd"/>
      <w:r w:rsidRPr="001F3F0E">
        <w:t xml:space="preserve"> </w:t>
      </w:r>
      <w:r>
        <w:t>went on to state that t</w:t>
      </w:r>
      <w:r w:rsidRPr="001F3F0E">
        <w:t xml:space="preserve">hese underlying considerations apply to </w:t>
      </w:r>
      <w:r w:rsidR="00EE02C9">
        <w:t>any t</w:t>
      </w:r>
      <w:r w:rsidR="00EE02C9" w:rsidRPr="00EE02C9">
        <w:t>ribunal or body exercising the judicial power of the State</w:t>
      </w:r>
      <w:r w:rsidRPr="001F3F0E">
        <w:t>.</w:t>
      </w:r>
      <w:r>
        <w:t xml:space="preserve"> </w:t>
      </w:r>
    </w:p>
    <w:p w14:paraId="7E7832F7" w14:textId="77777777" w:rsidR="009F7EBB" w:rsidRDefault="00EE02C9" w:rsidP="009F7EBB">
      <w:pPr>
        <w:pStyle w:val="JudgmentText"/>
        <w:spacing w:after="0"/>
      </w:pPr>
      <w:r>
        <w:t xml:space="preserve">In </w:t>
      </w:r>
      <w:r w:rsidRPr="00EE02C9">
        <w:rPr>
          <w:i/>
        </w:rPr>
        <w:t>R (Perry) v London Borough of Hackney [2014] EWHC 3499 (Admin)</w:t>
      </w:r>
      <w:r w:rsidR="00FD6F53">
        <w:t xml:space="preserve"> the Court again had to consider the right to be informed as balanced with claims of confidentiality. </w:t>
      </w:r>
      <w:proofErr w:type="spellStart"/>
      <w:r w:rsidR="009F7EBB">
        <w:t>Mrs.</w:t>
      </w:r>
      <w:proofErr w:type="spellEnd"/>
      <w:r w:rsidR="009F7EBB">
        <w:t xml:space="preserve"> Justice Paterson stated: </w:t>
      </w:r>
    </w:p>
    <w:p w14:paraId="3D52A220" w14:textId="1A3A016B" w:rsidR="00EE02C9" w:rsidRPr="009F7EBB" w:rsidRDefault="00EE02C9" w:rsidP="00A81304">
      <w:pPr>
        <w:pStyle w:val="JudgmentText"/>
        <w:numPr>
          <w:ilvl w:val="0"/>
          <w:numId w:val="0"/>
        </w:numPr>
        <w:spacing w:after="0"/>
        <w:ind w:left="900"/>
        <w:rPr>
          <w:i/>
        </w:rPr>
      </w:pPr>
      <w:r w:rsidRPr="009F7EBB">
        <w:rPr>
          <w:i/>
        </w:rPr>
        <w:cr/>
      </w:r>
      <w:r w:rsidR="007D6D82">
        <w:t xml:space="preserve"> </w:t>
      </w:r>
      <w:r w:rsidR="00414245">
        <w:tab/>
      </w:r>
      <w:r w:rsidR="009F7EBB" w:rsidRPr="009F7EBB">
        <w:rPr>
          <w:i/>
        </w:rPr>
        <w:t xml:space="preserve">“The </w:t>
      </w:r>
      <w:r w:rsidR="007D6D82" w:rsidRPr="009F7EBB">
        <w:rPr>
          <w:i/>
        </w:rPr>
        <w:t xml:space="preserve">scope of the duty of confidentiality may vary from one case to another </w:t>
      </w:r>
      <w:r w:rsidR="00414245">
        <w:rPr>
          <w:i/>
        </w:rPr>
        <w:tab/>
      </w:r>
      <w:r w:rsidR="007D6D82" w:rsidRPr="009F7EBB">
        <w:rPr>
          <w:i/>
        </w:rPr>
        <w:t xml:space="preserve">according to the circumstance in which, and the purpose for which, the material </w:t>
      </w:r>
      <w:r w:rsidR="00414245">
        <w:rPr>
          <w:i/>
        </w:rPr>
        <w:tab/>
      </w:r>
      <w:r w:rsidR="007D6D82" w:rsidRPr="009F7EBB">
        <w:rPr>
          <w:i/>
        </w:rPr>
        <w:t xml:space="preserve">was obtained. But, in the circumstances here, where the information was provided </w:t>
      </w:r>
      <w:r w:rsidR="00414245">
        <w:rPr>
          <w:i/>
        </w:rPr>
        <w:tab/>
      </w:r>
      <w:r w:rsidR="007D6D82" w:rsidRPr="009F7EBB">
        <w:rPr>
          <w:i/>
        </w:rPr>
        <w:t>and received on the reasonable basis that it would be treated confidentially</w:t>
      </w:r>
      <w:r w:rsidR="00A81304">
        <w:rPr>
          <w:i/>
        </w:rPr>
        <w:t xml:space="preserve"> and </w:t>
      </w:r>
      <w:r w:rsidR="00414245">
        <w:rPr>
          <w:i/>
        </w:rPr>
        <w:lastRenderedPageBreak/>
        <w:tab/>
      </w:r>
      <w:r w:rsidR="009F7EBB" w:rsidRPr="009F7EBB">
        <w:rPr>
          <w:i/>
        </w:rPr>
        <w:t>concerned matters of commercial sensitivity I have n</w:t>
      </w:r>
      <w:r w:rsidR="00A81304">
        <w:rPr>
          <w:i/>
        </w:rPr>
        <w:t xml:space="preserve">o doubt that it should be so </w:t>
      </w:r>
      <w:r w:rsidR="00414245">
        <w:rPr>
          <w:i/>
        </w:rPr>
        <w:tab/>
      </w:r>
      <w:r w:rsidR="009F7EBB" w:rsidRPr="009F7EBB">
        <w:rPr>
          <w:i/>
        </w:rPr>
        <w:t>treated…</w:t>
      </w:r>
    </w:p>
    <w:p w14:paraId="577D084C" w14:textId="64B6DA9A" w:rsidR="007D6D82" w:rsidRPr="009F7EBB" w:rsidRDefault="00414245" w:rsidP="00A81304">
      <w:pPr>
        <w:pStyle w:val="JudgmentText"/>
        <w:numPr>
          <w:ilvl w:val="0"/>
          <w:numId w:val="0"/>
        </w:numPr>
        <w:ind w:left="900"/>
        <w:rPr>
          <w:i/>
        </w:rPr>
      </w:pPr>
      <w:r>
        <w:rPr>
          <w:i/>
        </w:rPr>
        <w:tab/>
      </w:r>
      <w:r w:rsidR="00E30C2D" w:rsidRPr="009F7EBB">
        <w:rPr>
          <w:i/>
        </w:rPr>
        <w:t xml:space="preserve">It follows that although there is a common law right to have access to documents it </w:t>
      </w:r>
      <w:r>
        <w:rPr>
          <w:i/>
        </w:rPr>
        <w:tab/>
      </w:r>
      <w:r w:rsidR="00E30C2D" w:rsidRPr="009F7EBB">
        <w:rPr>
          <w:i/>
        </w:rPr>
        <w:t>is not without limitation.”</w:t>
      </w:r>
      <w:r w:rsidR="009F7EBB">
        <w:rPr>
          <w:i/>
        </w:rPr>
        <w:t xml:space="preserve"> </w:t>
      </w:r>
      <w:r w:rsidR="009F7EBB" w:rsidRPr="009F7EBB">
        <w:t>[49-59]</w:t>
      </w:r>
    </w:p>
    <w:p w14:paraId="1B82A566" w14:textId="514942C3" w:rsidR="009F7EBB" w:rsidRDefault="009F7EBB" w:rsidP="008B4756">
      <w:pPr>
        <w:pStyle w:val="JudgmentText"/>
      </w:pPr>
      <w:r>
        <w:t xml:space="preserve">There are numerous other </w:t>
      </w:r>
      <w:r w:rsidR="008B4756">
        <w:t xml:space="preserve">authorities </w:t>
      </w:r>
      <w:r>
        <w:t>in r</w:t>
      </w:r>
      <w:r w:rsidR="008B4756">
        <w:t>e</w:t>
      </w:r>
      <w:r>
        <w:t>l</w:t>
      </w:r>
      <w:r w:rsidR="008B4756">
        <w:t>a</w:t>
      </w:r>
      <w:r>
        <w:t xml:space="preserve">tion </w:t>
      </w:r>
      <w:r w:rsidR="008B4756">
        <w:t>to</w:t>
      </w:r>
      <w:r>
        <w:t xml:space="preserve"> the </w:t>
      </w:r>
      <w:r w:rsidR="008B4756">
        <w:t>confidentiality</w:t>
      </w:r>
      <w:r>
        <w:t xml:space="preserve"> balance </w:t>
      </w:r>
      <w:r w:rsidR="008B4756">
        <w:t>in common law</w:t>
      </w:r>
      <w:r w:rsidR="005551F3">
        <w:t>,</w:t>
      </w:r>
      <w:r w:rsidR="008B4756">
        <w:t xml:space="preserve"> namely</w:t>
      </w:r>
      <w:r>
        <w:t xml:space="preserve">: </w:t>
      </w:r>
      <w:r w:rsidRPr="008B4756">
        <w:rPr>
          <w:i/>
        </w:rPr>
        <w:t>R (English) v East St</w:t>
      </w:r>
      <w:r w:rsidR="008B4756" w:rsidRPr="008B4756">
        <w:rPr>
          <w:i/>
        </w:rPr>
        <w:t>a</w:t>
      </w:r>
      <w:r w:rsidRPr="008B4756">
        <w:rPr>
          <w:i/>
        </w:rPr>
        <w:t>ff</w:t>
      </w:r>
      <w:r w:rsidR="008B4756" w:rsidRPr="008B4756">
        <w:rPr>
          <w:i/>
        </w:rPr>
        <w:t>ord</w:t>
      </w:r>
      <w:r w:rsidRPr="008B4756">
        <w:rPr>
          <w:i/>
        </w:rPr>
        <w:t xml:space="preserve">shire Borough </w:t>
      </w:r>
      <w:r w:rsidR="008B4756" w:rsidRPr="008B4756">
        <w:rPr>
          <w:i/>
        </w:rPr>
        <w:t>C</w:t>
      </w:r>
      <w:r w:rsidRPr="008B4756">
        <w:rPr>
          <w:i/>
        </w:rPr>
        <w:t>ouncil</w:t>
      </w:r>
      <w:r>
        <w:t xml:space="preserve"> [2010] EWHC2744 (</w:t>
      </w:r>
      <w:r w:rsidR="008B4756">
        <w:t>A</w:t>
      </w:r>
      <w:r>
        <w:t>dmin</w:t>
      </w:r>
      <w:r w:rsidRPr="008B4756">
        <w:rPr>
          <w:i/>
        </w:rPr>
        <w:t>)</w:t>
      </w:r>
      <w:r w:rsidR="008B4756" w:rsidRPr="008B4756">
        <w:rPr>
          <w:i/>
        </w:rPr>
        <w:t>;</w:t>
      </w:r>
      <w:r w:rsidRPr="008B4756">
        <w:rPr>
          <w:i/>
        </w:rPr>
        <w:t xml:space="preserve"> </w:t>
      </w:r>
      <w:r w:rsidR="008B4756" w:rsidRPr="008B4756">
        <w:rPr>
          <w:i/>
        </w:rPr>
        <w:t>R v Secretary of State for the Home Department , ex p Kingdom of Belgium</w:t>
      </w:r>
      <w:r w:rsidR="008B4756">
        <w:t xml:space="preserve"> 15 February 200 </w:t>
      </w:r>
      <w:proofErr w:type="spellStart"/>
      <w:r w:rsidR="008B4756">
        <w:t>unrep</w:t>
      </w:r>
      <w:proofErr w:type="spellEnd"/>
      <w:r w:rsidR="008B4756">
        <w:t xml:space="preserve">;  </w:t>
      </w:r>
      <w:r w:rsidR="008B4756" w:rsidRPr="008B4756">
        <w:rPr>
          <w:i/>
        </w:rPr>
        <w:t>R (Gunn-Russo) v Nugent Care Society</w:t>
      </w:r>
      <w:r w:rsidR="008B4756">
        <w:t xml:space="preserve"> [2001] EWHC Admin 566; </w:t>
      </w:r>
      <w:r w:rsidR="008B4756" w:rsidRPr="008B4756">
        <w:rPr>
          <w:i/>
        </w:rPr>
        <w:t>R v Secretary of State for the Home Department, ex</w:t>
      </w:r>
      <w:r w:rsidR="008B4756">
        <w:rPr>
          <w:i/>
        </w:rPr>
        <w:t xml:space="preserve"> </w:t>
      </w:r>
      <w:r w:rsidR="008B4756" w:rsidRPr="008B4756">
        <w:rPr>
          <w:i/>
        </w:rPr>
        <w:t>p Gallagher</w:t>
      </w:r>
      <w:r w:rsidR="008B4756">
        <w:t xml:space="preserve"> [1996]1 CMLR557; </w:t>
      </w:r>
      <w:r w:rsidR="008B4756" w:rsidRPr="008B4756">
        <w:rPr>
          <w:i/>
        </w:rPr>
        <w:t xml:space="preserve">R v Secretary of State for the Home Department, ex p </w:t>
      </w:r>
      <w:proofErr w:type="spellStart"/>
      <w:r w:rsidR="008B4756" w:rsidRPr="008B4756">
        <w:rPr>
          <w:i/>
        </w:rPr>
        <w:t>Mulkerrins</w:t>
      </w:r>
      <w:proofErr w:type="spellEnd"/>
      <w:r w:rsidR="008B4756">
        <w:t xml:space="preserve"> [1998] COD 235. The common law principles enunciated in those cases is that </w:t>
      </w:r>
      <w:r w:rsidR="005551F3">
        <w:t xml:space="preserve">generally </w:t>
      </w:r>
      <w:r w:rsidR="008B4756">
        <w:t xml:space="preserve">when the public interest in disclosure is greater than the public interest in confidentiality then disclosure must be allowed. </w:t>
      </w:r>
      <w:r w:rsidR="007512F7">
        <w:t xml:space="preserve">The reviewing powers of the court will vary from case to case depending on the specific circumstances. </w:t>
      </w:r>
    </w:p>
    <w:p w14:paraId="53697013" w14:textId="2787B211" w:rsidR="007512F7" w:rsidRDefault="008B3D81" w:rsidP="00101C00">
      <w:pPr>
        <w:pStyle w:val="JudgmentText"/>
      </w:pPr>
      <w:r>
        <w:t xml:space="preserve">These common law principles buttress the right to information and operate even in the absence of Freedom to Information legislation. However, with </w:t>
      </w:r>
      <w:r w:rsidR="00101C00">
        <w:t xml:space="preserve">regard to the preclusion of </w:t>
      </w:r>
      <w:r w:rsidR="00711E86">
        <w:t>disclosure of</w:t>
      </w:r>
      <w:r>
        <w:t xml:space="preserve"> confidential information </w:t>
      </w:r>
      <w:r w:rsidR="00101C00">
        <w:t>by statute, the situation is clearly different.</w:t>
      </w:r>
      <w:r w:rsidR="004C1E20">
        <w:t xml:space="preserve"> It is trite that common law principles cannot overrule statutory provisions. </w:t>
      </w:r>
      <w:r w:rsidR="0048569B">
        <w:t xml:space="preserve"> </w:t>
      </w:r>
      <w:r w:rsidR="00B92E54">
        <w:t xml:space="preserve">The legislature has specified that there is no requirement to provide reasons where confidential information has been relied on. </w:t>
      </w:r>
      <w:r w:rsidR="00101C00">
        <w:t xml:space="preserve">The presumption to the right of information </w:t>
      </w:r>
      <w:r w:rsidR="00711E86">
        <w:t xml:space="preserve">is </w:t>
      </w:r>
      <w:r w:rsidR="004C1E20">
        <w:t xml:space="preserve">therefore </w:t>
      </w:r>
      <w:r w:rsidR="00711E86">
        <w:t>qualified</w:t>
      </w:r>
      <w:r w:rsidR="00101C00">
        <w:t xml:space="preserve">. This is clear from the wording in section </w:t>
      </w:r>
      <w:r w:rsidR="00101C00" w:rsidRPr="00101C00">
        <w:t>6 (3) (b) (ii) of the Act</w:t>
      </w:r>
      <w:r w:rsidR="00101C00">
        <w:t>.</w:t>
      </w:r>
      <w:r w:rsidR="00711E86">
        <w:t xml:space="preserve"> The</w:t>
      </w:r>
      <w:r w:rsidR="00A81304">
        <w:t xml:space="preserve"> Central </w:t>
      </w:r>
      <w:r w:rsidR="00711E86">
        <w:t>Bank only has to inform the party that the information is given under conditions of confidentiality to preclude its disclosure</w:t>
      </w:r>
      <w:r w:rsidR="004C1E20">
        <w:t xml:space="preserve"> and an aggrieved party has no recourse in the light of that provision</w:t>
      </w:r>
      <w:r w:rsidR="00711E86">
        <w:t xml:space="preserve">. </w:t>
      </w:r>
    </w:p>
    <w:p w14:paraId="2F0C5B3D" w14:textId="3B20A4C5" w:rsidR="00101C00" w:rsidRDefault="00711E86" w:rsidP="00101C00">
      <w:pPr>
        <w:pStyle w:val="JudgmentText"/>
      </w:pPr>
      <w:r>
        <w:t xml:space="preserve">In considering the appeal of the </w:t>
      </w:r>
      <w:r w:rsidR="00A81304">
        <w:t xml:space="preserve">Central </w:t>
      </w:r>
      <w:r>
        <w:t xml:space="preserve">Banks’s decision the </w:t>
      </w:r>
      <w:r w:rsidR="005551F3">
        <w:t>c</w:t>
      </w:r>
      <w:r>
        <w:t xml:space="preserve">ourt has itself no access to the </w:t>
      </w:r>
      <w:r w:rsidR="006B6068">
        <w:t>confidential information</w:t>
      </w:r>
      <w:r w:rsidR="004C1E20">
        <w:t>, although in this situation it was not necessary to have sight of that information</w:t>
      </w:r>
      <w:r w:rsidR="006B6068">
        <w:t xml:space="preserve">. The court cannot carry out a balancing exercise between the public interest in disclosure and the public interest in confidentiality. Even more so </w:t>
      </w:r>
      <w:r w:rsidR="006B6068">
        <w:lastRenderedPageBreak/>
        <w:t>when there is a criminal or a quasi-criminal investigation ongoing</w:t>
      </w:r>
      <w:r w:rsidR="007512F7">
        <w:t xml:space="preserve"> </w:t>
      </w:r>
      <w:r w:rsidR="005551F3">
        <w:t>a</w:t>
      </w:r>
      <w:r w:rsidR="007512F7">
        <w:t>s in the present case.</w:t>
      </w:r>
      <w:r w:rsidR="006B6068">
        <w:t xml:space="preserve"> </w:t>
      </w:r>
    </w:p>
    <w:p w14:paraId="6E13BEE3" w14:textId="56D62DD5" w:rsidR="00101C00" w:rsidRDefault="008B3D81" w:rsidP="00101C00">
      <w:pPr>
        <w:pStyle w:val="JudgmentText"/>
      </w:pPr>
      <w:r>
        <w:t xml:space="preserve">As I stated in </w:t>
      </w:r>
      <w:proofErr w:type="spellStart"/>
      <w:r w:rsidRPr="008B3D81">
        <w:rPr>
          <w:i/>
        </w:rPr>
        <w:t>Intershore</w:t>
      </w:r>
      <w:proofErr w:type="spellEnd"/>
      <w:r>
        <w:t xml:space="preserve"> (supra), there is certainly an avenue open to the Appellant in terms of challenging the derogation of a charter right </w:t>
      </w:r>
      <w:r w:rsidR="007512F7">
        <w:t xml:space="preserve">by statute </w:t>
      </w:r>
      <w:r>
        <w:t>as being unconstitutional</w:t>
      </w:r>
      <w:r w:rsidR="006B6068">
        <w:t xml:space="preserve"> when such derogation is considered a b</w:t>
      </w:r>
      <w:r w:rsidR="007512F7">
        <w:t>lanket ban</w:t>
      </w:r>
      <w:r w:rsidR="006B6068">
        <w:t xml:space="preserve"> or too large a limitation to the right</w:t>
      </w:r>
      <w:r w:rsidR="007512F7">
        <w:t>;</w:t>
      </w:r>
      <w:r w:rsidR="006B6068">
        <w:t xml:space="preserve"> </w:t>
      </w:r>
      <w:r>
        <w:t xml:space="preserve">but this </w:t>
      </w:r>
      <w:r w:rsidR="006B6068">
        <w:t>C</w:t>
      </w:r>
      <w:r>
        <w:t xml:space="preserve">ourt is not presently seized with this issue which in any case was not raised. For these reasons I cannot therefore grant the application </w:t>
      </w:r>
      <w:r w:rsidR="00711E86">
        <w:t>for</w:t>
      </w:r>
      <w:r>
        <w:t xml:space="preserve"> the </w:t>
      </w:r>
      <w:r w:rsidR="00711E86">
        <w:t>disclosure</w:t>
      </w:r>
      <w:r>
        <w:t xml:space="preserve"> of the </w:t>
      </w:r>
      <w:r w:rsidR="006B6068">
        <w:t>confidential information.</w:t>
      </w:r>
    </w:p>
    <w:p w14:paraId="6B58A9C3" w14:textId="27D8EDE5" w:rsidR="005551F3" w:rsidRDefault="005551F3" w:rsidP="00101C00">
      <w:pPr>
        <w:pStyle w:val="JudgmentText"/>
      </w:pPr>
      <w:r>
        <w:t xml:space="preserve">Mr. Shah’s attempt to distinguish between </w:t>
      </w:r>
      <w:r w:rsidR="00414F1E">
        <w:t>t</w:t>
      </w:r>
      <w:r>
        <w:t>he information r</w:t>
      </w:r>
      <w:r w:rsidR="00414F1E">
        <w:t>e</w:t>
      </w:r>
      <w:r>
        <w:t>l</w:t>
      </w:r>
      <w:r w:rsidR="00414F1E">
        <w:t>a</w:t>
      </w:r>
      <w:r>
        <w:t>ting to the identity of the directors an</w:t>
      </w:r>
      <w:r w:rsidR="00414F1E">
        <w:t>d</w:t>
      </w:r>
      <w:r>
        <w:t xml:space="preserve"> the person</w:t>
      </w:r>
      <w:r w:rsidR="00414F1E">
        <w:t>s</w:t>
      </w:r>
      <w:r>
        <w:t xml:space="preserve"> or </w:t>
      </w:r>
      <w:r w:rsidR="00414F1E">
        <w:t>organisation</w:t>
      </w:r>
      <w:r>
        <w:t xml:space="preserve"> who provided the </w:t>
      </w:r>
      <w:r w:rsidR="00414F1E">
        <w:t>information</w:t>
      </w:r>
      <w:r>
        <w:t xml:space="preserve"> is only an exercise in splitting hairs. </w:t>
      </w:r>
      <w:r w:rsidR="00414F1E">
        <w:t xml:space="preserve">The information as a whole is confidential. The court cannot distinguish which part of it is more or less confidential than the other. </w:t>
      </w:r>
    </w:p>
    <w:p w14:paraId="22E9DAFF" w14:textId="6E5DE338" w:rsidR="00101C00" w:rsidRDefault="006B6068" w:rsidP="00101C00">
      <w:pPr>
        <w:pStyle w:val="JudgmentText"/>
      </w:pPr>
      <w:r>
        <w:t>However, g</w:t>
      </w:r>
      <w:r w:rsidR="00101C00">
        <w:t>iven the fact that some of the confidential information was disclosed to the Appellant with a view to resolving the issue amicably and the fact that on the heels of that information Mr. Shah has asked for additional information, which request has been refused</w:t>
      </w:r>
      <w:r w:rsidR="007512F7">
        <w:t>,</w:t>
      </w:r>
      <w:r w:rsidR="004E3064">
        <w:t xml:space="preserve"> </w:t>
      </w:r>
      <w:r w:rsidR="00101C00">
        <w:t>I must dispose of the point raised by Mr. Shah in that respect.</w:t>
      </w:r>
    </w:p>
    <w:p w14:paraId="665F5995" w14:textId="6BCAB353" w:rsidR="00EB6817" w:rsidRDefault="00EB6817" w:rsidP="00247424">
      <w:pPr>
        <w:pStyle w:val="JudgmentText"/>
      </w:pPr>
      <w:r>
        <w:t>He seeks only the identity of the directors subject to scrutiny and to an investigation relating to anti-money laundering. He seeks their identity to be in a position to rebut the information held</w:t>
      </w:r>
      <w:r w:rsidR="007512F7">
        <w:t xml:space="preserve"> by the Respondent</w:t>
      </w:r>
      <w:r w:rsidR="00414F1E">
        <w:t>.</w:t>
      </w:r>
      <w:r>
        <w:t xml:space="preserve"> The Respondent invariably seeks to not disclose the information as it may</w:t>
      </w:r>
      <w:r w:rsidR="00414F1E">
        <w:t>,</w:t>
      </w:r>
      <w:r>
        <w:t xml:space="preserve"> presumably</w:t>
      </w:r>
      <w:r w:rsidR="00414F1E">
        <w:t>,</w:t>
      </w:r>
      <w:r>
        <w:t xml:space="preserve"> hinder </w:t>
      </w:r>
      <w:r w:rsidR="007512F7">
        <w:t>an ongoing</w:t>
      </w:r>
      <w:r w:rsidR="004E3064">
        <w:t xml:space="preserve"> financial</w:t>
      </w:r>
      <w:r w:rsidR="007512F7">
        <w:t xml:space="preserve"> </w:t>
      </w:r>
      <w:r>
        <w:t xml:space="preserve">investigation. </w:t>
      </w:r>
    </w:p>
    <w:p w14:paraId="1EE5B78C" w14:textId="7A4FC91F" w:rsidR="008D775F" w:rsidRDefault="006B6068" w:rsidP="00247424">
      <w:pPr>
        <w:pStyle w:val="JudgmentText"/>
      </w:pPr>
      <w:r>
        <w:t xml:space="preserve">I notice that the </w:t>
      </w:r>
      <w:r w:rsidR="009749B4">
        <w:t xml:space="preserve">investigation referred to by the Respondent </w:t>
      </w:r>
      <w:r>
        <w:t xml:space="preserve">started </w:t>
      </w:r>
      <w:r w:rsidR="00810D55">
        <w:t>in 2015 or before</w:t>
      </w:r>
      <w:r>
        <w:t>. It is not in the interests of justice that investigations carry on unimpeded with no closure</w:t>
      </w:r>
      <w:r w:rsidR="00414F1E">
        <w:t xml:space="preserve"> and suspects kept in limbo.</w:t>
      </w:r>
      <w:r>
        <w:t xml:space="preserve"> </w:t>
      </w:r>
      <w:r w:rsidR="004E3064">
        <w:t xml:space="preserve">The </w:t>
      </w:r>
      <w:r w:rsidR="00414245">
        <w:t>Respondent should</w:t>
      </w:r>
      <w:r w:rsidR="004E3064">
        <w:t xml:space="preserve"> consider whether the confidential information is still relevant</w:t>
      </w:r>
      <w:r w:rsidR="00414245">
        <w:t xml:space="preserve"> and/or to disclose the same to the Appellant</w:t>
      </w:r>
      <w:r w:rsidR="004E3064">
        <w:t xml:space="preserve">. </w:t>
      </w:r>
      <w:r w:rsidR="00E16E97">
        <w:t>However, ultimately</w:t>
      </w:r>
      <w:r w:rsidR="009749B4">
        <w:t xml:space="preserve"> the Respondent retains the right to maintain its decision. </w:t>
      </w:r>
      <w:r w:rsidR="00414245">
        <w:t xml:space="preserve">It is hereby given two months to comply with the Court’s direction and to convey its decision to the parties and the Court. </w:t>
      </w:r>
    </w:p>
    <w:p w14:paraId="1B8D352B" w14:textId="05ACF834" w:rsidR="00414245" w:rsidRDefault="00414245" w:rsidP="00414245">
      <w:pPr>
        <w:pStyle w:val="JudgmentText"/>
      </w:pPr>
      <w:r>
        <w:lastRenderedPageBreak/>
        <w:t xml:space="preserve">Ultimately, the Appellant’s application is dismissed but it has the liberty to proceed with filing its grounds of appeal notwithstanding the non-disclosure of confidential information. </w:t>
      </w:r>
    </w:p>
    <w:p w14:paraId="297FFF9C" w14:textId="0401B3BF" w:rsidR="00414245" w:rsidRDefault="00414245" w:rsidP="00247424">
      <w:pPr>
        <w:pStyle w:val="JudgmentText"/>
      </w:pPr>
      <w:r>
        <w:t>This matter will be mentioned for ascertaining the decision of the Appellant regarding the appeal on the 7 March 2018.</w:t>
      </w:r>
    </w:p>
    <w:p w14:paraId="531B372E" w14:textId="024760EC" w:rsidR="00EF2051" w:rsidRDefault="009C0391" w:rsidP="006528E6">
      <w:pPr>
        <w:pStyle w:val="JudgmentText"/>
        <w:numPr>
          <w:ilvl w:val="0"/>
          <w:numId w:val="0"/>
        </w:numPr>
        <w:ind w:left="-720"/>
        <w:sectPr w:rsidR="00EF2051" w:rsidSect="00EF2051">
          <w:type w:val="continuous"/>
          <w:pgSz w:w="12240" w:h="15840"/>
          <w:pgMar w:top="1440" w:right="1440" w:bottom="1440" w:left="1440" w:header="720" w:footer="720" w:gutter="0"/>
          <w:cols w:space="720"/>
          <w:formProt w:val="0"/>
          <w:docGrid w:linePitch="360"/>
        </w:sectPr>
      </w:pPr>
      <w:r>
        <w:tab/>
      </w:r>
      <w:r>
        <w:tab/>
      </w:r>
    </w:p>
    <w:p w14:paraId="5620CB75" w14:textId="3C14FE1C"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6528E6">
        <w:rPr>
          <w:sz w:val="24"/>
          <w:szCs w:val="24"/>
        </w:rPr>
        <w:t>9 February.</w:t>
      </w:r>
      <w:bookmarkStart w:id="14" w:name="_GoBack"/>
      <w:bookmarkEnd w:id="14"/>
    </w:p>
    <w:p w14:paraId="432A28FC" w14:textId="77777777"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14:paraId="43733173"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353CE3D1" w14:textId="77777777"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14:paraId="7BFC96FF"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2439BF2E" w14:textId="77777777" w:rsidR="00E33F35" w:rsidRPr="00054691" w:rsidRDefault="00054691" w:rsidP="0006489F">
      <w:pPr>
        <w:pStyle w:val="ListParagraph"/>
        <w:widowControl/>
        <w:autoSpaceDE/>
        <w:autoSpaceDN/>
        <w:adjustRightInd/>
        <w:ind w:left="0"/>
        <w:contextualSpacing w:val="0"/>
        <w:jc w:val="both"/>
        <w:rPr>
          <w:b/>
          <w:sz w:val="24"/>
          <w:szCs w:val="24"/>
        </w:rPr>
      </w:pPr>
      <w:r>
        <w:rPr>
          <w:b/>
          <w:sz w:val="24"/>
          <w:szCs w:val="24"/>
        </w:rPr>
        <w:t>M. TWOMEY</w:t>
      </w:r>
    </w:p>
    <w:bookmarkStart w:id="15" w:name="Dropdown7"/>
    <w:p w14:paraId="56681C01" w14:textId="77777777" w:rsidR="009E05E5" w:rsidRPr="00E33F35" w:rsidRDefault="000C6A5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5B1722">
        <w:rPr>
          <w:b/>
          <w:sz w:val="24"/>
          <w:szCs w:val="24"/>
        </w:rPr>
      </w:r>
      <w:r w:rsidR="005B1722">
        <w:rPr>
          <w:b/>
          <w:sz w:val="24"/>
          <w:szCs w:val="24"/>
        </w:rPr>
        <w:fldChar w:fldCharType="separate"/>
      </w:r>
      <w:r>
        <w:rPr>
          <w:b/>
          <w:sz w:val="24"/>
          <w:szCs w:val="24"/>
        </w:rPr>
        <w:fldChar w:fldCharType="end"/>
      </w:r>
      <w:bookmarkEnd w:id="1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82EB" w14:textId="77777777" w:rsidR="005B1722" w:rsidRDefault="005B1722" w:rsidP="00DB6D34">
      <w:r>
        <w:separator/>
      </w:r>
    </w:p>
  </w:endnote>
  <w:endnote w:type="continuationSeparator" w:id="0">
    <w:p w14:paraId="76344761" w14:textId="77777777" w:rsidR="005B1722" w:rsidRDefault="005B172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03183"/>
      <w:docPartObj>
        <w:docPartGallery w:val="Page Numbers (Bottom of Page)"/>
        <w:docPartUnique/>
      </w:docPartObj>
    </w:sdtPr>
    <w:sdtEndPr>
      <w:rPr>
        <w:noProof/>
      </w:rPr>
    </w:sdtEndPr>
    <w:sdtContent>
      <w:p w14:paraId="5ED6D09F" w14:textId="2BF2D9DB" w:rsidR="00414245" w:rsidRDefault="00414245">
        <w:pPr>
          <w:pStyle w:val="Footer"/>
          <w:jc w:val="center"/>
        </w:pPr>
        <w:r>
          <w:fldChar w:fldCharType="begin"/>
        </w:r>
        <w:r>
          <w:instrText xml:space="preserve"> PAGE   \* MERGEFORMAT </w:instrText>
        </w:r>
        <w:r>
          <w:fldChar w:fldCharType="separate"/>
        </w:r>
        <w:r w:rsidR="006F319E">
          <w:rPr>
            <w:noProof/>
          </w:rPr>
          <w:t>11</w:t>
        </w:r>
        <w:r>
          <w:rPr>
            <w:noProof/>
          </w:rPr>
          <w:fldChar w:fldCharType="end"/>
        </w:r>
      </w:p>
    </w:sdtContent>
  </w:sdt>
  <w:p w14:paraId="06E9C04C" w14:textId="7BCF6807" w:rsidR="00247424" w:rsidRDefault="002474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D448" w14:textId="77777777" w:rsidR="005B1722" w:rsidRDefault="005B1722" w:rsidP="00DB6D34">
      <w:r>
        <w:separator/>
      </w:r>
    </w:p>
  </w:footnote>
  <w:footnote w:type="continuationSeparator" w:id="0">
    <w:p w14:paraId="750C0315" w14:textId="77777777" w:rsidR="005B1722" w:rsidRDefault="005B172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90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117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
    <w:lvlOverride w:ilvl="0">
      <w:lvl w:ilvl="0">
        <w:start w:val="1"/>
        <w:numFmt w:val="decimal"/>
        <w:pStyle w:val="JudgmentText"/>
        <w:lvlText w:val="[%1]"/>
        <w:lvlJc w:val="left"/>
        <w:pPr>
          <w:ind w:left="90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1"/>
    <w:lvlOverride w:ilvl="0">
      <w:lvl w:ilvl="0">
        <w:start w:val="1"/>
        <w:numFmt w:val="decimal"/>
        <w:pStyle w:val="JudgmentText"/>
        <w:lvlText w:val="[%1]"/>
        <w:lvlJc w:val="left"/>
        <w:pPr>
          <w:ind w:left="90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9">
    <w:abstractNumId w:val="1"/>
    <w:lvlOverride w:ilvl="0">
      <w:lvl w:ilvl="0">
        <w:start w:val="1"/>
        <w:numFmt w:val="decimal"/>
        <w:pStyle w:val="JudgmentText"/>
        <w:lvlText w:val="[%1]"/>
        <w:lvlJc w:val="left"/>
        <w:pPr>
          <w:ind w:left="90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44"/>
    <w:rsid w:val="00000407"/>
    <w:rsid w:val="00005BEF"/>
    <w:rsid w:val="00030C81"/>
    <w:rsid w:val="00047C58"/>
    <w:rsid w:val="00054691"/>
    <w:rsid w:val="00062255"/>
    <w:rsid w:val="0006489F"/>
    <w:rsid w:val="000710B0"/>
    <w:rsid w:val="00075573"/>
    <w:rsid w:val="00091036"/>
    <w:rsid w:val="000911E9"/>
    <w:rsid w:val="000A10B8"/>
    <w:rsid w:val="000B6464"/>
    <w:rsid w:val="000B7E37"/>
    <w:rsid w:val="000C6A59"/>
    <w:rsid w:val="000D1DD3"/>
    <w:rsid w:val="000E39A5"/>
    <w:rsid w:val="000E7400"/>
    <w:rsid w:val="001008BC"/>
    <w:rsid w:val="00101C00"/>
    <w:rsid w:val="00101D12"/>
    <w:rsid w:val="001025C2"/>
    <w:rsid w:val="0010732D"/>
    <w:rsid w:val="00117CBF"/>
    <w:rsid w:val="00126A10"/>
    <w:rsid w:val="001376AB"/>
    <w:rsid w:val="00144612"/>
    <w:rsid w:val="0014598E"/>
    <w:rsid w:val="001473EC"/>
    <w:rsid w:val="0016510C"/>
    <w:rsid w:val="00180158"/>
    <w:rsid w:val="001E4ED8"/>
    <w:rsid w:val="001E6AD0"/>
    <w:rsid w:val="001F0144"/>
    <w:rsid w:val="001F255E"/>
    <w:rsid w:val="001F3F0E"/>
    <w:rsid w:val="001F548D"/>
    <w:rsid w:val="001F57A5"/>
    <w:rsid w:val="0020244B"/>
    <w:rsid w:val="00225016"/>
    <w:rsid w:val="00231C17"/>
    <w:rsid w:val="00236AAC"/>
    <w:rsid w:val="0024353F"/>
    <w:rsid w:val="00247424"/>
    <w:rsid w:val="00281D51"/>
    <w:rsid w:val="00290E14"/>
    <w:rsid w:val="002A7376"/>
    <w:rsid w:val="002B2255"/>
    <w:rsid w:val="002B3026"/>
    <w:rsid w:val="002C7560"/>
    <w:rsid w:val="002D06AA"/>
    <w:rsid w:val="002D1264"/>
    <w:rsid w:val="002D67FC"/>
    <w:rsid w:val="002E25E4"/>
    <w:rsid w:val="002E6963"/>
    <w:rsid w:val="002F40A1"/>
    <w:rsid w:val="00301D88"/>
    <w:rsid w:val="00304E76"/>
    <w:rsid w:val="00307099"/>
    <w:rsid w:val="003124CA"/>
    <w:rsid w:val="003237F0"/>
    <w:rsid w:val="00340D64"/>
    <w:rsid w:val="003647E7"/>
    <w:rsid w:val="00377341"/>
    <w:rsid w:val="003838CC"/>
    <w:rsid w:val="003862CB"/>
    <w:rsid w:val="0038700C"/>
    <w:rsid w:val="003A132C"/>
    <w:rsid w:val="003B461C"/>
    <w:rsid w:val="003B4C19"/>
    <w:rsid w:val="003C17AC"/>
    <w:rsid w:val="003D58AA"/>
    <w:rsid w:val="003D7B97"/>
    <w:rsid w:val="003E2ABC"/>
    <w:rsid w:val="003E404C"/>
    <w:rsid w:val="003F0F8D"/>
    <w:rsid w:val="003F4E24"/>
    <w:rsid w:val="00414245"/>
    <w:rsid w:val="00414F1E"/>
    <w:rsid w:val="004156B9"/>
    <w:rsid w:val="00435EB8"/>
    <w:rsid w:val="0043660F"/>
    <w:rsid w:val="00445BFA"/>
    <w:rsid w:val="00452BB6"/>
    <w:rsid w:val="0046133B"/>
    <w:rsid w:val="00464531"/>
    <w:rsid w:val="0048569B"/>
    <w:rsid w:val="004A56EA"/>
    <w:rsid w:val="004B22D0"/>
    <w:rsid w:val="004C1E20"/>
    <w:rsid w:val="004C3D80"/>
    <w:rsid w:val="004D7835"/>
    <w:rsid w:val="004E3064"/>
    <w:rsid w:val="004F3823"/>
    <w:rsid w:val="00505A26"/>
    <w:rsid w:val="005207C8"/>
    <w:rsid w:val="00530663"/>
    <w:rsid w:val="0055036F"/>
    <w:rsid w:val="005514D6"/>
    <w:rsid w:val="00552704"/>
    <w:rsid w:val="005551F3"/>
    <w:rsid w:val="00565603"/>
    <w:rsid w:val="00572AB3"/>
    <w:rsid w:val="00576C06"/>
    <w:rsid w:val="005778BF"/>
    <w:rsid w:val="005836AC"/>
    <w:rsid w:val="00584583"/>
    <w:rsid w:val="00591097"/>
    <w:rsid w:val="00594FAC"/>
    <w:rsid w:val="005A1B6B"/>
    <w:rsid w:val="005B1722"/>
    <w:rsid w:val="005E6584"/>
    <w:rsid w:val="005E7271"/>
    <w:rsid w:val="005F6CF4"/>
    <w:rsid w:val="00606587"/>
    <w:rsid w:val="00606EEA"/>
    <w:rsid w:val="0061371B"/>
    <w:rsid w:val="00615AFD"/>
    <w:rsid w:val="006174DB"/>
    <w:rsid w:val="006237AA"/>
    <w:rsid w:val="006363CE"/>
    <w:rsid w:val="00637194"/>
    <w:rsid w:val="0064023C"/>
    <w:rsid w:val="006528E6"/>
    <w:rsid w:val="00657236"/>
    <w:rsid w:val="006578C2"/>
    <w:rsid w:val="00666D33"/>
    <w:rsid w:val="00686C78"/>
    <w:rsid w:val="006A58E4"/>
    <w:rsid w:val="006B03CE"/>
    <w:rsid w:val="006B6068"/>
    <w:rsid w:val="006D36C9"/>
    <w:rsid w:val="006D42FA"/>
    <w:rsid w:val="006F319E"/>
    <w:rsid w:val="00711E86"/>
    <w:rsid w:val="007175A6"/>
    <w:rsid w:val="007310E2"/>
    <w:rsid w:val="00741231"/>
    <w:rsid w:val="00744508"/>
    <w:rsid w:val="00744C6C"/>
    <w:rsid w:val="00747797"/>
    <w:rsid w:val="007512F7"/>
    <w:rsid w:val="007560DD"/>
    <w:rsid w:val="0077082A"/>
    <w:rsid w:val="007908ED"/>
    <w:rsid w:val="007A47DC"/>
    <w:rsid w:val="007B3D35"/>
    <w:rsid w:val="007B6178"/>
    <w:rsid w:val="007B6903"/>
    <w:rsid w:val="007C2809"/>
    <w:rsid w:val="007C75D9"/>
    <w:rsid w:val="007D416E"/>
    <w:rsid w:val="007D6D82"/>
    <w:rsid w:val="00807411"/>
    <w:rsid w:val="00810D55"/>
    <w:rsid w:val="00814147"/>
    <w:rsid w:val="00814CF5"/>
    <w:rsid w:val="00816425"/>
    <w:rsid w:val="00821758"/>
    <w:rsid w:val="00822D1A"/>
    <w:rsid w:val="00823079"/>
    <w:rsid w:val="0083298A"/>
    <w:rsid w:val="00841387"/>
    <w:rsid w:val="00846EF1"/>
    <w:rsid w:val="008472B3"/>
    <w:rsid w:val="008478D6"/>
    <w:rsid w:val="008643B7"/>
    <w:rsid w:val="00883106"/>
    <w:rsid w:val="008965A6"/>
    <w:rsid w:val="008A20EF"/>
    <w:rsid w:val="008A2975"/>
    <w:rsid w:val="008A2ABD"/>
    <w:rsid w:val="008A5208"/>
    <w:rsid w:val="008B3D81"/>
    <w:rsid w:val="008B4756"/>
    <w:rsid w:val="008C0FD6"/>
    <w:rsid w:val="008C1315"/>
    <w:rsid w:val="008D267D"/>
    <w:rsid w:val="008D775F"/>
    <w:rsid w:val="008E103F"/>
    <w:rsid w:val="008E1DB1"/>
    <w:rsid w:val="008E512C"/>
    <w:rsid w:val="008E7613"/>
    <w:rsid w:val="008E7749"/>
    <w:rsid w:val="008E7F92"/>
    <w:rsid w:val="008F0C10"/>
    <w:rsid w:val="008F38F7"/>
    <w:rsid w:val="00900F0D"/>
    <w:rsid w:val="00902D3C"/>
    <w:rsid w:val="00912BE5"/>
    <w:rsid w:val="00926D09"/>
    <w:rsid w:val="009336BA"/>
    <w:rsid w:val="00937FB4"/>
    <w:rsid w:val="0094087C"/>
    <w:rsid w:val="00945A3F"/>
    <w:rsid w:val="00951EC0"/>
    <w:rsid w:val="0096041D"/>
    <w:rsid w:val="009749B4"/>
    <w:rsid w:val="00981287"/>
    <w:rsid w:val="00983045"/>
    <w:rsid w:val="009A3497"/>
    <w:rsid w:val="009C0391"/>
    <w:rsid w:val="009D2990"/>
    <w:rsid w:val="009E05E5"/>
    <w:rsid w:val="009F1B68"/>
    <w:rsid w:val="009F4DC4"/>
    <w:rsid w:val="009F7EBB"/>
    <w:rsid w:val="00A11166"/>
    <w:rsid w:val="00A14038"/>
    <w:rsid w:val="00A25CE3"/>
    <w:rsid w:val="00A42850"/>
    <w:rsid w:val="00A433F5"/>
    <w:rsid w:val="00A53837"/>
    <w:rsid w:val="00A609AC"/>
    <w:rsid w:val="00A6275A"/>
    <w:rsid w:val="00A65340"/>
    <w:rsid w:val="00A80E4E"/>
    <w:rsid w:val="00A81304"/>
    <w:rsid w:val="00A925CB"/>
    <w:rsid w:val="00AB070D"/>
    <w:rsid w:val="00AB6FC6"/>
    <w:rsid w:val="00AC3885"/>
    <w:rsid w:val="00AD2D34"/>
    <w:rsid w:val="00AD75CD"/>
    <w:rsid w:val="00B05D6E"/>
    <w:rsid w:val="00B119B1"/>
    <w:rsid w:val="00B14612"/>
    <w:rsid w:val="00B23E73"/>
    <w:rsid w:val="00B34B34"/>
    <w:rsid w:val="00B4124C"/>
    <w:rsid w:val="00B45AFC"/>
    <w:rsid w:val="00B4625E"/>
    <w:rsid w:val="00B61F6D"/>
    <w:rsid w:val="00B75AE2"/>
    <w:rsid w:val="00B839EE"/>
    <w:rsid w:val="00B9148E"/>
    <w:rsid w:val="00B92E54"/>
    <w:rsid w:val="00B94805"/>
    <w:rsid w:val="00BA6027"/>
    <w:rsid w:val="00BA64EA"/>
    <w:rsid w:val="00BB0C75"/>
    <w:rsid w:val="00BB0E4F"/>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485C"/>
    <w:rsid w:val="00C35333"/>
    <w:rsid w:val="00C55FDF"/>
    <w:rsid w:val="00C5739F"/>
    <w:rsid w:val="00C65B63"/>
    <w:rsid w:val="00C87FCA"/>
    <w:rsid w:val="00CA1B0C"/>
    <w:rsid w:val="00CA2031"/>
    <w:rsid w:val="00CA507C"/>
    <w:rsid w:val="00CA7795"/>
    <w:rsid w:val="00CA7F40"/>
    <w:rsid w:val="00CB3C7E"/>
    <w:rsid w:val="00D03314"/>
    <w:rsid w:val="00D06A0F"/>
    <w:rsid w:val="00D07BC0"/>
    <w:rsid w:val="00D24C89"/>
    <w:rsid w:val="00D375BB"/>
    <w:rsid w:val="00D46A65"/>
    <w:rsid w:val="00D65D6B"/>
    <w:rsid w:val="00D82047"/>
    <w:rsid w:val="00D82C22"/>
    <w:rsid w:val="00D94C33"/>
    <w:rsid w:val="00DB6D34"/>
    <w:rsid w:val="00DD4E02"/>
    <w:rsid w:val="00DE08C1"/>
    <w:rsid w:val="00DF2970"/>
    <w:rsid w:val="00DF303A"/>
    <w:rsid w:val="00E0467F"/>
    <w:rsid w:val="00E0505F"/>
    <w:rsid w:val="00E148BE"/>
    <w:rsid w:val="00E16E97"/>
    <w:rsid w:val="00E30B60"/>
    <w:rsid w:val="00E30C2D"/>
    <w:rsid w:val="00E33F35"/>
    <w:rsid w:val="00E35862"/>
    <w:rsid w:val="00E41E94"/>
    <w:rsid w:val="00E42453"/>
    <w:rsid w:val="00E55C69"/>
    <w:rsid w:val="00E57D4D"/>
    <w:rsid w:val="00E6492F"/>
    <w:rsid w:val="00E65691"/>
    <w:rsid w:val="00E65EB9"/>
    <w:rsid w:val="00E65EF0"/>
    <w:rsid w:val="00E91FA1"/>
    <w:rsid w:val="00E944E2"/>
    <w:rsid w:val="00EA6F17"/>
    <w:rsid w:val="00EB6817"/>
    <w:rsid w:val="00EB75FC"/>
    <w:rsid w:val="00EC0B71"/>
    <w:rsid w:val="00EC12D0"/>
    <w:rsid w:val="00EC2355"/>
    <w:rsid w:val="00EC6290"/>
    <w:rsid w:val="00EE02C9"/>
    <w:rsid w:val="00EF2051"/>
    <w:rsid w:val="00EF7DB6"/>
    <w:rsid w:val="00F00A19"/>
    <w:rsid w:val="00F0209D"/>
    <w:rsid w:val="00F24CCD"/>
    <w:rsid w:val="00F25A29"/>
    <w:rsid w:val="00F35C67"/>
    <w:rsid w:val="00F500BE"/>
    <w:rsid w:val="00F766D9"/>
    <w:rsid w:val="00F804CC"/>
    <w:rsid w:val="00F82A83"/>
    <w:rsid w:val="00FB0AFB"/>
    <w:rsid w:val="00FB2453"/>
    <w:rsid w:val="00FB2A5E"/>
    <w:rsid w:val="00FB39BA"/>
    <w:rsid w:val="00FC61E3"/>
    <w:rsid w:val="00FD51F3"/>
    <w:rsid w:val="00FD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F3B70"/>
  <w15:docId w15:val="{94B8007C-8319-4641-BC5F-BC52FC9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101C00"/>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numbering" w:customStyle="1" w:styleId="Judgments1">
    <w:name w:val="Judgments1"/>
    <w:uiPriority w:val="99"/>
    <w:rsid w:val="00101C00"/>
  </w:style>
  <w:style w:type="character" w:customStyle="1" w:styleId="apple-converted-space">
    <w:name w:val="apple-converted-space"/>
    <w:basedOn w:val="DefaultParagraphFont"/>
    <w:rsid w:val="00EB6817"/>
  </w:style>
  <w:style w:type="character" w:styleId="CommentReference">
    <w:name w:val="annotation reference"/>
    <w:basedOn w:val="DefaultParagraphFont"/>
    <w:uiPriority w:val="99"/>
    <w:semiHidden/>
    <w:unhideWhenUsed/>
    <w:rsid w:val="004A56EA"/>
    <w:rPr>
      <w:sz w:val="16"/>
      <w:szCs w:val="16"/>
    </w:rPr>
  </w:style>
  <w:style w:type="paragraph" w:styleId="CommentText">
    <w:name w:val="annotation text"/>
    <w:basedOn w:val="Normal"/>
    <w:link w:val="CommentTextChar"/>
    <w:uiPriority w:val="99"/>
    <w:semiHidden/>
    <w:unhideWhenUsed/>
    <w:rsid w:val="004A56EA"/>
  </w:style>
  <w:style w:type="character" w:customStyle="1" w:styleId="CommentTextChar">
    <w:name w:val="Comment Text Char"/>
    <w:basedOn w:val="DefaultParagraphFont"/>
    <w:link w:val="CommentText"/>
    <w:uiPriority w:val="99"/>
    <w:semiHidden/>
    <w:rsid w:val="004A56EA"/>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4A56EA"/>
    <w:rPr>
      <w:b/>
      <w:bCs/>
    </w:rPr>
  </w:style>
  <w:style w:type="character" w:customStyle="1" w:styleId="CommentSubjectChar">
    <w:name w:val="Comment Subject Char"/>
    <w:basedOn w:val="CommentTextChar"/>
    <w:link w:val="CommentSubject"/>
    <w:uiPriority w:val="99"/>
    <w:semiHidden/>
    <w:rsid w:val="004A56EA"/>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4F77-52F6-43E7-BCF8-F27B9EAC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Annie Houareau</cp:lastModifiedBy>
  <cp:revision>2</cp:revision>
  <cp:lastPrinted>2018-02-19T10:01:00Z</cp:lastPrinted>
  <dcterms:created xsi:type="dcterms:W3CDTF">2018-02-19T10:23:00Z</dcterms:created>
  <dcterms:modified xsi:type="dcterms:W3CDTF">2018-02-19T10:23:00Z</dcterms:modified>
</cp:coreProperties>
</file>