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5F6046">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5F6046">
        <w:rPr>
          <w:b/>
          <w:sz w:val="28"/>
          <w:szCs w:val="28"/>
        </w:rPr>
      </w:r>
      <w:r w:rsidR="005F6046">
        <w:rPr>
          <w:b/>
          <w:sz w:val="28"/>
          <w:szCs w:val="28"/>
        </w:rPr>
        <w:fldChar w:fldCharType="separate"/>
      </w:r>
      <w:r w:rsidR="00BB402E">
        <w:rPr>
          <w:b/>
          <w:noProof/>
          <w:sz w:val="28"/>
          <w:szCs w:val="28"/>
        </w:rPr>
        <w:t>33</w:t>
      </w:r>
      <w:r w:rsidR="00251F9B">
        <w:rPr>
          <w:b/>
          <w:noProof/>
          <w:sz w:val="28"/>
          <w:szCs w:val="28"/>
        </w:rPr>
        <w:t>5</w:t>
      </w:r>
      <w:r w:rsidR="005F6046">
        <w:rPr>
          <w:b/>
          <w:sz w:val="28"/>
          <w:szCs w:val="28"/>
        </w:rPr>
        <w:fldChar w:fldCharType="end"/>
      </w:r>
      <w:bookmarkEnd w:id="0"/>
      <w:r w:rsidRPr="00B75AE2">
        <w:rPr>
          <w:b/>
          <w:sz w:val="28"/>
          <w:szCs w:val="28"/>
        </w:rPr>
        <w:t>/</w:t>
      </w:r>
      <w:r w:rsidR="00C87FCA" w:rsidRPr="00B75AE2">
        <w:rPr>
          <w:b/>
          <w:sz w:val="28"/>
          <w:szCs w:val="28"/>
        </w:rPr>
        <w:t>20</w:t>
      </w:r>
      <w:r w:rsidR="005F6046"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5F6046" w:rsidRPr="00B75AE2">
        <w:rPr>
          <w:b/>
          <w:sz w:val="28"/>
          <w:szCs w:val="28"/>
        </w:rPr>
      </w:r>
      <w:r w:rsidR="005F6046" w:rsidRPr="00B75AE2">
        <w:rPr>
          <w:b/>
          <w:sz w:val="28"/>
          <w:szCs w:val="28"/>
        </w:rPr>
        <w:fldChar w:fldCharType="separate"/>
      </w:r>
      <w:r w:rsidR="00BB402E">
        <w:rPr>
          <w:b/>
          <w:sz w:val="28"/>
          <w:szCs w:val="28"/>
        </w:rPr>
        <w:t>17</w:t>
      </w:r>
      <w:r w:rsidR="005F6046"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bookmarkStart w:id="2" w:name="Dropdown15"/>
      <w:r w:rsidR="005F6046">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7413DA">
        <w:rPr>
          <w:b/>
          <w:sz w:val="24"/>
          <w:szCs w:val="24"/>
        </w:rPr>
      </w:r>
      <w:r w:rsidR="007413DA">
        <w:rPr>
          <w:b/>
          <w:sz w:val="24"/>
          <w:szCs w:val="24"/>
        </w:rPr>
        <w:fldChar w:fldCharType="separate"/>
      </w:r>
      <w:r w:rsidR="005F6046">
        <w:rPr>
          <w:b/>
          <w:sz w:val="24"/>
          <w:szCs w:val="24"/>
        </w:rPr>
        <w:fldChar w:fldCharType="end"/>
      </w:r>
      <w:bookmarkEnd w:id="2"/>
      <w:r>
        <w:rPr>
          <w:b/>
          <w:sz w:val="24"/>
          <w:szCs w:val="24"/>
        </w:rPr>
        <w:t xml:space="preserve"> </w:t>
      </w:r>
      <w:r w:rsidR="005F6046">
        <w:rPr>
          <w:b/>
          <w:sz w:val="24"/>
          <w:szCs w:val="24"/>
        </w:rPr>
        <w:fldChar w:fldCharType="begin">
          <w:ffData>
            <w:name w:val="Text38"/>
            <w:enabled/>
            <w:calcOnExit w:val="0"/>
            <w:textInput/>
          </w:ffData>
        </w:fldChar>
      </w:r>
      <w:bookmarkStart w:id="3" w:name="Text38"/>
      <w:r>
        <w:rPr>
          <w:b/>
          <w:sz w:val="24"/>
          <w:szCs w:val="24"/>
        </w:rPr>
        <w:instrText xml:space="preserve"> FORMTEXT </w:instrText>
      </w:r>
      <w:r w:rsidR="005F6046">
        <w:rPr>
          <w:b/>
          <w:sz w:val="24"/>
          <w:szCs w:val="24"/>
        </w:rPr>
      </w:r>
      <w:r w:rsidR="005F6046">
        <w:rPr>
          <w:b/>
          <w:sz w:val="24"/>
          <w:szCs w:val="24"/>
        </w:rPr>
        <w:fldChar w:fldCharType="separate"/>
      </w:r>
      <w:r w:rsidR="00BB402E">
        <w:rPr>
          <w:b/>
          <w:noProof/>
          <w:sz w:val="24"/>
          <w:szCs w:val="24"/>
        </w:rPr>
        <w:t>9</w:t>
      </w:r>
      <w:r w:rsidR="002363D1">
        <w:rPr>
          <w:b/>
          <w:noProof/>
          <w:sz w:val="24"/>
          <w:szCs w:val="24"/>
        </w:rPr>
        <w:t>8</w:t>
      </w:r>
      <w:r w:rsidR="005F6046">
        <w:rPr>
          <w:b/>
          <w:sz w:val="24"/>
          <w:szCs w:val="24"/>
        </w:rPr>
        <w:fldChar w:fldCharType="end"/>
      </w:r>
      <w:bookmarkEnd w:id="3"/>
      <w:r>
        <w:rPr>
          <w:b/>
          <w:sz w:val="24"/>
          <w:szCs w:val="24"/>
        </w:rPr>
        <w:t>/20</w:t>
      </w:r>
      <w:r w:rsidR="005F6046">
        <w:rPr>
          <w:b/>
          <w:sz w:val="24"/>
          <w:szCs w:val="24"/>
        </w:rPr>
        <w:fldChar w:fldCharType="begin">
          <w:ffData>
            <w:name w:val="Text39"/>
            <w:enabled/>
            <w:calcOnExit w:val="0"/>
            <w:textInput/>
          </w:ffData>
        </w:fldChar>
      </w:r>
      <w:bookmarkStart w:id="4" w:name="Text39"/>
      <w:r>
        <w:rPr>
          <w:b/>
          <w:sz w:val="24"/>
          <w:szCs w:val="24"/>
        </w:rPr>
        <w:instrText xml:space="preserve"> FORMTEXT </w:instrText>
      </w:r>
      <w:r w:rsidR="005F6046">
        <w:rPr>
          <w:b/>
          <w:sz w:val="24"/>
          <w:szCs w:val="24"/>
        </w:rPr>
      </w:r>
      <w:r w:rsidR="005F6046">
        <w:rPr>
          <w:b/>
          <w:sz w:val="24"/>
          <w:szCs w:val="24"/>
        </w:rPr>
        <w:fldChar w:fldCharType="separate"/>
      </w:r>
      <w:r w:rsidR="00BB402E">
        <w:rPr>
          <w:b/>
          <w:noProof/>
          <w:sz w:val="24"/>
          <w:szCs w:val="24"/>
        </w:rPr>
        <w:t>17</w:t>
      </w:r>
      <w:r w:rsidR="005F6046">
        <w:rPr>
          <w:b/>
          <w:sz w:val="24"/>
          <w:szCs w:val="24"/>
        </w:rPr>
        <w:fldChar w:fldCharType="end"/>
      </w:r>
      <w:bookmarkEnd w:id="4"/>
      <w:r>
        <w:rPr>
          <w:b/>
          <w:sz w:val="24"/>
          <w:szCs w:val="24"/>
        </w:rPr>
        <w:t>)</w:t>
      </w:r>
    </w:p>
    <w:p w:rsidR="00A53837" w:rsidRPr="00606EEA" w:rsidRDefault="005F60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5F6046">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5F6046">
        <w:rPr>
          <w:b/>
          <w:sz w:val="24"/>
          <w:szCs w:val="24"/>
        </w:rPr>
      </w:r>
      <w:r w:rsidR="005F6046">
        <w:rPr>
          <w:b/>
          <w:sz w:val="24"/>
          <w:szCs w:val="24"/>
        </w:rPr>
        <w:fldChar w:fldCharType="separate"/>
      </w:r>
      <w:r w:rsidR="00BB402E">
        <w:rPr>
          <w:b/>
          <w:noProof/>
          <w:sz w:val="24"/>
          <w:szCs w:val="24"/>
        </w:rPr>
        <w:t>8</w:t>
      </w:r>
      <w:r w:rsidR="005F6046">
        <w:rPr>
          <w:b/>
          <w:sz w:val="24"/>
          <w:szCs w:val="24"/>
        </w:rPr>
        <w:fldChar w:fldCharType="end"/>
      </w:r>
      <w:bookmarkEnd w:id="5"/>
      <w:r w:rsidR="005F6046">
        <w:rPr>
          <w:b/>
          <w:sz w:val="24"/>
          <w:szCs w:val="24"/>
        </w:rPr>
        <w:fldChar w:fldCharType="begin"/>
      </w:r>
      <w:r w:rsidR="003F0F8D">
        <w:rPr>
          <w:b/>
          <w:sz w:val="24"/>
          <w:szCs w:val="24"/>
        </w:rPr>
        <w:instrText xml:space="preserve">  </w:instrText>
      </w:r>
      <w:r w:rsidR="005F6046">
        <w:rPr>
          <w:b/>
          <w:sz w:val="24"/>
          <w:szCs w:val="24"/>
        </w:rPr>
        <w:fldChar w:fldCharType="end"/>
      </w:r>
      <w:r w:rsidR="00DB6D34" w:rsidRPr="00606EEA">
        <w:rPr>
          <w:b/>
          <w:sz w:val="24"/>
          <w:szCs w:val="24"/>
        </w:rPr>
        <w:t>] SCSC</w:t>
      </w:r>
      <w:r>
        <w:rPr>
          <w:b/>
          <w:sz w:val="24"/>
          <w:szCs w:val="24"/>
        </w:rPr>
        <w:t xml:space="preserve"> </w:t>
      </w:r>
      <w:r w:rsidR="007413DA">
        <w:rPr>
          <w:b/>
          <w:sz w:val="24"/>
          <w:szCs w:val="24"/>
        </w:rPr>
        <w:t>245</w:t>
      </w:r>
    </w:p>
    <w:p w:rsidR="00C55FDF" w:rsidRPr="00606EEA" w:rsidRDefault="00C55FDF" w:rsidP="00E57D4D">
      <w:pPr>
        <w:pBdr>
          <w:bottom w:val="single" w:sz="4" w:space="5" w:color="auto"/>
        </w:pBdr>
        <w:jc w:val="center"/>
        <w:rPr>
          <w:b/>
          <w:sz w:val="24"/>
          <w:szCs w:val="24"/>
        </w:rPr>
      </w:pPr>
      <w:bookmarkStart w:id="6" w:name="_GoBack"/>
      <w:bookmarkEnd w:id="6"/>
    </w:p>
    <w:p w:rsidR="00572AB3" w:rsidRDefault="00572AB3" w:rsidP="00572AB3">
      <w:pPr>
        <w:rPr>
          <w:sz w:val="24"/>
          <w:szCs w:val="24"/>
        </w:rPr>
      </w:pPr>
    </w:p>
    <w:bookmarkStart w:id="7" w:name="Text20"/>
    <w:p w:rsidR="00FB2453" w:rsidRPr="00B119B1" w:rsidRDefault="005F604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B402E">
        <w:rPr>
          <w:b/>
          <w:noProof/>
          <w:sz w:val="24"/>
          <w:szCs w:val="24"/>
        </w:rPr>
        <w:t>MARTIN AGLAE</w:t>
      </w:r>
      <w:r w:rsidRPr="00B119B1">
        <w:rPr>
          <w:b/>
          <w:sz w:val="24"/>
          <w:szCs w:val="24"/>
        </w:rPr>
        <w:fldChar w:fldCharType="end"/>
      </w:r>
      <w:bookmarkEnd w:id="7"/>
    </w:p>
    <w:bookmarkStart w:id="8" w:name="Dropdown13"/>
    <w:p w:rsidR="00B40898" w:rsidRDefault="005F6046"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7413DA">
        <w:rPr>
          <w:sz w:val="24"/>
          <w:szCs w:val="24"/>
        </w:rPr>
      </w:r>
      <w:r w:rsidR="007413DA">
        <w:rPr>
          <w:sz w:val="24"/>
          <w:szCs w:val="24"/>
        </w:rPr>
        <w:fldChar w:fldCharType="separate"/>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B402E" w:rsidRDefault="005F6046"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363D1">
        <w:rPr>
          <w:b/>
          <w:sz w:val="24"/>
          <w:szCs w:val="24"/>
        </w:rPr>
        <w:t>GERVAIS HENRIE</w:t>
      </w:r>
    </w:p>
    <w:p w:rsidR="002363D1" w:rsidRPr="00C802A1" w:rsidRDefault="00C802A1" w:rsidP="003862CB">
      <w:pPr>
        <w:jc w:val="center"/>
        <w:rPr>
          <w:sz w:val="24"/>
          <w:szCs w:val="24"/>
        </w:rPr>
      </w:pPr>
      <w:r w:rsidRPr="00C802A1">
        <w:rPr>
          <w:sz w:val="24"/>
          <w:szCs w:val="24"/>
        </w:rPr>
        <w:t>1</w:t>
      </w:r>
      <w:r w:rsidRPr="00C802A1">
        <w:rPr>
          <w:sz w:val="24"/>
          <w:szCs w:val="24"/>
          <w:vertAlign w:val="superscript"/>
        </w:rPr>
        <w:t>st</w:t>
      </w:r>
      <w:r>
        <w:rPr>
          <w:sz w:val="24"/>
          <w:szCs w:val="24"/>
        </w:rPr>
        <w:t xml:space="preserve"> R</w:t>
      </w:r>
      <w:r w:rsidRPr="00C802A1">
        <w:rPr>
          <w:sz w:val="24"/>
          <w:szCs w:val="24"/>
        </w:rPr>
        <w:t xml:space="preserve">espondent </w:t>
      </w:r>
    </w:p>
    <w:p w:rsidR="00B119B1" w:rsidRDefault="002363D1" w:rsidP="003862CB">
      <w:pPr>
        <w:jc w:val="center"/>
        <w:rPr>
          <w:b/>
          <w:sz w:val="24"/>
          <w:szCs w:val="24"/>
        </w:rPr>
      </w:pPr>
      <w:r>
        <w:rPr>
          <w:b/>
          <w:sz w:val="24"/>
          <w:szCs w:val="24"/>
        </w:rPr>
        <w:t>XPRESS PRINTING</w:t>
      </w:r>
      <w:r w:rsidR="005F6046" w:rsidRPr="00B119B1">
        <w:rPr>
          <w:b/>
          <w:sz w:val="24"/>
          <w:szCs w:val="24"/>
        </w:rPr>
        <w:fldChar w:fldCharType="end"/>
      </w:r>
      <w:bookmarkEnd w:id="9"/>
    </w:p>
    <w:p w:rsidR="00C802A1" w:rsidRPr="00C802A1" w:rsidRDefault="00C802A1" w:rsidP="003862CB">
      <w:pPr>
        <w:jc w:val="center"/>
        <w:rPr>
          <w:sz w:val="24"/>
          <w:szCs w:val="24"/>
        </w:rPr>
      </w:pPr>
      <w:r w:rsidRPr="00C802A1">
        <w:rPr>
          <w:sz w:val="24"/>
          <w:szCs w:val="24"/>
        </w:rPr>
        <w:t>2</w:t>
      </w:r>
      <w:r w:rsidRPr="00C802A1">
        <w:rPr>
          <w:sz w:val="24"/>
          <w:szCs w:val="24"/>
          <w:vertAlign w:val="superscript"/>
        </w:rPr>
        <w:t>nd</w:t>
      </w:r>
      <w:r w:rsidRPr="00C802A1">
        <w:rPr>
          <w:sz w:val="24"/>
          <w:szCs w:val="24"/>
        </w:rPr>
        <w:t xml:space="preserve"> Respondent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5F6046">
        <w:rPr>
          <w:sz w:val="24"/>
          <w:szCs w:val="24"/>
        </w:rPr>
        <w:fldChar w:fldCharType="begin">
          <w:ffData>
            <w:name w:val="Text34"/>
            <w:enabled/>
            <w:calcOnExit w:val="0"/>
            <w:textInput/>
          </w:ffData>
        </w:fldChar>
      </w:r>
      <w:r w:rsidR="002A7376">
        <w:rPr>
          <w:sz w:val="24"/>
          <w:szCs w:val="24"/>
        </w:rPr>
        <w:instrText xml:space="preserve"> FORMTEXT </w:instrText>
      </w:r>
      <w:r w:rsidR="005F6046">
        <w:rPr>
          <w:sz w:val="24"/>
          <w:szCs w:val="24"/>
        </w:rPr>
      </w:r>
      <w:r w:rsidR="005F604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5F6046">
        <w:rPr>
          <w:sz w:val="24"/>
          <w:szCs w:val="24"/>
        </w:rPr>
        <w:fldChar w:fldCharType="end"/>
      </w:r>
      <w:bookmarkEnd w:id="10"/>
      <w:r w:rsidR="005F6046">
        <w:rPr>
          <w:sz w:val="24"/>
          <w:szCs w:val="24"/>
        </w:rPr>
        <w:fldChar w:fldCharType="begin"/>
      </w:r>
      <w:r w:rsidR="003F0F8D">
        <w:rPr>
          <w:sz w:val="24"/>
          <w:szCs w:val="24"/>
        </w:rPr>
        <w:instrText xml:space="preserve">  </w:instrText>
      </w:r>
      <w:r w:rsidR="005F6046">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F6046">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5F6046">
        <w:rPr>
          <w:sz w:val="24"/>
          <w:szCs w:val="24"/>
        </w:rPr>
      </w:r>
      <w:r w:rsidR="005F6046">
        <w:rPr>
          <w:sz w:val="24"/>
          <w:szCs w:val="24"/>
        </w:rPr>
        <w:fldChar w:fldCharType="separate"/>
      </w:r>
      <w:r w:rsidR="00BB402E">
        <w:rPr>
          <w:noProof/>
          <w:sz w:val="24"/>
          <w:szCs w:val="24"/>
        </w:rPr>
        <w:t>Ms. Alexandra Madeleine</w:t>
      </w:r>
      <w:r w:rsidR="005F6046">
        <w:rPr>
          <w:sz w:val="24"/>
          <w:szCs w:val="24"/>
        </w:rPr>
        <w:fldChar w:fldCharType="end"/>
      </w:r>
      <w:bookmarkEnd w:id="11"/>
      <w:r w:rsidR="005F6046">
        <w:rPr>
          <w:sz w:val="24"/>
          <w:szCs w:val="24"/>
        </w:rPr>
        <w:fldChar w:fldCharType="begin"/>
      </w:r>
      <w:r w:rsidR="00F804CC">
        <w:rPr>
          <w:sz w:val="24"/>
          <w:szCs w:val="24"/>
        </w:rPr>
        <w:instrText xml:space="preserve"> ASK  "Enter Appellant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F804CC">
        <w:rPr>
          <w:b/>
          <w:sz w:val="24"/>
          <w:szCs w:val="24"/>
        </w:rPr>
        <w:t xml:space="preserve"> </w:t>
      </w:r>
      <w:r w:rsidR="009E05E5">
        <w:rPr>
          <w:sz w:val="24"/>
          <w:szCs w:val="24"/>
        </w:rPr>
        <w:t xml:space="preserve">for </w:t>
      </w:r>
      <w:bookmarkStart w:id="12" w:name="Dropdown11"/>
      <w:r w:rsidR="005F6046">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7413DA">
        <w:rPr>
          <w:sz w:val="24"/>
          <w:szCs w:val="24"/>
        </w:rPr>
      </w:r>
      <w:r w:rsidR="007413DA">
        <w:rPr>
          <w:sz w:val="24"/>
          <w:szCs w:val="24"/>
        </w:rPr>
        <w:fldChar w:fldCharType="separate"/>
      </w:r>
      <w:r w:rsidR="005F6046">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6"/>
            <w:enabled/>
            <w:calcOnExit w:val="0"/>
            <w:textInput/>
          </w:ffData>
        </w:fldChar>
      </w:r>
      <w:bookmarkStart w:id="13" w:name="Text36"/>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5F6046">
        <w:rPr>
          <w:sz w:val="24"/>
          <w:szCs w:val="24"/>
        </w:rPr>
      </w:r>
      <w:r w:rsidR="005F6046">
        <w:rPr>
          <w:sz w:val="24"/>
          <w:szCs w:val="24"/>
        </w:rPr>
        <w:fldChar w:fldCharType="separate"/>
      </w:r>
      <w:r w:rsidR="00BB402E">
        <w:rPr>
          <w:noProof/>
          <w:sz w:val="24"/>
          <w:szCs w:val="24"/>
        </w:rPr>
        <w:t>Mr. Anthony Derjaques</w:t>
      </w:r>
      <w:r w:rsidR="005F6046">
        <w:rPr>
          <w:sz w:val="24"/>
          <w:szCs w:val="24"/>
        </w:rPr>
        <w:fldChar w:fldCharType="end"/>
      </w:r>
      <w:bookmarkEnd w:id="14"/>
      <w:r w:rsidR="005F6046">
        <w:rPr>
          <w:sz w:val="24"/>
          <w:szCs w:val="24"/>
        </w:rPr>
        <w:fldChar w:fldCharType="begin"/>
      </w:r>
      <w:r w:rsidR="00F804CC">
        <w:rPr>
          <w:sz w:val="24"/>
          <w:szCs w:val="24"/>
        </w:rPr>
        <w:instrText xml:space="preserve"> ASK  "Enter Respondent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3F0F8D">
        <w:rPr>
          <w:sz w:val="24"/>
          <w:szCs w:val="24"/>
        </w:rPr>
        <w:t xml:space="preserve"> </w:t>
      </w:r>
      <w:r>
        <w:rPr>
          <w:sz w:val="24"/>
          <w:szCs w:val="24"/>
        </w:rPr>
        <w:t xml:space="preserve">for </w:t>
      </w:r>
      <w:bookmarkStart w:id="15" w:name="Dropdown12"/>
      <w:r w:rsidR="005F6046">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7413DA">
        <w:rPr>
          <w:sz w:val="24"/>
          <w:szCs w:val="24"/>
        </w:rPr>
      </w:r>
      <w:r w:rsidR="007413DA">
        <w:rPr>
          <w:sz w:val="24"/>
          <w:szCs w:val="24"/>
        </w:rPr>
        <w:fldChar w:fldCharType="separate"/>
      </w:r>
      <w:r w:rsidR="005F6046">
        <w:rPr>
          <w:sz w:val="24"/>
          <w:szCs w:val="24"/>
        </w:rPr>
        <w:fldChar w:fldCharType="end"/>
      </w:r>
      <w:bookmarkEnd w:id="15"/>
      <w:r w:rsidR="00C802A1">
        <w:rPr>
          <w:sz w:val="24"/>
          <w:szCs w:val="24"/>
        </w:rPr>
        <w: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7"/>
            <w:enabled/>
            <w:calcOnExit w:val="0"/>
            <w:textInput/>
          </w:ffData>
        </w:fldChar>
      </w:r>
      <w:bookmarkStart w:id="16" w:name="Text37"/>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5F60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F6046">
        <w:rPr>
          <w:sz w:val="24"/>
          <w:szCs w:val="24"/>
        </w:rPr>
      </w:r>
      <w:r w:rsidR="005F6046">
        <w:rPr>
          <w:sz w:val="24"/>
          <w:szCs w:val="24"/>
        </w:rPr>
        <w:fldChar w:fldCharType="separate"/>
      </w:r>
      <w:r w:rsidR="002363D1">
        <w:rPr>
          <w:noProof/>
          <w:sz w:val="24"/>
          <w:szCs w:val="24"/>
        </w:rPr>
        <w:t>12 March 2018</w:t>
      </w:r>
      <w:r w:rsidR="005F6046">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5F6046"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sidR="007413DA">
        <w:rPr>
          <w:b/>
          <w:sz w:val="24"/>
          <w:szCs w:val="24"/>
        </w:rPr>
      </w:r>
      <w:r w:rsidR="007413DA">
        <w:rPr>
          <w:b/>
          <w:sz w:val="24"/>
          <w:szCs w:val="24"/>
        </w:rPr>
        <w:fldChar w:fldCharType="separate"/>
      </w:r>
      <w:r>
        <w:rPr>
          <w:b/>
          <w:sz w:val="24"/>
          <w:szCs w:val="24"/>
        </w:rPr>
        <w:fldChar w:fldCharType="end"/>
      </w:r>
      <w:bookmarkEnd w:id="19"/>
      <w:r w:rsidR="006A2C88">
        <w:rPr>
          <w:b/>
          <w:sz w:val="24"/>
          <w:szCs w:val="24"/>
        </w:rPr>
        <w:t xml:space="preserve"> ON </w:t>
      </w:r>
      <w:bookmarkStart w:id="20"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sidR="007413DA">
        <w:rPr>
          <w:b/>
          <w:sz w:val="24"/>
          <w:szCs w:val="24"/>
        </w:rPr>
      </w:r>
      <w:r w:rsidR="007413DA">
        <w:rPr>
          <w:b/>
          <w:sz w:val="24"/>
          <w:szCs w:val="24"/>
        </w:rPr>
        <w:fldChar w:fldCharType="separate"/>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3A7C6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4"/>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1" w:name="Dropdown9"/>
      <w:r>
        <w:rPr>
          <w:b/>
          <w:sz w:val="24"/>
          <w:szCs w:val="24"/>
        </w:rPr>
        <w:instrText xml:space="preserve"> FORMDROPDOWN </w:instrText>
      </w:r>
      <w:r w:rsidR="007413DA">
        <w:rPr>
          <w:b/>
          <w:sz w:val="24"/>
          <w:szCs w:val="24"/>
        </w:rPr>
      </w:r>
      <w:r w:rsidR="007413DA">
        <w:rPr>
          <w:b/>
          <w:sz w:val="24"/>
          <w:szCs w:val="24"/>
        </w:rPr>
        <w:fldChar w:fldCharType="separate"/>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72583" w:rsidRDefault="007413DA" w:rsidP="007413DA">
      <w:pPr>
        <w:pStyle w:val="JudgmentText"/>
        <w:numPr>
          <w:ilvl w:val="0"/>
          <w:numId w:val="0"/>
        </w:numPr>
        <w:ind w:left="720" w:hanging="720"/>
      </w:pPr>
      <w:r>
        <w:lastRenderedPageBreak/>
        <w:t>[1]</w:t>
      </w:r>
      <w:r>
        <w:tab/>
      </w:r>
      <w:r w:rsidR="00B72583">
        <w:t>This ruling follows a motion by the Petitioner (Plaintiff in the main case) to amend the Plaint to reflect the following in the heading “</w:t>
      </w:r>
      <w:proofErr w:type="spellStart"/>
      <w:r w:rsidR="00B72583">
        <w:t>Regar</w:t>
      </w:r>
      <w:proofErr w:type="spellEnd"/>
      <w:r w:rsidR="00B72583">
        <w:t xml:space="preserve"> Printing Ltd trading as X-Press Printing” and same in the corresponding paragraph 2 of the Plaint.</w:t>
      </w:r>
    </w:p>
    <w:p w:rsidR="00B72583" w:rsidRDefault="007413DA" w:rsidP="007413DA">
      <w:pPr>
        <w:pStyle w:val="JudgmentText"/>
        <w:numPr>
          <w:ilvl w:val="0"/>
          <w:numId w:val="0"/>
        </w:numPr>
        <w:ind w:left="720" w:hanging="720"/>
      </w:pPr>
      <w:r>
        <w:lastRenderedPageBreak/>
        <w:t>[2]</w:t>
      </w:r>
      <w:r>
        <w:tab/>
      </w:r>
      <w:r w:rsidR="00B72583">
        <w:t>Counsel for the Respondent (Defendant in the main case) objected to the motion to amend on the basis that the Petitioner (Plaintiff) is attempting to substitute Defendants under section 114 of the Seychelles Civil Procedure Code and not amending under section 146 of the Code.</w:t>
      </w:r>
    </w:p>
    <w:p w:rsidR="00B72583" w:rsidRDefault="007413DA" w:rsidP="007413DA">
      <w:pPr>
        <w:pStyle w:val="JudgmentText"/>
        <w:numPr>
          <w:ilvl w:val="0"/>
          <w:numId w:val="0"/>
        </w:numPr>
        <w:ind w:left="720" w:hanging="720"/>
        <w:rPr>
          <w:lang w:val="en-US"/>
        </w:rPr>
      </w:pPr>
      <w:r>
        <w:rPr>
          <w:lang w:val="en-US"/>
        </w:rPr>
        <w:t>[3]</w:t>
      </w:r>
      <w:r>
        <w:rPr>
          <w:lang w:val="en-US"/>
        </w:rPr>
        <w:tab/>
      </w:r>
      <w:r w:rsidR="00B72583">
        <w:t xml:space="preserve">The procedure for amendment of pleadings is set out in </w:t>
      </w:r>
      <w:r w:rsidR="00B72583">
        <w:rPr>
          <w:rStyle w:val="Strong"/>
        </w:rPr>
        <w:t xml:space="preserve">section 146 of the Seychelles Code of Civil Procedure </w:t>
      </w:r>
      <w:r w:rsidR="00B72583">
        <w:t>as follows:</w:t>
      </w:r>
    </w:p>
    <w:p w:rsidR="00B72583" w:rsidRDefault="00B72583" w:rsidP="00B72583">
      <w:pPr>
        <w:pStyle w:val="JudgmentText"/>
        <w:numPr>
          <w:ilvl w:val="0"/>
          <w:numId w:val="0"/>
        </w:numPr>
        <w:ind w:left="720" w:right="720"/>
        <w:rPr>
          <w:rStyle w:val="Emphasis"/>
          <w:i w:val="0"/>
        </w:rPr>
      </w:pPr>
      <w:r>
        <w:rPr>
          <w:rStyle w:val="Emphasis"/>
        </w:rPr>
        <w:tab/>
        <w:t xml:space="preserve">“The court may, at any stage of the proceedings, allow either party to alter </w:t>
      </w:r>
      <w:r>
        <w:rPr>
          <w:rStyle w:val="Emphasis"/>
        </w:rPr>
        <w:tab/>
        <w:t xml:space="preserve">or amend his pleadings, in such manner and on such terms as may be just, </w:t>
      </w:r>
      <w:r>
        <w:rPr>
          <w:rStyle w:val="Emphasis"/>
        </w:rPr>
        <w:tab/>
        <w:t xml:space="preserve">and all such amendments shall be made as may be necessary for the purpose </w:t>
      </w:r>
      <w:r>
        <w:rPr>
          <w:rStyle w:val="Emphasis"/>
        </w:rPr>
        <w:tab/>
        <w:t>of determining the real questions in controversy between the parties.”</w:t>
      </w:r>
    </w:p>
    <w:p w:rsidR="00B72583" w:rsidRPr="00E239AA" w:rsidRDefault="007413DA" w:rsidP="007413DA">
      <w:pPr>
        <w:pStyle w:val="JudgmentText"/>
        <w:numPr>
          <w:ilvl w:val="0"/>
          <w:numId w:val="0"/>
        </w:numPr>
        <w:ind w:left="720" w:hanging="720"/>
        <w:rPr>
          <w:rStyle w:val="Emphasis"/>
          <w:i w:val="0"/>
        </w:rPr>
      </w:pPr>
      <w:r w:rsidRPr="00E239AA">
        <w:rPr>
          <w:rStyle w:val="Emphasis"/>
          <w:i w:val="0"/>
        </w:rPr>
        <w:t>[4]</w:t>
      </w:r>
      <w:r w:rsidRPr="00E239AA">
        <w:rPr>
          <w:rStyle w:val="Emphasis"/>
          <w:i w:val="0"/>
        </w:rPr>
        <w:tab/>
      </w:r>
      <w:r w:rsidR="00B72583">
        <w:t xml:space="preserve">The principles regarding amendment of plaint are further set out and elaborated in the case of </w:t>
      </w:r>
      <w:r w:rsidR="00B72583" w:rsidRPr="00E239AA">
        <w:rPr>
          <w:rStyle w:val="Emphasis"/>
          <w:b/>
          <w:bCs/>
          <w:i w:val="0"/>
          <w:u w:val="single"/>
        </w:rPr>
        <w:t xml:space="preserve">Petit Car Hire versus </w:t>
      </w:r>
      <w:proofErr w:type="spellStart"/>
      <w:r w:rsidR="00B72583" w:rsidRPr="00E239AA">
        <w:rPr>
          <w:rStyle w:val="Emphasis"/>
          <w:b/>
          <w:bCs/>
          <w:i w:val="0"/>
          <w:u w:val="single"/>
        </w:rPr>
        <w:t>Mandelson</w:t>
      </w:r>
      <w:proofErr w:type="spellEnd"/>
      <w:r w:rsidR="00B72583" w:rsidRPr="00E239AA">
        <w:rPr>
          <w:rStyle w:val="Emphasis"/>
          <w:b/>
          <w:bCs/>
          <w:i w:val="0"/>
          <w:u w:val="single"/>
        </w:rPr>
        <w:t xml:space="preserve"> (1977) No.20</w:t>
      </w:r>
      <w:r w:rsidR="00B72583" w:rsidRPr="00E239AA">
        <w:rPr>
          <w:rStyle w:val="Emphasis"/>
          <w:bCs/>
          <w:i w:val="0"/>
        </w:rPr>
        <w:t xml:space="preserve"> as well as </w:t>
      </w:r>
      <w:r w:rsidR="00B72583" w:rsidRPr="00E239AA">
        <w:rPr>
          <w:rStyle w:val="Emphasis"/>
          <w:b/>
          <w:bCs/>
          <w:i w:val="0"/>
          <w:u w:val="single"/>
        </w:rPr>
        <w:t>Morin v Pool (2002) SLR 144</w:t>
      </w:r>
      <w:r w:rsidR="00B72583" w:rsidRPr="00E239AA">
        <w:rPr>
          <w:rStyle w:val="Emphasis"/>
          <w:bCs/>
          <w:i w:val="0"/>
        </w:rPr>
        <w:t xml:space="preserve"> in that no amendment of a plaint which seeks to convert a suit of one character into a suit of another and substantially different character should be allowed</w:t>
      </w:r>
      <w:r w:rsidR="00B72583">
        <w:rPr>
          <w:rStyle w:val="Emphasis"/>
        </w:rPr>
        <w:t>.</w:t>
      </w:r>
    </w:p>
    <w:p w:rsidR="00B72583" w:rsidRPr="002D15C2" w:rsidRDefault="007413DA" w:rsidP="007413DA">
      <w:pPr>
        <w:pStyle w:val="JudgmentText"/>
        <w:numPr>
          <w:ilvl w:val="0"/>
          <w:numId w:val="0"/>
        </w:numPr>
        <w:ind w:left="720" w:hanging="720"/>
        <w:jc w:val="left"/>
        <w:rPr>
          <w:rStyle w:val="Strong"/>
          <w:b w:val="0"/>
          <w:bCs w:val="0"/>
        </w:rPr>
      </w:pPr>
      <w:r w:rsidRPr="002D15C2">
        <w:rPr>
          <w:rStyle w:val="Strong"/>
          <w:b w:val="0"/>
          <w:bCs w:val="0"/>
        </w:rPr>
        <w:t>[5]</w:t>
      </w:r>
      <w:r w:rsidRPr="002D15C2">
        <w:rPr>
          <w:rStyle w:val="Strong"/>
          <w:b w:val="0"/>
          <w:bCs w:val="0"/>
        </w:rPr>
        <w:tab/>
      </w:r>
      <w:r w:rsidR="00B72583">
        <w:rPr>
          <w:rStyle w:val="Strong"/>
          <w:b w:val="0"/>
        </w:rPr>
        <w:t xml:space="preserve">I also find the case of </w:t>
      </w:r>
      <w:proofErr w:type="spellStart"/>
      <w:r w:rsidR="00B72583" w:rsidRPr="002D15C2">
        <w:rPr>
          <w:rStyle w:val="Strong"/>
          <w:u w:val="single"/>
        </w:rPr>
        <w:t>Casamar</w:t>
      </w:r>
      <w:proofErr w:type="spellEnd"/>
      <w:r w:rsidR="00B72583" w:rsidRPr="002D15C2">
        <w:rPr>
          <w:rStyle w:val="Strong"/>
          <w:u w:val="single"/>
        </w:rPr>
        <w:t xml:space="preserve"> v Aristotle SSC341/1996, 25 July 2002</w:t>
      </w:r>
      <w:r w:rsidR="00B72583">
        <w:rPr>
          <w:rStyle w:val="Strong"/>
          <w:b w:val="0"/>
        </w:rPr>
        <w:t>, as reported in the Seychelles Digest, of relevance, in that “an amendment to the pleadings will be granted unless there are exceptional reasons why it should not be granted. An amendment will be refused if it is sought in bad faith, alters the nature of the suit, changes the cause of action, or causes prejudice or injustice to the other party that could not be compensated by costs.”</w:t>
      </w:r>
    </w:p>
    <w:p w:rsidR="00B72583" w:rsidRPr="00E239AA" w:rsidRDefault="007413DA" w:rsidP="007413DA">
      <w:pPr>
        <w:pStyle w:val="JudgmentText"/>
        <w:numPr>
          <w:ilvl w:val="0"/>
          <w:numId w:val="0"/>
        </w:numPr>
        <w:ind w:left="720" w:hanging="720"/>
        <w:rPr>
          <w:rStyle w:val="Strong"/>
          <w:b w:val="0"/>
          <w:bCs w:val="0"/>
        </w:rPr>
      </w:pPr>
      <w:r w:rsidRPr="00E239AA">
        <w:rPr>
          <w:rStyle w:val="Strong"/>
          <w:b w:val="0"/>
          <w:bCs w:val="0"/>
        </w:rPr>
        <w:t>[6]</w:t>
      </w:r>
      <w:r w:rsidRPr="00E239AA">
        <w:rPr>
          <w:rStyle w:val="Strong"/>
          <w:b w:val="0"/>
          <w:bCs w:val="0"/>
        </w:rPr>
        <w:tab/>
      </w:r>
      <w:r w:rsidR="00B72583">
        <w:rPr>
          <w:rStyle w:val="Strong"/>
          <w:b w:val="0"/>
        </w:rPr>
        <w:t xml:space="preserve">As far as substitution of defendants is concerned, </w:t>
      </w:r>
      <w:r w:rsidR="00B72583" w:rsidRPr="00E239AA">
        <w:rPr>
          <w:rStyle w:val="Strong"/>
        </w:rPr>
        <w:t>section 114 of the Seychelles Code of Civil Procedure</w:t>
      </w:r>
      <w:r w:rsidR="00B72583">
        <w:rPr>
          <w:rStyle w:val="Strong"/>
          <w:b w:val="0"/>
        </w:rPr>
        <w:t xml:space="preserve"> provides that:</w:t>
      </w:r>
    </w:p>
    <w:p w:rsidR="00B72583" w:rsidRPr="00E239AA" w:rsidRDefault="00B72583" w:rsidP="00B72583">
      <w:pPr>
        <w:pStyle w:val="JudgmentText"/>
        <w:numPr>
          <w:ilvl w:val="0"/>
          <w:numId w:val="0"/>
        </w:numPr>
        <w:ind w:left="720" w:right="720"/>
        <w:rPr>
          <w:rStyle w:val="Strong"/>
          <w:b w:val="0"/>
          <w:bCs w:val="0"/>
          <w:i/>
        </w:rPr>
      </w:pPr>
      <w:r>
        <w:rPr>
          <w:rStyle w:val="Strong"/>
          <w:b w:val="0"/>
          <w:bCs w:val="0"/>
        </w:rPr>
        <w:tab/>
      </w:r>
      <w:r w:rsidRPr="00E239AA">
        <w:rPr>
          <w:rStyle w:val="Strong"/>
          <w:b w:val="0"/>
          <w:bCs w:val="0"/>
          <w:i/>
        </w:rPr>
        <w:t xml:space="preserve">“Where a defendant is added or substituted, the plaint shall, unless the </w:t>
      </w:r>
      <w:r>
        <w:rPr>
          <w:rStyle w:val="Strong"/>
          <w:b w:val="0"/>
          <w:bCs w:val="0"/>
          <w:i/>
        </w:rPr>
        <w:tab/>
      </w:r>
      <w:r w:rsidRPr="00E239AA">
        <w:rPr>
          <w:rStyle w:val="Strong"/>
          <w:b w:val="0"/>
          <w:bCs w:val="0"/>
          <w:i/>
        </w:rPr>
        <w:t xml:space="preserve">court </w:t>
      </w:r>
      <w:r w:rsidRPr="00E239AA">
        <w:rPr>
          <w:rStyle w:val="Strong"/>
          <w:b w:val="0"/>
          <w:bCs w:val="0"/>
          <w:i/>
        </w:rPr>
        <w:tab/>
        <w:t xml:space="preserve">directs </w:t>
      </w:r>
      <w:r w:rsidRPr="00E239AA">
        <w:rPr>
          <w:rStyle w:val="Strong"/>
          <w:b w:val="0"/>
          <w:bCs w:val="0"/>
          <w:i/>
        </w:rPr>
        <w:tab/>
        <w:t xml:space="preserve">otherwise, be amended in such manner as may be necessary, </w:t>
      </w:r>
      <w:r>
        <w:rPr>
          <w:rStyle w:val="Strong"/>
          <w:b w:val="0"/>
          <w:bCs w:val="0"/>
          <w:i/>
        </w:rPr>
        <w:tab/>
      </w:r>
      <w:r w:rsidRPr="00E239AA">
        <w:rPr>
          <w:rStyle w:val="Strong"/>
          <w:b w:val="0"/>
          <w:bCs w:val="0"/>
          <w:i/>
        </w:rPr>
        <w:t xml:space="preserve">and a </w:t>
      </w:r>
      <w:r w:rsidRPr="00E239AA">
        <w:rPr>
          <w:rStyle w:val="Strong"/>
          <w:b w:val="0"/>
          <w:bCs w:val="0"/>
          <w:i/>
        </w:rPr>
        <w:tab/>
        <w:t xml:space="preserve">summons with a copy of the amended plaint attached shall be served </w:t>
      </w:r>
      <w:r>
        <w:rPr>
          <w:rStyle w:val="Strong"/>
          <w:b w:val="0"/>
          <w:bCs w:val="0"/>
          <w:i/>
        </w:rPr>
        <w:tab/>
      </w:r>
      <w:r w:rsidRPr="00E239AA">
        <w:rPr>
          <w:rStyle w:val="Strong"/>
          <w:b w:val="0"/>
          <w:bCs w:val="0"/>
          <w:i/>
        </w:rPr>
        <w:t xml:space="preserve">on the </w:t>
      </w:r>
      <w:r w:rsidRPr="00E239AA">
        <w:rPr>
          <w:rStyle w:val="Strong"/>
          <w:b w:val="0"/>
          <w:bCs w:val="0"/>
          <w:i/>
        </w:rPr>
        <w:tab/>
        <w:t xml:space="preserve">new defendant and the proceedings as against such party shall be </w:t>
      </w:r>
      <w:r>
        <w:rPr>
          <w:rStyle w:val="Strong"/>
          <w:b w:val="0"/>
          <w:bCs w:val="0"/>
          <w:i/>
        </w:rPr>
        <w:tab/>
      </w:r>
      <w:r w:rsidRPr="00E239AA">
        <w:rPr>
          <w:rStyle w:val="Strong"/>
          <w:b w:val="0"/>
          <w:bCs w:val="0"/>
          <w:i/>
        </w:rPr>
        <w:t xml:space="preserve">deemed to have begun only on the service of such summons. The court may </w:t>
      </w:r>
      <w:r>
        <w:rPr>
          <w:rStyle w:val="Strong"/>
          <w:b w:val="0"/>
          <w:bCs w:val="0"/>
          <w:i/>
        </w:rPr>
        <w:tab/>
      </w:r>
      <w:r w:rsidRPr="00E239AA">
        <w:rPr>
          <w:rStyle w:val="Strong"/>
          <w:b w:val="0"/>
          <w:bCs w:val="0"/>
          <w:i/>
        </w:rPr>
        <w:t xml:space="preserve">order a copy of the amended plaint to be served on or supplied to the </w:t>
      </w:r>
      <w:r>
        <w:rPr>
          <w:rStyle w:val="Strong"/>
          <w:b w:val="0"/>
          <w:bCs w:val="0"/>
          <w:i/>
        </w:rPr>
        <w:tab/>
      </w:r>
      <w:r w:rsidRPr="00E239AA">
        <w:rPr>
          <w:rStyle w:val="Strong"/>
          <w:b w:val="0"/>
          <w:bCs w:val="0"/>
          <w:i/>
        </w:rPr>
        <w:t>original defendant.”</w:t>
      </w:r>
    </w:p>
    <w:p w:rsidR="00B72583" w:rsidRPr="00554D41" w:rsidRDefault="007413DA" w:rsidP="007413DA">
      <w:pPr>
        <w:pStyle w:val="JudgmentText"/>
        <w:numPr>
          <w:ilvl w:val="0"/>
          <w:numId w:val="0"/>
        </w:numPr>
        <w:ind w:left="720" w:hanging="720"/>
        <w:rPr>
          <w:rStyle w:val="Strong"/>
          <w:b w:val="0"/>
          <w:bCs w:val="0"/>
        </w:rPr>
      </w:pPr>
      <w:r w:rsidRPr="00554D41">
        <w:rPr>
          <w:rStyle w:val="Strong"/>
          <w:b w:val="0"/>
          <w:bCs w:val="0"/>
        </w:rPr>
        <w:t>[7]</w:t>
      </w:r>
      <w:r w:rsidRPr="00554D41">
        <w:rPr>
          <w:rStyle w:val="Strong"/>
          <w:b w:val="0"/>
          <w:bCs w:val="0"/>
        </w:rPr>
        <w:tab/>
      </w:r>
      <w:r w:rsidR="00B72583">
        <w:rPr>
          <w:rStyle w:val="Strong"/>
          <w:b w:val="0"/>
        </w:rPr>
        <w:t xml:space="preserve">In passing I note </w:t>
      </w:r>
      <w:r w:rsidR="00B72583" w:rsidRPr="00554D41">
        <w:rPr>
          <w:rStyle w:val="Strong"/>
        </w:rPr>
        <w:t>section 112 of the Code</w:t>
      </w:r>
      <w:r w:rsidR="00B72583">
        <w:rPr>
          <w:rStyle w:val="Strong"/>
          <w:b w:val="0"/>
        </w:rPr>
        <w:t xml:space="preserve"> as well which provides thus:</w:t>
      </w:r>
    </w:p>
    <w:p w:rsidR="00B72583" w:rsidRPr="00554D41" w:rsidRDefault="00B72583" w:rsidP="00B72583">
      <w:pPr>
        <w:pStyle w:val="JudgmentText"/>
        <w:numPr>
          <w:ilvl w:val="0"/>
          <w:numId w:val="0"/>
        </w:numPr>
        <w:ind w:left="720" w:right="720"/>
        <w:rPr>
          <w:rStyle w:val="Strong"/>
          <w:b w:val="0"/>
          <w:bCs w:val="0"/>
          <w:i/>
        </w:rPr>
      </w:pPr>
      <w:r>
        <w:rPr>
          <w:rStyle w:val="Strong"/>
          <w:b w:val="0"/>
        </w:rPr>
        <w:tab/>
      </w:r>
      <w:r w:rsidRPr="00554D41">
        <w:rPr>
          <w:rStyle w:val="Strong"/>
          <w:b w:val="0"/>
          <w:i/>
        </w:rPr>
        <w:t>“No cause or matter shall be defeated by reason of the misjoinder or non-</w:t>
      </w:r>
      <w:r w:rsidRPr="00554D41">
        <w:rPr>
          <w:rStyle w:val="Strong"/>
          <w:b w:val="0"/>
          <w:i/>
        </w:rPr>
        <w:tab/>
        <w:t xml:space="preserve">joinder of parties and the court may in every cause or matter deal with the </w:t>
      </w:r>
      <w:r w:rsidRPr="00554D41">
        <w:rPr>
          <w:rStyle w:val="Strong"/>
          <w:b w:val="0"/>
          <w:i/>
        </w:rPr>
        <w:tab/>
        <w:t xml:space="preserve">matter in controversy so far as regards the rights and interests of the parties </w:t>
      </w:r>
      <w:r w:rsidRPr="00554D41">
        <w:rPr>
          <w:rStyle w:val="Strong"/>
          <w:b w:val="0"/>
          <w:i/>
        </w:rPr>
        <w:tab/>
        <w:t xml:space="preserve">actually before it. The court may at any stage of the proceedings, either </w:t>
      </w:r>
      <w:r>
        <w:rPr>
          <w:rStyle w:val="Strong"/>
          <w:b w:val="0"/>
          <w:i/>
        </w:rPr>
        <w:tab/>
      </w:r>
      <w:r w:rsidRPr="00554D41">
        <w:rPr>
          <w:rStyle w:val="Strong"/>
          <w:b w:val="0"/>
          <w:i/>
        </w:rPr>
        <w:t xml:space="preserve">upon or without application of either party, and on such terms as may </w:t>
      </w:r>
      <w:r>
        <w:rPr>
          <w:rStyle w:val="Strong"/>
          <w:b w:val="0"/>
          <w:i/>
        </w:rPr>
        <w:tab/>
      </w:r>
      <w:r w:rsidRPr="00554D41">
        <w:rPr>
          <w:rStyle w:val="Strong"/>
          <w:b w:val="0"/>
          <w:i/>
        </w:rPr>
        <w:t xml:space="preserve">appear to the court to be just, order that the names of any persons </w:t>
      </w:r>
      <w:r>
        <w:rPr>
          <w:rStyle w:val="Strong"/>
          <w:b w:val="0"/>
          <w:i/>
        </w:rPr>
        <w:tab/>
      </w:r>
      <w:r w:rsidRPr="00554D41">
        <w:rPr>
          <w:rStyle w:val="Strong"/>
          <w:b w:val="0"/>
          <w:i/>
        </w:rPr>
        <w:t xml:space="preserve">improperly joined, whether as plaintiffs or defendants, be struck out, and </w:t>
      </w:r>
      <w:r>
        <w:rPr>
          <w:rStyle w:val="Strong"/>
          <w:b w:val="0"/>
          <w:i/>
        </w:rPr>
        <w:tab/>
      </w:r>
      <w:r w:rsidRPr="00554D41">
        <w:rPr>
          <w:rStyle w:val="Strong"/>
          <w:b w:val="0"/>
          <w:i/>
        </w:rPr>
        <w:t xml:space="preserve">the names of any parties, whether plaintiffs or defendants, who ought to </w:t>
      </w:r>
      <w:r>
        <w:rPr>
          <w:rStyle w:val="Strong"/>
          <w:b w:val="0"/>
          <w:i/>
        </w:rPr>
        <w:tab/>
      </w:r>
      <w:r w:rsidRPr="00554D41">
        <w:rPr>
          <w:rStyle w:val="Strong"/>
          <w:b w:val="0"/>
          <w:i/>
        </w:rPr>
        <w:t xml:space="preserve">have been joined, or whose presence before the court may be necessary in </w:t>
      </w:r>
      <w:r>
        <w:rPr>
          <w:rStyle w:val="Strong"/>
          <w:b w:val="0"/>
          <w:i/>
        </w:rPr>
        <w:tab/>
      </w:r>
      <w:r w:rsidRPr="00554D41">
        <w:rPr>
          <w:rStyle w:val="Strong"/>
          <w:b w:val="0"/>
          <w:i/>
        </w:rPr>
        <w:t xml:space="preserve">order to enable the court effectually and completely to adjudicate upon and </w:t>
      </w:r>
      <w:r>
        <w:rPr>
          <w:rStyle w:val="Strong"/>
          <w:b w:val="0"/>
          <w:i/>
        </w:rPr>
        <w:tab/>
      </w:r>
      <w:r w:rsidRPr="00554D41">
        <w:rPr>
          <w:rStyle w:val="Strong"/>
          <w:b w:val="0"/>
          <w:i/>
        </w:rPr>
        <w:t>settle all the questions involved in the cause or, matter be added.”</w:t>
      </w:r>
    </w:p>
    <w:p w:rsidR="00B72583" w:rsidRDefault="007413DA" w:rsidP="007413DA">
      <w:pPr>
        <w:pStyle w:val="JudgmentText"/>
        <w:numPr>
          <w:ilvl w:val="0"/>
          <w:numId w:val="0"/>
        </w:numPr>
        <w:ind w:left="720" w:hanging="720"/>
      </w:pPr>
      <w:r>
        <w:t>[8]</w:t>
      </w:r>
      <w:r>
        <w:tab/>
      </w:r>
      <w:r w:rsidR="00B72583">
        <w:rPr>
          <w:rStyle w:val="Emphasis"/>
          <w:i w:val="0"/>
        </w:rPr>
        <w:t>Noting the above the guiding principle seems to be that all parties who can assist the court to effectually and completely decide all the questions involved in the cause should be a party to the case, the key being to determine the real issues and bring finality.</w:t>
      </w:r>
    </w:p>
    <w:p w:rsidR="00B72583" w:rsidRPr="00DF1429" w:rsidRDefault="007413DA" w:rsidP="007413DA">
      <w:pPr>
        <w:pStyle w:val="JudgmentText"/>
        <w:numPr>
          <w:ilvl w:val="0"/>
          <w:numId w:val="0"/>
        </w:numPr>
        <w:ind w:left="720" w:hanging="720"/>
        <w:rPr>
          <w:rStyle w:val="Strong"/>
          <w:b w:val="0"/>
          <w:bCs w:val="0"/>
        </w:rPr>
      </w:pPr>
      <w:r w:rsidRPr="00DF1429">
        <w:rPr>
          <w:rStyle w:val="Strong"/>
          <w:b w:val="0"/>
          <w:bCs w:val="0"/>
        </w:rPr>
        <w:t>[9]</w:t>
      </w:r>
      <w:r w:rsidRPr="00DF1429">
        <w:rPr>
          <w:rStyle w:val="Strong"/>
          <w:b w:val="0"/>
          <w:bCs w:val="0"/>
        </w:rPr>
        <w:tab/>
      </w:r>
      <w:r w:rsidR="00B72583">
        <w:rPr>
          <w:rStyle w:val="Strong"/>
          <w:b w:val="0"/>
        </w:rPr>
        <w:t>In the instant case it</w:t>
      </w:r>
      <w:r w:rsidR="00B72583" w:rsidRPr="00DF1429">
        <w:rPr>
          <w:rStyle w:val="Strong"/>
          <w:b w:val="0"/>
        </w:rPr>
        <w:t xml:space="preserve"> is not in doubt who the Plaintiff seeks to sue.</w:t>
      </w:r>
      <w:r w:rsidR="00B72583">
        <w:rPr>
          <w:rStyle w:val="Strong"/>
          <w:b w:val="0"/>
        </w:rPr>
        <w:t xml:space="preserve"> As I see it, counsel for the Plaintiff seeks to clarify the status of the Second Defendant in order to enable the Court to try all issues in the matter. Furthermore I do not believe that the amendment will convert the suit into another. It will in fact allow the Court to adjudicate the matter fully, and so I find.</w:t>
      </w:r>
    </w:p>
    <w:p w:rsidR="00B72583" w:rsidRPr="00DF1429" w:rsidRDefault="007413DA" w:rsidP="007413DA">
      <w:pPr>
        <w:pStyle w:val="JudgmentText"/>
        <w:numPr>
          <w:ilvl w:val="0"/>
          <w:numId w:val="0"/>
        </w:numPr>
        <w:ind w:left="720" w:hanging="720"/>
      </w:pPr>
      <w:r w:rsidRPr="00DF1429">
        <w:t>[10]</w:t>
      </w:r>
      <w:r w:rsidRPr="00DF1429">
        <w:tab/>
      </w:r>
      <w:r w:rsidR="00B72583">
        <w:rPr>
          <w:rStyle w:val="Strong"/>
          <w:b w:val="0"/>
        </w:rPr>
        <w:t>I allow the motion to amend the Plaint in order for the Court to properly consider all the issues in the case and completely adjudicate all questions involved in the matter.</w:t>
      </w:r>
    </w:p>
    <w:p w:rsidR="00B72583" w:rsidRDefault="00B72583" w:rsidP="001E4ED8">
      <w:pPr>
        <w:pStyle w:val="ListParagraph"/>
        <w:widowControl/>
        <w:autoSpaceDE/>
        <w:autoSpaceDN/>
        <w:adjustRightInd/>
        <w:spacing w:after="240" w:line="360" w:lineRule="auto"/>
        <w:ind w:left="0"/>
        <w:contextualSpacing w:val="0"/>
        <w:jc w:val="both"/>
        <w:rPr>
          <w:sz w:val="24"/>
          <w:szCs w:val="24"/>
          <w:highlight w:val="lightGray"/>
        </w:rPr>
      </w:pPr>
    </w:p>
    <w:p w:rsidR="00B72583" w:rsidRDefault="00B72583" w:rsidP="001E4ED8">
      <w:pPr>
        <w:pStyle w:val="ListParagraph"/>
        <w:widowControl/>
        <w:autoSpaceDE/>
        <w:autoSpaceDN/>
        <w:adjustRightInd/>
        <w:spacing w:after="240" w:line="360" w:lineRule="auto"/>
        <w:ind w:left="0"/>
        <w:contextualSpacing w:val="0"/>
        <w:jc w:val="both"/>
        <w:rPr>
          <w:sz w:val="24"/>
          <w:szCs w:val="24"/>
          <w:highlight w:val="lightGray"/>
        </w:rPr>
      </w:pPr>
    </w:p>
    <w:p w:rsidR="00EF2051" w:rsidRDefault="005F6046"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2" w:name="Text19"/>
      <w:r w:rsidR="005F604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F6046">
        <w:rPr>
          <w:sz w:val="24"/>
          <w:szCs w:val="24"/>
        </w:rPr>
      </w:r>
      <w:r w:rsidR="005F6046">
        <w:rPr>
          <w:sz w:val="24"/>
          <w:szCs w:val="24"/>
        </w:rPr>
        <w:fldChar w:fldCharType="separate"/>
      </w:r>
      <w:r w:rsidR="002363D1">
        <w:rPr>
          <w:noProof/>
          <w:sz w:val="24"/>
          <w:szCs w:val="24"/>
        </w:rPr>
        <w:t>12 March 2018</w:t>
      </w:r>
      <w:r w:rsidR="005F6046">
        <w:rPr>
          <w:sz w:val="24"/>
          <w:szCs w:val="24"/>
        </w:rPr>
        <w:fldChar w:fldCharType="end"/>
      </w:r>
      <w:bookmarkEnd w:id="22"/>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05A5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3" w:name="Dropdown6"/>
      <w:r>
        <w:rPr>
          <w:sz w:val="24"/>
          <w:szCs w:val="24"/>
        </w:rPr>
        <w:instrText xml:space="preserve"> FORMDROPDOWN </w:instrText>
      </w:r>
      <w:r w:rsidR="007413DA">
        <w:rPr>
          <w:sz w:val="24"/>
          <w:szCs w:val="24"/>
        </w:rPr>
      </w:r>
      <w:r w:rsidR="007413DA">
        <w:rPr>
          <w:sz w:val="24"/>
          <w:szCs w:val="24"/>
        </w:rPr>
        <w:fldChar w:fldCharType="separate"/>
      </w:r>
      <w:r>
        <w:rPr>
          <w:sz w:val="24"/>
          <w:szCs w:val="24"/>
        </w:rPr>
        <w:fldChar w:fldCharType="end"/>
      </w:r>
      <w:bookmarkEnd w:id="23"/>
    </w:p>
    <w:bookmarkStart w:id="24" w:name="Dropdown7"/>
    <w:p w:rsidR="009E05E5" w:rsidRPr="00E33F35" w:rsidRDefault="005F604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7413DA">
        <w:rPr>
          <w:b/>
          <w:sz w:val="24"/>
          <w:szCs w:val="24"/>
        </w:rPr>
      </w:r>
      <w:r w:rsidR="007413DA">
        <w:rPr>
          <w:b/>
          <w:sz w:val="24"/>
          <w:szCs w:val="24"/>
        </w:rPr>
        <w:fldChar w:fldCharType="separate"/>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D3" w:rsidRDefault="005046D3" w:rsidP="00DB6D34">
      <w:r>
        <w:separator/>
      </w:r>
    </w:p>
  </w:endnote>
  <w:endnote w:type="continuationSeparator" w:id="0">
    <w:p w:rsidR="005046D3" w:rsidRDefault="005046D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C634E">
    <w:pPr>
      <w:pStyle w:val="Footer"/>
      <w:jc w:val="center"/>
    </w:pPr>
    <w:r>
      <w:fldChar w:fldCharType="begin"/>
    </w:r>
    <w:r>
      <w:instrText xml:space="preserve"> PAGE   \* MERGEFORMAT </w:instrText>
    </w:r>
    <w:r>
      <w:fldChar w:fldCharType="separate"/>
    </w:r>
    <w:r w:rsidR="007413D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D3" w:rsidRDefault="005046D3" w:rsidP="00DB6D34">
      <w:r>
        <w:separator/>
      </w:r>
    </w:p>
  </w:footnote>
  <w:footnote w:type="continuationSeparator" w:id="0">
    <w:p w:rsidR="005046D3" w:rsidRDefault="005046D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2E"/>
    <w:rsid w:val="00005BEF"/>
    <w:rsid w:val="00015426"/>
    <w:rsid w:val="0002497E"/>
    <w:rsid w:val="00030C81"/>
    <w:rsid w:val="0006489F"/>
    <w:rsid w:val="00075573"/>
    <w:rsid w:val="00091036"/>
    <w:rsid w:val="0009616A"/>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351C"/>
    <w:rsid w:val="002363D1"/>
    <w:rsid w:val="00236AAC"/>
    <w:rsid w:val="0024353F"/>
    <w:rsid w:val="00251F9B"/>
    <w:rsid w:val="00270E65"/>
    <w:rsid w:val="00290E14"/>
    <w:rsid w:val="002A7376"/>
    <w:rsid w:val="002B2255"/>
    <w:rsid w:val="002C7560"/>
    <w:rsid w:val="002D06AA"/>
    <w:rsid w:val="002D640A"/>
    <w:rsid w:val="002D67FC"/>
    <w:rsid w:val="002E6963"/>
    <w:rsid w:val="002F40A1"/>
    <w:rsid w:val="00301D88"/>
    <w:rsid w:val="00304E76"/>
    <w:rsid w:val="003647E7"/>
    <w:rsid w:val="0037270D"/>
    <w:rsid w:val="00377341"/>
    <w:rsid w:val="003838CC"/>
    <w:rsid w:val="003862CB"/>
    <w:rsid w:val="0038700C"/>
    <w:rsid w:val="003A7C6B"/>
    <w:rsid w:val="003B461C"/>
    <w:rsid w:val="003B4C19"/>
    <w:rsid w:val="003D58AA"/>
    <w:rsid w:val="003D7B97"/>
    <w:rsid w:val="003E2ABC"/>
    <w:rsid w:val="003F0F8D"/>
    <w:rsid w:val="004156B9"/>
    <w:rsid w:val="00445BFA"/>
    <w:rsid w:val="00452BB6"/>
    <w:rsid w:val="0046133B"/>
    <w:rsid w:val="004706DB"/>
    <w:rsid w:val="004873AB"/>
    <w:rsid w:val="004C3D80"/>
    <w:rsid w:val="004F2189"/>
    <w:rsid w:val="004F3823"/>
    <w:rsid w:val="005046D3"/>
    <w:rsid w:val="005207C8"/>
    <w:rsid w:val="00530663"/>
    <w:rsid w:val="005460DE"/>
    <w:rsid w:val="0055036F"/>
    <w:rsid w:val="005514D6"/>
    <w:rsid w:val="00552704"/>
    <w:rsid w:val="00554AAD"/>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7175A6"/>
    <w:rsid w:val="007413DA"/>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A50"/>
    <w:rsid w:val="00B05D6E"/>
    <w:rsid w:val="00B119B1"/>
    <w:rsid w:val="00B14612"/>
    <w:rsid w:val="00B23E73"/>
    <w:rsid w:val="00B40898"/>
    <w:rsid w:val="00B4124C"/>
    <w:rsid w:val="00B444D1"/>
    <w:rsid w:val="00B4625E"/>
    <w:rsid w:val="00B605B4"/>
    <w:rsid w:val="00B72583"/>
    <w:rsid w:val="00B75AE2"/>
    <w:rsid w:val="00B9148E"/>
    <w:rsid w:val="00B94805"/>
    <w:rsid w:val="00BA6027"/>
    <w:rsid w:val="00BB1A42"/>
    <w:rsid w:val="00BB402E"/>
    <w:rsid w:val="00BC1D95"/>
    <w:rsid w:val="00BD0BE9"/>
    <w:rsid w:val="00BD4287"/>
    <w:rsid w:val="00BD60D5"/>
    <w:rsid w:val="00BE1D00"/>
    <w:rsid w:val="00BE3628"/>
    <w:rsid w:val="00BE424C"/>
    <w:rsid w:val="00BF5CC9"/>
    <w:rsid w:val="00C036A5"/>
    <w:rsid w:val="00C065A3"/>
    <w:rsid w:val="00C12020"/>
    <w:rsid w:val="00C14327"/>
    <w:rsid w:val="00C22967"/>
    <w:rsid w:val="00C35333"/>
    <w:rsid w:val="00C55FDF"/>
    <w:rsid w:val="00C5739F"/>
    <w:rsid w:val="00C802A1"/>
    <w:rsid w:val="00C87FCA"/>
    <w:rsid w:val="00C93A22"/>
    <w:rsid w:val="00CA1B0C"/>
    <w:rsid w:val="00CA7795"/>
    <w:rsid w:val="00CA7F40"/>
    <w:rsid w:val="00CB3C7E"/>
    <w:rsid w:val="00CB451B"/>
    <w:rsid w:val="00CF77E2"/>
    <w:rsid w:val="00D03314"/>
    <w:rsid w:val="00D06A0F"/>
    <w:rsid w:val="00D82047"/>
    <w:rsid w:val="00DA292E"/>
    <w:rsid w:val="00DB6D34"/>
    <w:rsid w:val="00DC634E"/>
    <w:rsid w:val="00DD4E02"/>
    <w:rsid w:val="00DE08C1"/>
    <w:rsid w:val="00DF1429"/>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95B52"/>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A210E-1E12-4A86-95A4-72E18353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0961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semiHidden/>
    <w:unhideWhenUsed/>
    <w:rsid w:val="00BB402E"/>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BB402E"/>
    <w:rPr>
      <w:b/>
      <w:bCs/>
    </w:rPr>
  </w:style>
  <w:style w:type="character" w:styleId="Emphasis">
    <w:name w:val="Emphasis"/>
    <w:basedOn w:val="DefaultParagraphFont"/>
    <w:uiPriority w:val="20"/>
    <w:qFormat/>
    <w:rsid w:val="00BB402E"/>
    <w:rPr>
      <w:i/>
      <w:iCs/>
    </w:rPr>
  </w:style>
  <w:style w:type="character" w:customStyle="1" w:styleId="Heading1Char">
    <w:name w:val="Heading 1 Char"/>
    <w:basedOn w:val="DefaultParagraphFont"/>
    <w:link w:val="Heading1"/>
    <w:uiPriority w:val="9"/>
    <w:rsid w:val="0009616A"/>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9679">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7916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AB8D-10D0-4154-B31B-CAC5121F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pillay</dc:creator>
  <cp:keywords/>
  <dc:description/>
  <cp:lastModifiedBy>CJ</cp:lastModifiedBy>
  <cp:revision>3</cp:revision>
  <cp:lastPrinted>2018-03-14T04:41:00Z</cp:lastPrinted>
  <dcterms:created xsi:type="dcterms:W3CDTF">2018-03-14T05:09:00Z</dcterms:created>
  <dcterms:modified xsi:type="dcterms:W3CDTF">2018-08-10T10:33:00Z</dcterms:modified>
</cp:coreProperties>
</file>