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14:paraId="769F3250" w14:textId="77777777" w:rsidR="00F34FB5" w:rsidRDefault="001E0BA2"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DD637F">
        <w:rPr>
          <w:b/>
          <w:sz w:val="24"/>
          <w:szCs w:val="24"/>
        </w:rPr>
        <w:t> </w:t>
      </w:r>
      <w:r w:rsidR="00DD637F">
        <w:rPr>
          <w:b/>
          <w:sz w:val="24"/>
          <w:szCs w:val="24"/>
        </w:rPr>
        <w:t> </w:t>
      </w:r>
      <w:r w:rsidR="00DD637F">
        <w:rPr>
          <w:b/>
          <w:sz w:val="24"/>
          <w:szCs w:val="24"/>
        </w:rPr>
        <w:t> </w:t>
      </w:r>
      <w:r w:rsidR="00DD637F">
        <w:rPr>
          <w:b/>
          <w:sz w:val="24"/>
          <w:szCs w:val="24"/>
        </w:rPr>
        <w:t> </w:t>
      </w:r>
      <w:r w:rsidR="00DD637F">
        <w:rPr>
          <w:b/>
          <w:sz w:val="24"/>
          <w:szCs w:val="24"/>
        </w:rPr>
        <w:t> </w:t>
      </w:r>
      <w:r w:rsidRPr="0096251D">
        <w:rPr>
          <w:b/>
          <w:sz w:val="24"/>
          <w:szCs w:val="24"/>
        </w:rPr>
        <w:fldChar w:fldCharType="end"/>
      </w:r>
      <w:bookmarkEnd w:id="0"/>
    </w:p>
    <w:bookmarkStart w:id="1" w:name="Text42"/>
    <w:p w14:paraId="545A10C9" w14:textId="77777777" w:rsidR="00F34FB5" w:rsidRPr="00B938BB" w:rsidRDefault="001E0BA2"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DD637F">
        <w:rPr>
          <w:i/>
          <w:sz w:val="24"/>
          <w:szCs w:val="24"/>
        </w:rPr>
        <w:t> </w:t>
      </w:r>
      <w:r w:rsidR="00DD637F">
        <w:rPr>
          <w:i/>
          <w:sz w:val="24"/>
          <w:szCs w:val="24"/>
        </w:rPr>
        <w:t> </w:t>
      </w:r>
      <w:r w:rsidR="00DD637F">
        <w:rPr>
          <w:i/>
          <w:sz w:val="24"/>
          <w:szCs w:val="24"/>
        </w:rPr>
        <w:t> </w:t>
      </w:r>
      <w:r w:rsidR="00DD637F">
        <w:rPr>
          <w:i/>
          <w:sz w:val="24"/>
          <w:szCs w:val="24"/>
        </w:rPr>
        <w:t> </w:t>
      </w:r>
      <w:r>
        <w:rPr>
          <w:i/>
          <w:sz w:val="24"/>
          <w:szCs w:val="24"/>
        </w:rPr>
        <w:fldChar w:fldCharType="end"/>
      </w:r>
      <w:bookmarkEnd w:id="1"/>
    </w:p>
    <w:p w14:paraId="1E42D440" w14:textId="77777777" w:rsidR="00F34FB5" w:rsidRDefault="00F34FB5" w:rsidP="00CA7795">
      <w:pPr>
        <w:jc w:val="center"/>
        <w:rPr>
          <w:b/>
          <w:sz w:val="28"/>
          <w:szCs w:val="28"/>
        </w:rPr>
      </w:pPr>
    </w:p>
    <w:p w14:paraId="04D55DF1" w14:textId="77777777" w:rsidR="00AD75CD" w:rsidRPr="00606EEA" w:rsidRDefault="00C55FDF" w:rsidP="00CA7795">
      <w:pPr>
        <w:jc w:val="center"/>
        <w:rPr>
          <w:b/>
          <w:sz w:val="28"/>
          <w:szCs w:val="28"/>
        </w:rPr>
      </w:pPr>
      <w:r w:rsidRPr="00606EEA">
        <w:rPr>
          <w:b/>
          <w:sz w:val="28"/>
          <w:szCs w:val="28"/>
        </w:rPr>
        <w:t>IN THE SUPREME COURT OF SEYCHELLES</w:t>
      </w:r>
    </w:p>
    <w:p w14:paraId="08818CFE" w14:textId="6557B719"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ED339C">
        <w:rPr>
          <w:b/>
          <w:sz w:val="28"/>
          <w:szCs w:val="28"/>
        </w:rPr>
        <w:t>MC08</w:t>
      </w:r>
      <w:r w:rsidRPr="00B75AE2">
        <w:rPr>
          <w:b/>
          <w:sz w:val="28"/>
          <w:szCs w:val="28"/>
        </w:rPr>
        <w:t>/</w:t>
      </w:r>
      <w:r w:rsidR="00ED339C">
        <w:rPr>
          <w:b/>
          <w:sz w:val="28"/>
          <w:szCs w:val="28"/>
        </w:rPr>
        <w:t>2018</w:t>
      </w:r>
    </w:p>
    <w:p w14:paraId="6D0AA6B7" w14:textId="77777777" w:rsidR="00A53837" w:rsidRPr="00606EEA" w:rsidRDefault="001E0BA2"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14:paraId="4CAAAE65" w14:textId="6465D2BF"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BF7D0A">
        <w:rPr>
          <w:b/>
          <w:sz w:val="24"/>
          <w:szCs w:val="24"/>
        </w:rPr>
        <w:t>8</w:t>
      </w:r>
      <w:r w:rsidR="001E0BA2">
        <w:rPr>
          <w:b/>
          <w:sz w:val="24"/>
          <w:szCs w:val="24"/>
        </w:rPr>
        <w:fldChar w:fldCharType="begin"/>
      </w:r>
      <w:r w:rsidR="003F0F8D">
        <w:rPr>
          <w:b/>
          <w:sz w:val="24"/>
          <w:szCs w:val="24"/>
        </w:rPr>
        <w:instrText xml:space="preserve">  </w:instrText>
      </w:r>
      <w:r w:rsidR="001E0BA2">
        <w:rPr>
          <w:b/>
          <w:sz w:val="24"/>
          <w:szCs w:val="24"/>
        </w:rPr>
        <w:fldChar w:fldCharType="end"/>
      </w:r>
      <w:r w:rsidR="00DB6D34" w:rsidRPr="00606EEA">
        <w:rPr>
          <w:b/>
          <w:sz w:val="24"/>
          <w:szCs w:val="24"/>
        </w:rPr>
        <w:t>] SCSC</w:t>
      </w:r>
      <w:r>
        <w:rPr>
          <w:b/>
          <w:sz w:val="24"/>
          <w:szCs w:val="24"/>
        </w:rPr>
        <w:t xml:space="preserve"> </w:t>
      </w:r>
      <w:r w:rsidR="003610DD">
        <w:rPr>
          <w:b/>
          <w:sz w:val="24"/>
          <w:szCs w:val="24"/>
        </w:rPr>
        <w:t>297</w:t>
      </w:r>
      <w:bookmarkStart w:id="2" w:name="_GoBack"/>
      <w:bookmarkEnd w:id="2"/>
    </w:p>
    <w:p w14:paraId="4AF13288" w14:textId="77777777" w:rsidR="00C55FDF" w:rsidRPr="00606EEA" w:rsidRDefault="00C55FDF" w:rsidP="00E57D4D">
      <w:pPr>
        <w:pBdr>
          <w:bottom w:val="single" w:sz="4" w:space="5" w:color="auto"/>
        </w:pBdr>
        <w:jc w:val="center"/>
        <w:rPr>
          <w:b/>
          <w:sz w:val="24"/>
          <w:szCs w:val="24"/>
        </w:rPr>
      </w:pPr>
    </w:p>
    <w:p w14:paraId="222C5D15" w14:textId="77777777" w:rsidR="00572AB3" w:rsidRDefault="00572AB3" w:rsidP="00572AB3">
      <w:pPr>
        <w:rPr>
          <w:sz w:val="24"/>
          <w:szCs w:val="24"/>
        </w:rPr>
      </w:pPr>
    </w:p>
    <w:bookmarkStart w:id="3" w:name="Text20"/>
    <w:p w14:paraId="1AFBA1A8" w14:textId="77777777" w:rsidR="00FB2453" w:rsidRPr="00B119B1" w:rsidRDefault="001E0BA2"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3"/>
    </w:p>
    <w:p w14:paraId="256BE492" w14:textId="517FD9AF" w:rsidR="00BF7D0A" w:rsidRDefault="009B0A90" w:rsidP="00BF7D0A">
      <w:pPr>
        <w:spacing w:after="240"/>
        <w:jc w:val="center"/>
        <w:rPr>
          <w:sz w:val="24"/>
          <w:szCs w:val="24"/>
        </w:rPr>
      </w:pPr>
      <w:bookmarkStart w:id="4" w:name="Dropdown13"/>
      <w:r>
        <w:rPr>
          <w:sz w:val="24"/>
          <w:szCs w:val="24"/>
        </w:rPr>
        <w:tab/>
      </w:r>
      <w:r w:rsidR="00BF7D0A" w:rsidRPr="00BF7D0A">
        <w:rPr>
          <w:b/>
          <w:sz w:val="24"/>
          <w:szCs w:val="24"/>
        </w:rPr>
        <w:t>MARQUISE DAVID</w:t>
      </w:r>
      <w:r>
        <w:rPr>
          <w:sz w:val="24"/>
          <w:szCs w:val="24"/>
        </w:rPr>
        <w:tab/>
      </w:r>
      <w:bookmarkEnd w:id="4"/>
    </w:p>
    <w:p w14:paraId="2F9347BB" w14:textId="5B651942" w:rsidR="004C3D80" w:rsidRDefault="00BF7D0A" w:rsidP="00BF7D0A">
      <w:pPr>
        <w:spacing w:after="240"/>
        <w:jc w:val="center"/>
        <w:rPr>
          <w:b/>
          <w:sz w:val="24"/>
          <w:szCs w:val="24"/>
        </w:rPr>
      </w:pPr>
      <w:r>
        <w:rPr>
          <w:sz w:val="24"/>
          <w:szCs w:val="24"/>
        </w:rPr>
        <w:t>Plaintiff</w:t>
      </w:r>
    </w:p>
    <w:p w14:paraId="40339CE9" w14:textId="77777777" w:rsidR="00B40898" w:rsidRDefault="00B40898" w:rsidP="00B40898">
      <w:pPr>
        <w:rPr>
          <w:sz w:val="24"/>
          <w:szCs w:val="24"/>
        </w:rPr>
        <w:sectPr w:rsidR="00B40898" w:rsidSect="00EF2051">
          <w:footerReference w:type="default" r:id="rId8"/>
          <w:type w:val="continuous"/>
          <w:pgSz w:w="12240" w:h="15840"/>
          <w:pgMar w:top="1440" w:right="1440" w:bottom="1440" w:left="1440" w:header="720" w:footer="720" w:gutter="0"/>
          <w:cols w:space="720"/>
          <w:formProt w:val="0"/>
          <w:docGrid w:linePitch="360"/>
        </w:sectPr>
      </w:pPr>
    </w:p>
    <w:p w14:paraId="17177788" w14:textId="77777777" w:rsidR="00FB2453" w:rsidRDefault="00FB2453" w:rsidP="00B40898">
      <w:pPr>
        <w:spacing w:before="120"/>
        <w:jc w:val="center"/>
        <w:rPr>
          <w:sz w:val="24"/>
          <w:szCs w:val="24"/>
        </w:rPr>
      </w:pPr>
      <w:r>
        <w:rPr>
          <w:sz w:val="24"/>
          <w:szCs w:val="24"/>
        </w:rPr>
        <w:lastRenderedPageBreak/>
        <w:t>versus</w:t>
      </w:r>
    </w:p>
    <w:p w14:paraId="7A514A8F" w14:textId="77777777" w:rsidR="00FB2453" w:rsidRDefault="00FB2453" w:rsidP="003862CB">
      <w:pPr>
        <w:jc w:val="center"/>
        <w:rPr>
          <w:sz w:val="24"/>
          <w:szCs w:val="24"/>
        </w:rPr>
      </w:pPr>
    </w:p>
    <w:bookmarkStart w:id="5" w:name="Text22"/>
    <w:p w14:paraId="1BA64BF5" w14:textId="77777777" w:rsidR="00B119B1" w:rsidRDefault="001E0BA2"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5"/>
    </w:p>
    <w:p w14:paraId="16D63318" w14:textId="6A76AF18" w:rsidR="00BF7D0A" w:rsidRDefault="00BF7D0A" w:rsidP="00BF7D0A">
      <w:pPr>
        <w:spacing w:after="240"/>
        <w:ind w:firstLine="720"/>
        <w:jc w:val="center"/>
        <w:rPr>
          <w:sz w:val="24"/>
          <w:szCs w:val="24"/>
        </w:rPr>
      </w:pPr>
      <w:bookmarkStart w:id="6" w:name="Dropdown14"/>
      <w:r w:rsidRPr="00BF7D0A">
        <w:rPr>
          <w:b/>
          <w:sz w:val="24"/>
          <w:szCs w:val="24"/>
        </w:rPr>
        <w:t>SYLVAIN MORTIER</w:t>
      </w:r>
      <w:r w:rsidR="00E00FFC">
        <w:rPr>
          <w:sz w:val="24"/>
          <w:szCs w:val="24"/>
        </w:rPr>
        <w:tab/>
      </w:r>
      <w:r w:rsidR="00ED339C">
        <w:rPr>
          <w:sz w:val="24"/>
          <w:szCs w:val="24"/>
        </w:rPr>
        <w:t xml:space="preserve">        </w:t>
      </w:r>
      <w:bookmarkEnd w:id="6"/>
    </w:p>
    <w:p w14:paraId="3272D3A5" w14:textId="7A2E360F" w:rsidR="00BF7D0A" w:rsidRDefault="00BF7D0A" w:rsidP="00BF7D0A">
      <w:pPr>
        <w:spacing w:after="240"/>
        <w:jc w:val="center"/>
        <w:rPr>
          <w:sz w:val="24"/>
          <w:szCs w:val="24"/>
        </w:rPr>
        <w:sectPr w:rsidR="00BF7D0A" w:rsidSect="00EF2051">
          <w:type w:val="continuous"/>
          <w:pgSz w:w="12240" w:h="15840"/>
          <w:pgMar w:top="1440" w:right="1440" w:bottom="1440" w:left="1440" w:header="720" w:footer="720" w:gutter="0"/>
          <w:cols w:space="720"/>
          <w:formProt w:val="0"/>
          <w:docGrid w:linePitch="360"/>
        </w:sectPr>
      </w:pPr>
      <w:r>
        <w:rPr>
          <w:sz w:val="24"/>
          <w:szCs w:val="24"/>
        </w:rPr>
        <w:t>Defendant</w:t>
      </w:r>
    </w:p>
    <w:p w14:paraId="68C522E5" w14:textId="77777777" w:rsidR="00E0467F" w:rsidRPr="00695110" w:rsidRDefault="00E0467F" w:rsidP="00E57D4D">
      <w:pPr>
        <w:pBdr>
          <w:bottom w:val="single" w:sz="4" w:space="1" w:color="auto"/>
        </w:pBdr>
        <w:jc w:val="center"/>
        <w:rPr>
          <w:sz w:val="12"/>
          <w:szCs w:val="12"/>
        </w:rPr>
      </w:pPr>
    </w:p>
    <w:p w14:paraId="6DD8A313" w14:textId="6AE253AC"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BF7D0A">
        <w:rPr>
          <w:sz w:val="24"/>
          <w:szCs w:val="24"/>
        </w:rPr>
        <w:t xml:space="preserve"> </w:t>
      </w:r>
      <w:r w:rsidR="00BF7D0A">
        <w:rPr>
          <w:sz w:val="24"/>
          <w:szCs w:val="24"/>
        </w:rPr>
        <w:tab/>
      </w:r>
      <w:r w:rsidR="00ED339C">
        <w:rPr>
          <w:sz w:val="24"/>
          <w:szCs w:val="24"/>
        </w:rPr>
        <w:t>12 March 2018</w:t>
      </w:r>
      <w:r w:rsidRPr="00E0467F">
        <w:rPr>
          <w:sz w:val="24"/>
          <w:szCs w:val="24"/>
        </w:rPr>
        <w:tab/>
      </w:r>
      <w:r w:rsidRPr="00E0467F">
        <w:rPr>
          <w:sz w:val="24"/>
          <w:szCs w:val="24"/>
        </w:rPr>
        <w:tab/>
      </w:r>
      <w:bookmarkStart w:id="7" w:name="Text34"/>
      <w:r w:rsidR="001E0BA2">
        <w:rPr>
          <w:sz w:val="24"/>
          <w:szCs w:val="24"/>
        </w:rPr>
        <w:fldChar w:fldCharType="begin">
          <w:ffData>
            <w:name w:val="Text34"/>
            <w:enabled/>
            <w:calcOnExit w:val="0"/>
            <w:textInput/>
          </w:ffData>
        </w:fldChar>
      </w:r>
      <w:r w:rsidR="002A7376">
        <w:rPr>
          <w:sz w:val="24"/>
          <w:szCs w:val="24"/>
        </w:rPr>
        <w:instrText xml:space="preserve"> FORMTEXT </w:instrText>
      </w:r>
      <w:r w:rsidR="001E0BA2">
        <w:rPr>
          <w:sz w:val="24"/>
          <w:szCs w:val="24"/>
        </w:rPr>
      </w:r>
      <w:r w:rsidR="001E0BA2">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1E0BA2">
        <w:rPr>
          <w:sz w:val="24"/>
          <w:szCs w:val="24"/>
        </w:rPr>
        <w:fldChar w:fldCharType="end"/>
      </w:r>
      <w:bookmarkEnd w:id="7"/>
      <w:r w:rsidR="001E0BA2">
        <w:rPr>
          <w:sz w:val="24"/>
          <w:szCs w:val="24"/>
        </w:rPr>
        <w:fldChar w:fldCharType="begin"/>
      </w:r>
      <w:r w:rsidR="003F0F8D">
        <w:rPr>
          <w:sz w:val="24"/>
          <w:szCs w:val="24"/>
        </w:rPr>
        <w:instrText xml:space="preserve">  </w:instrText>
      </w:r>
      <w:r w:rsidR="001E0BA2">
        <w:rPr>
          <w:sz w:val="24"/>
          <w:szCs w:val="24"/>
        </w:rPr>
        <w:fldChar w:fldCharType="end"/>
      </w:r>
    </w:p>
    <w:p w14:paraId="144FC664" w14:textId="4FE6B1FD"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sidR="00ED339C">
        <w:rPr>
          <w:sz w:val="24"/>
          <w:szCs w:val="24"/>
        </w:rPr>
        <w:t xml:space="preserve"> </w:t>
      </w:r>
      <w:r w:rsidR="00BF7D0A">
        <w:rPr>
          <w:sz w:val="24"/>
          <w:szCs w:val="24"/>
        </w:rPr>
        <w:tab/>
      </w:r>
      <w:r w:rsidR="00ED339C">
        <w:rPr>
          <w:sz w:val="24"/>
          <w:szCs w:val="24"/>
        </w:rPr>
        <w:t xml:space="preserve">Mr. Anthony Juliette </w:t>
      </w:r>
      <w:r w:rsidR="009E05E5">
        <w:rPr>
          <w:sz w:val="24"/>
          <w:szCs w:val="24"/>
        </w:rPr>
        <w:t xml:space="preserve">for </w:t>
      </w:r>
      <w:bookmarkStart w:id="8" w:name="Dropdown11"/>
      <w:r w:rsidR="001E0BA2">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3610DD">
        <w:rPr>
          <w:sz w:val="24"/>
          <w:szCs w:val="24"/>
        </w:rPr>
      </w:r>
      <w:r w:rsidR="003610DD">
        <w:rPr>
          <w:sz w:val="24"/>
          <w:szCs w:val="24"/>
        </w:rPr>
        <w:fldChar w:fldCharType="separate"/>
      </w:r>
      <w:r w:rsidR="001E0BA2">
        <w:rPr>
          <w:sz w:val="24"/>
          <w:szCs w:val="24"/>
        </w:rPr>
        <w:fldChar w:fldCharType="end"/>
      </w:r>
      <w:bookmarkEnd w:id="8"/>
    </w:p>
    <w:p w14:paraId="18B5FE23" w14:textId="77777777" w:rsidR="00BF7D0A" w:rsidRDefault="00ED339C" w:rsidP="00206C55">
      <w:pPr>
        <w:ind w:firstLine="720"/>
        <w:rPr>
          <w:sz w:val="24"/>
          <w:szCs w:val="24"/>
        </w:rPr>
      </w:pPr>
      <w:r>
        <w:rPr>
          <w:sz w:val="24"/>
          <w:szCs w:val="24"/>
        </w:rPr>
        <w:lastRenderedPageBreak/>
        <w:t xml:space="preserve">   </w:t>
      </w:r>
      <w:r w:rsidR="00BF7D0A">
        <w:rPr>
          <w:sz w:val="24"/>
          <w:szCs w:val="24"/>
        </w:rPr>
        <w:tab/>
      </w:r>
      <w:r>
        <w:rPr>
          <w:sz w:val="24"/>
          <w:szCs w:val="24"/>
        </w:rPr>
        <w:t xml:space="preserve">Mr. Bernard Georges </w:t>
      </w:r>
      <w:r w:rsidR="009E05E5">
        <w:rPr>
          <w:sz w:val="24"/>
          <w:szCs w:val="24"/>
        </w:rPr>
        <w:t xml:space="preserve">for </w:t>
      </w:r>
      <w:bookmarkStart w:id="9" w:name="Dropdown12"/>
      <w:r w:rsidR="001E0BA2">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3610DD">
        <w:rPr>
          <w:sz w:val="24"/>
          <w:szCs w:val="24"/>
        </w:rPr>
      </w:r>
      <w:r w:rsidR="003610DD">
        <w:rPr>
          <w:sz w:val="24"/>
          <w:szCs w:val="24"/>
        </w:rPr>
        <w:fldChar w:fldCharType="separate"/>
      </w:r>
      <w:r w:rsidR="001E0BA2">
        <w:rPr>
          <w:sz w:val="24"/>
          <w:szCs w:val="24"/>
        </w:rPr>
        <w:fldChar w:fldCharType="end"/>
      </w:r>
      <w:bookmarkEnd w:id="9"/>
      <w:r w:rsidR="005F5FB0">
        <w:rPr>
          <w:sz w:val="24"/>
          <w:szCs w:val="24"/>
        </w:rPr>
        <w:tab/>
      </w:r>
    </w:p>
    <w:p w14:paraId="20D6E717" w14:textId="18E340BC" w:rsidR="005F5FB0" w:rsidRDefault="005F5FB0" w:rsidP="00206C55">
      <w:pPr>
        <w:ind w:firstLine="720"/>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sidR="001E0BA2">
        <w:rPr>
          <w:sz w:val="24"/>
          <w:szCs w:val="24"/>
        </w:rPr>
        <w:fldChar w:fldCharType="begin">
          <w:ffData>
            <w:name w:val="Text37"/>
            <w:enabled/>
            <w:calcOnExit w:val="0"/>
            <w:textInput/>
          </w:ffData>
        </w:fldChar>
      </w:r>
      <w:bookmarkStart w:id="10" w:name="Text37"/>
      <w:r>
        <w:rPr>
          <w:sz w:val="24"/>
          <w:szCs w:val="24"/>
        </w:rPr>
        <w:instrText xml:space="preserve"> FORMTEXT </w:instrText>
      </w:r>
      <w:r w:rsidR="001E0BA2">
        <w:rPr>
          <w:sz w:val="24"/>
          <w:szCs w:val="24"/>
        </w:rPr>
      </w:r>
      <w:r w:rsidR="001E0BA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E0BA2">
        <w:rPr>
          <w:sz w:val="24"/>
          <w:szCs w:val="24"/>
        </w:rPr>
        <w:fldChar w:fldCharType="end"/>
      </w:r>
      <w:bookmarkEnd w:id="10"/>
    </w:p>
    <w:p w14:paraId="6F6C1B18" w14:textId="1FA85AF4"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D339C">
        <w:rPr>
          <w:sz w:val="24"/>
          <w:szCs w:val="24"/>
        </w:rPr>
        <w:t xml:space="preserve"> </w:t>
      </w:r>
      <w:r w:rsidR="00BF7D0A">
        <w:rPr>
          <w:sz w:val="24"/>
          <w:szCs w:val="24"/>
        </w:rPr>
        <w:tab/>
      </w:r>
      <w:r w:rsidR="00ED339C">
        <w:rPr>
          <w:sz w:val="24"/>
          <w:szCs w:val="24"/>
        </w:rPr>
        <w:t>26 March 2018</w:t>
      </w:r>
      <w:r w:rsidR="00E0467F">
        <w:rPr>
          <w:sz w:val="24"/>
          <w:szCs w:val="24"/>
        </w:rPr>
        <w:tab/>
      </w:r>
      <w:r w:rsidR="00E0467F">
        <w:rPr>
          <w:sz w:val="24"/>
          <w:szCs w:val="24"/>
        </w:rPr>
        <w:tab/>
      </w:r>
      <w:bookmarkStart w:id="11" w:name="Text26"/>
      <w:r w:rsidR="001E0BA2">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1E0BA2">
        <w:rPr>
          <w:sz w:val="24"/>
          <w:szCs w:val="24"/>
        </w:rPr>
      </w:r>
      <w:r w:rsidR="001E0BA2">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1E0BA2">
        <w:rPr>
          <w:sz w:val="24"/>
          <w:szCs w:val="24"/>
        </w:rPr>
        <w:fldChar w:fldCharType="end"/>
      </w:r>
      <w:bookmarkEnd w:id="11"/>
    </w:p>
    <w:p w14:paraId="21585B56" w14:textId="77777777" w:rsidR="00D06A0F" w:rsidRPr="00C87FCA" w:rsidRDefault="00D06A0F" w:rsidP="00E57D4D">
      <w:pPr>
        <w:pBdr>
          <w:top w:val="dotted" w:sz="4" w:space="1" w:color="auto"/>
          <w:bottom w:val="dotted" w:sz="4" w:space="1" w:color="auto"/>
        </w:pBdr>
        <w:jc w:val="center"/>
        <w:rPr>
          <w:sz w:val="24"/>
          <w:szCs w:val="24"/>
          <w:highlight w:val="lightGray"/>
        </w:rPr>
      </w:pPr>
      <w:bookmarkStart w:id="12" w:name="Dropdown2"/>
    </w:p>
    <w:bookmarkStart w:id="13" w:name="Dropdown8"/>
    <w:bookmarkEnd w:id="12"/>
    <w:p w14:paraId="55B4B035" w14:textId="77777777" w:rsidR="00C87FCA" w:rsidRDefault="001E0BA2"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3610DD">
        <w:rPr>
          <w:b/>
          <w:sz w:val="24"/>
          <w:szCs w:val="24"/>
        </w:rPr>
      </w:r>
      <w:r w:rsidR="003610DD">
        <w:rPr>
          <w:b/>
          <w:sz w:val="24"/>
          <w:szCs w:val="24"/>
        </w:rPr>
        <w:fldChar w:fldCharType="separate"/>
      </w:r>
      <w:r>
        <w:rPr>
          <w:b/>
          <w:sz w:val="24"/>
          <w:szCs w:val="24"/>
        </w:rPr>
        <w:fldChar w:fldCharType="end"/>
      </w:r>
      <w:bookmarkEnd w:id="13"/>
    </w:p>
    <w:p w14:paraId="0FD8C36A" w14:textId="77777777" w:rsidR="001008BC" w:rsidRDefault="001008BC" w:rsidP="00C87FCA">
      <w:pPr>
        <w:pBdr>
          <w:top w:val="dotted" w:sz="4" w:space="1" w:color="auto"/>
          <w:bottom w:val="dotted" w:sz="4" w:space="1" w:color="auto"/>
        </w:pBdr>
        <w:jc w:val="center"/>
        <w:rPr>
          <w:b/>
          <w:sz w:val="24"/>
          <w:szCs w:val="24"/>
        </w:rPr>
      </w:pPr>
    </w:p>
    <w:p w14:paraId="09CD6B0A" w14:textId="77777777"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14:paraId="28901495" w14:textId="77777777"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14:paraId="3A726994" w14:textId="77777777"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14:paraId="52491740" w14:textId="37EB94C4" w:rsidR="00E35705" w:rsidRDefault="00BB7995" w:rsidP="00E35705">
      <w:pPr>
        <w:pStyle w:val="JudgmentText"/>
      </w:pPr>
      <w:r>
        <w:lastRenderedPageBreak/>
        <w:t xml:space="preserve">The Applicant applied for a writ </w:t>
      </w:r>
      <w:r w:rsidRPr="00BB7995">
        <w:rPr>
          <w:i/>
        </w:rPr>
        <w:t>habere facias possessionem</w:t>
      </w:r>
      <w:r>
        <w:t xml:space="preserve"> against the Respondent on the grounds that she was the owner of Parcel H1880 on which stands a </w:t>
      </w:r>
      <w:r w:rsidR="00206C55">
        <w:t>“</w:t>
      </w:r>
      <w:r>
        <w:t>dive centre</w:t>
      </w:r>
      <w:r w:rsidR="00206C55">
        <w:t>”</w:t>
      </w:r>
      <w:r>
        <w:t xml:space="preserve"> illegally occupied by the Respondent. </w:t>
      </w:r>
    </w:p>
    <w:p w14:paraId="590DCCD6" w14:textId="77777777" w:rsidR="00BB7995" w:rsidRDefault="00BB7995" w:rsidP="00ED339C">
      <w:pPr>
        <w:pStyle w:val="JudgmentText"/>
      </w:pPr>
      <w:r>
        <w:t xml:space="preserve">In an affidavit in support, she avers </w:t>
      </w:r>
      <w:r w:rsidR="004B37E1">
        <w:t xml:space="preserve">that </w:t>
      </w:r>
      <w:r>
        <w:t xml:space="preserve">she signed a </w:t>
      </w:r>
      <w:r w:rsidR="002D230B">
        <w:t>3-year</w:t>
      </w:r>
      <w:r>
        <w:t xml:space="preserve"> lease with the </w:t>
      </w:r>
      <w:r w:rsidR="004B37E1">
        <w:t>Re</w:t>
      </w:r>
      <w:r>
        <w:t>spo</w:t>
      </w:r>
      <w:r w:rsidR="004B37E1">
        <w:t>ndent</w:t>
      </w:r>
      <w:r>
        <w:t xml:space="preserve"> and </w:t>
      </w:r>
      <w:r w:rsidR="004B37E1">
        <w:t>t</w:t>
      </w:r>
      <w:r>
        <w:t>hat it expired in Dec</w:t>
      </w:r>
      <w:r w:rsidR="004B37E1">
        <w:t>e</w:t>
      </w:r>
      <w:r>
        <w:t>mber 2015</w:t>
      </w:r>
      <w:r w:rsidR="004B37E1">
        <w:t xml:space="preserve"> and on the expiry of the same </w:t>
      </w:r>
      <w:r w:rsidR="002D230B">
        <w:t xml:space="preserve">he </w:t>
      </w:r>
      <w:r w:rsidR="004B37E1">
        <w:t xml:space="preserve">became a statutory tenant. </w:t>
      </w:r>
      <w:r>
        <w:t xml:space="preserve"> </w:t>
      </w:r>
    </w:p>
    <w:p w14:paraId="01781EBD" w14:textId="77777777" w:rsidR="00BB7995" w:rsidRDefault="004B37E1" w:rsidP="00ED339C">
      <w:pPr>
        <w:pStyle w:val="JudgmentText"/>
      </w:pPr>
      <w:r>
        <w:t xml:space="preserve">In June 2017, the Respondent was given six months’ notice for the termination of the lease. Further correspondence then ensued between the parties and the Respondent was asked to remove his belongings from the premises. He was informed of physical damage </w:t>
      </w:r>
      <w:r w:rsidR="00EB1077">
        <w:t xml:space="preserve">he had caused to </w:t>
      </w:r>
      <w:r>
        <w:t>the Applicant’s other premises on the property, namely her t</w:t>
      </w:r>
      <w:r w:rsidR="00EB1077">
        <w:t>ou</w:t>
      </w:r>
      <w:r>
        <w:t xml:space="preserve">rism business, Clef des Isles.  </w:t>
      </w:r>
    </w:p>
    <w:p w14:paraId="783FE8D6" w14:textId="29DD4C8F" w:rsidR="00EB1077" w:rsidRDefault="00ED339C" w:rsidP="00ED339C">
      <w:pPr>
        <w:pStyle w:val="JudgmentText"/>
      </w:pPr>
      <w:r>
        <w:lastRenderedPageBreak/>
        <w:t xml:space="preserve">Further, in November 2017 he was notified of </w:t>
      </w:r>
      <w:r w:rsidR="00EB1077">
        <w:t>the disturbance</w:t>
      </w:r>
      <w:r>
        <w:t>,</w:t>
      </w:r>
      <w:r w:rsidR="00EB1077">
        <w:t xml:space="preserve"> </w:t>
      </w:r>
      <w:r>
        <w:t xml:space="preserve">smell </w:t>
      </w:r>
      <w:r w:rsidR="00EB1077">
        <w:t>an</w:t>
      </w:r>
      <w:r>
        <w:t>d</w:t>
      </w:r>
      <w:r w:rsidR="00EB1077">
        <w:t xml:space="preserve"> noise pollution </w:t>
      </w:r>
      <w:r w:rsidR="00206C55">
        <w:t xml:space="preserve">continually being </w:t>
      </w:r>
      <w:r w:rsidR="00EB1077">
        <w:t xml:space="preserve">caused by his </w:t>
      </w:r>
      <w:r>
        <w:t>operation and informed that he had failed to mitigate any of the nuisances</w:t>
      </w:r>
      <w:r w:rsidR="00206C55">
        <w:t xml:space="preserve"> despite being informed of them.</w:t>
      </w:r>
      <w:r>
        <w:t xml:space="preserve"> </w:t>
      </w:r>
    </w:p>
    <w:p w14:paraId="6B43AD7B" w14:textId="51338AD1" w:rsidR="00ED339C" w:rsidRDefault="00ED339C" w:rsidP="00ED339C">
      <w:pPr>
        <w:pStyle w:val="JudgmentText"/>
      </w:pPr>
      <w:r>
        <w:t xml:space="preserve">Payment </w:t>
      </w:r>
      <w:r w:rsidR="00206C55">
        <w:t xml:space="preserve">for the rent of the premises </w:t>
      </w:r>
      <w:r>
        <w:t xml:space="preserve">was accepted </w:t>
      </w:r>
      <w:r w:rsidR="00206C55">
        <w:t xml:space="preserve">by the Applicant </w:t>
      </w:r>
      <w:r>
        <w:t xml:space="preserve">under the statutory tenancy up </w:t>
      </w:r>
      <w:r w:rsidR="005927CF">
        <w:t>t</w:t>
      </w:r>
      <w:r>
        <w:t>o December 2017 and he was issued with a letter of termination of occupancy on 10 December 2017 as the Applic</w:t>
      </w:r>
      <w:r w:rsidR="005927CF">
        <w:t>ant</w:t>
      </w:r>
      <w:r>
        <w:t xml:space="preserve"> indicated that </w:t>
      </w:r>
      <w:r w:rsidR="005927CF">
        <w:t>s</w:t>
      </w:r>
      <w:r>
        <w:t>he was to begin demolition works</w:t>
      </w:r>
      <w:r w:rsidR="005927CF">
        <w:t xml:space="preserve"> of the premises he occupied</w:t>
      </w:r>
      <w:r>
        <w:t>.</w:t>
      </w:r>
    </w:p>
    <w:p w14:paraId="46D45214" w14:textId="3E026CE3" w:rsidR="004B37E1" w:rsidRDefault="00ED339C" w:rsidP="00ED339C">
      <w:pPr>
        <w:pStyle w:val="JudgmentText"/>
      </w:pPr>
      <w:r>
        <w:t>In a letter</w:t>
      </w:r>
      <w:r w:rsidR="005927CF">
        <w:t xml:space="preserve"> </w:t>
      </w:r>
      <w:r>
        <w:t>in res</w:t>
      </w:r>
      <w:r w:rsidR="005927CF">
        <w:t>p</w:t>
      </w:r>
      <w:r>
        <w:t xml:space="preserve">onse on 10 </w:t>
      </w:r>
      <w:r w:rsidR="005927CF">
        <w:t>D</w:t>
      </w:r>
      <w:r>
        <w:t>ec</w:t>
      </w:r>
      <w:r w:rsidR="005927CF">
        <w:t>e</w:t>
      </w:r>
      <w:r>
        <w:t xml:space="preserve">mber 2017, </w:t>
      </w:r>
      <w:r w:rsidR="005927CF">
        <w:t xml:space="preserve">the Respondent indicated that he had found alternative premises but needed an extra eight months to vacate. The </w:t>
      </w:r>
      <w:r w:rsidR="00791BB3">
        <w:t>A</w:t>
      </w:r>
      <w:r w:rsidR="005927CF">
        <w:t xml:space="preserve">pplicant refused </w:t>
      </w:r>
      <w:r w:rsidR="00791BB3">
        <w:t xml:space="preserve">his application and </w:t>
      </w:r>
      <w:r w:rsidR="005927CF">
        <w:t>to accept further payments of rent f</w:t>
      </w:r>
      <w:r w:rsidR="00791BB3">
        <w:t>r</w:t>
      </w:r>
      <w:r w:rsidR="005927CF">
        <w:t>om him. On 4 January 2018, the Respondent informed the Applicant that he was a statutory tenant and would defend his rights including a claim for damages if his occupation of the premises was not peaceful.</w:t>
      </w:r>
    </w:p>
    <w:p w14:paraId="39365B92" w14:textId="1B2AF7DA" w:rsidR="005927CF" w:rsidRDefault="005927CF" w:rsidP="00ED339C">
      <w:pPr>
        <w:pStyle w:val="JudgmentText"/>
      </w:pPr>
      <w:r>
        <w:lastRenderedPageBreak/>
        <w:t xml:space="preserve">In </w:t>
      </w:r>
      <w:r w:rsidR="0032234F">
        <w:t>F</w:t>
      </w:r>
      <w:r>
        <w:t>ebr</w:t>
      </w:r>
      <w:r w:rsidR="0032234F">
        <w:t>uary</w:t>
      </w:r>
      <w:r>
        <w:t xml:space="preserve"> 2018, the Appl</w:t>
      </w:r>
      <w:r w:rsidR="0032234F">
        <w:t>i</w:t>
      </w:r>
      <w:r>
        <w:t>cant w</w:t>
      </w:r>
      <w:r w:rsidR="0032234F">
        <w:t>r</w:t>
      </w:r>
      <w:r>
        <w:t>ote to the Respon</w:t>
      </w:r>
      <w:r w:rsidR="0032234F">
        <w:t>d</w:t>
      </w:r>
      <w:r>
        <w:t>e</w:t>
      </w:r>
      <w:r w:rsidR="0032234F">
        <w:t>n</w:t>
      </w:r>
      <w:r>
        <w:t xml:space="preserve">t’s </w:t>
      </w:r>
      <w:r w:rsidR="0032234F">
        <w:t>l</w:t>
      </w:r>
      <w:r>
        <w:t>awyer s</w:t>
      </w:r>
      <w:r w:rsidR="0032234F">
        <w:t>t</w:t>
      </w:r>
      <w:r>
        <w:t>ating that no pay</w:t>
      </w:r>
      <w:r w:rsidR="0032234F">
        <w:t>m</w:t>
      </w:r>
      <w:r>
        <w:t>ent for cheques would b</w:t>
      </w:r>
      <w:r w:rsidR="0032234F">
        <w:t>e</w:t>
      </w:r>
      <w:r>
        <w:t xml:space="preserve"> acce</w:t>
      </w:r>
      <w:r w:rsidR="0032234F">
        <w:t>p</w:t>
      </w:r>
      <w:r>
        <w:t>ted de</w:t>
      </w:r>
      <w:r w:rsidR="0032234F">
        <w:t xml:space="preserve">spite them being posted to her. She further informed the Respondent that demolition work on the premises was urgent as was supported by </w:t>
      </w:r>
      <w:r w:rsidR="00C36A60">
        <w:t>correspondence with the</w:t>
      </w:r>
      <w:r w:rsidR="0032234F">
        <w:t xml:space="preserve"> Planning Authority. A letter from the Planning Authority attached to the affidavit dated 9 February underscores the Ministry of Environment’s concern about the “urgent need to rehabilitate the place in view of the coming equinox high tides.” </w:t>
      </w:r>
    </w:p>
    <w:p w14:paraId="2BC90FF6" w14:textId="536FAE94" w:rsidR="0032234F" w:rsidRDefault="0032234F" w:rsidP="00ED339C">
      <w:pPr>
        <w:pStyle w:val="JudgmentText"/>
      </w:pPr>
      <w:r>
        <w:t>In his affidavit in response</w:t>
      </w:r>
      <w:r w:rsidR="00791BB3">
        <w:t>,</w:t>
      </w:r>
      <w:r>
        <w:t xml:space="preserve"> the Respondent admitted that he had had a </w:t>
      </w:r>
      <w:r w:rsidR="00561C94">
        <w:t>three-year</w:t>
      </w:r>
      <w:r>
        <w:t xml:space="preserve"> lease with th</w:t>
      </w:r>
      <w:r w:rsidR="00561C94">
        <w:t>e</w:t>
      </w:r>
      <w:r>
        <w:t xml:space="preserve"> R</w:t>
      </w:r>
      <w:r w:rsidR="00561C94">
        <w:t>e</w:t>
      </w:r>
      <w:r>
        <w:t>sp</w:t>
      </w:r>
      <w:r w:rsidR="00561C94">
        <w:t>o</w:t>
      </w:r>
      <w:r>
        <w:t>nde</w:t>
      </w:r>
      <w:r w:rsidR="00561C94">
        <w:t>n</w:t>
      </w:r>
      <w:r>
        <w:t>t that had expired in Mar</w:t>
      </w:r>
      <w:r w:rsidR="00561C94">
        <w:t>c</w:t>
      </w:r>
      <w:r>
        <w:t xml:space="preserve">h 2011 but </w:t>
      </w:r>
      <w:r w:rsidR="00561C94">
        <w:t>could</w:t>
      </w:r>
      <w:r>
        <w:t xml:space="preserve"> not rem</w:t>
      </w:r>
      <w:r w:rsidR="00561C94">
        <w:t>em</w:t>
      </w:r>
      <w:r>
        <w:t>ber if he had si</w:t>
      </w:r>
      <w:r w:rsidR="00561C94">
        <w:t>gned</w:t>
      </w:r>
      <w:r>
        <w:t xml:space="preserve"> ano</w:t>
      </w:r>
      <w:r w:rsidR="00561C94">
        <w:t>t</w:t>
      </w:r>
      <w:r>
        <w:t xml:space="preserve">her. He </w:t>
      </w:r>
      <w:r w:rsidR="00561C94">
        <w:t>further</w:t>
      </w:r>
      <w:r>
        <w:t xml:space="preserve"> admitted b</w:t>
      </w:r>
      <w:r w:rsidR="00561C94">
        <w:t>eing</w:t>
      </w:r>
      <w:r>
        <w:t xml:space="preserve"> given notice to quit as averred by th</w:t>
      </w:r>
      <w:r w:rsidR="00561C94">
        <w:t>e</w:t>
      </w:r>
      <w:r>
        <w:t xml:space="preserve"> Ap</w:t>
      </w:r>
      <w:r w:rsidR="00561C94">
        <w:t>plicant</w:t>
      </w:r>
      <w:r>
        <w:t xml:space="preserve"> but denied that the Appl</w:t>
      </w:r>
      <w:r w:rsidR="00561C94">
        <w:t>i</w:t>
      </w:r>
      <w:r>
        <w:t>cant had at</w:t>
      </w:r>
      <w:r w:rsidR="00561C94">
        <w:t>te</w:t>
      </w:r>
      <w:r>
        <w:t>mpted a peac</w:t>
      </w:r>
      <w:r w:rsidR="00561C94">
        <w:t>efu</w:t>
      </w:r>
      <w:r>
        <w:t>l entry onto the premises at the exp</w:t>
      </w:r>
      <w:r w:rsidR="00561C94">
        <w:t>i</w:t>
      </w:r>
      <w:r>
        <w:t xml:space="preserve">ration of the </w:t>
      </w:r>
      <w:r w:rsidR="00561C94">
        <w:t>n</w:t>
      </w:r>
      <w:r>
        <w:t>otic</w:t>
      </w:r>
      <w:r w:rsidR="00561C94">
        <w:t>e</w:t>
      </w:r>
      <w:r>
        <w:t xml:space="preserve"> to quit. </w:t>
      </w:r>
      <w:r w:rsidR="00561C94">
        <w:t xml:space="preserve">Instead he averred that she had </w:t>
      </w:r>
      <w:r w:rsidR="00791BB3">
        <w:t>attempted repossession in</w:t>
      </w:r>
      <w:r w:rsidR="00561C94">
        <w:t xml:space="preserve"> an aggressive manner. He further averred that he was a statutory tenant overholding the premises and had a right to continue occupying the same.</w:t>
      </w:r>
    </w:p>
    <w:p w14:paraId="0B37FE05" w14:textId="1071DC09" w:rsidR="00561C94" w:rsidRDefault="00561C94" w:rsidP="00ED339C">
      <w:pPr>
        <w:pStyle w:val="JudgmentText"/>
      </w:pPr>
      <w:r>
        <w:lastRenderedPageBreak/>
        <w:t xml:space="preserve">He further averred </w:t>
      </w:r>
      <w:r w:rsidR="009C3C64">
        <w:t xml:space="preserve">that he had found alternative premises which </w:t>
      </w:r>
      <w:r w:rsidR="000B3AE5">
        <w:t xml:space="preserve">construction </w:t>
      </w:r>
      <w:r w:rsidR="009C3C64">
        <w:t xml:space="preserve">needed </w:t>
      </w:r>
      <w:r w:rsidR="000B3AE5">
        <w:t xml:space="preserve">time for completion and that if he left immediately he would lose his business and his employees would lose their job. </w:t>
      </w:r>
      <w:r w:rsidR="008205CF">
        <w:t xml:space="preserve">In a further affidavit, the Applicant has averred that the Respondent has already obtained alternative premises at Eden Island. </w:t>
      </w:r>
    </w:p>
    <w:p w14:paraId="5670C439" w14:textId="26D831E4" w:rsidR="000B3AE5" w:rsidRDefault="008205CF" w:rsidP="00ED339C">
      <w:pPr>
        <w:pStyle w:val="JudgmentText"/>
      </w:pPr>
      <w:r>
        <w:t xml:space="preserve">Some of the facts outlined above have little relevance </w:t>
      </w:r>
      <w:r w:rsidR="002C6F04">
        <w:t xml:space="preserve">in terms of </w:t>
      </w:r>
      <w:r>
        <w:t>the iss</w:t>
      </w:r>
      <w:r w:rsidR="002C6F04">
        <w:t>ue in this matter</w:t>
      </w:r>
      <w:r w:rsidR="00791BB3">
        <w:t>, that is</w:t>
      </w:r>
      <w:r w:rsidR="00720D53">
        <w:t>,</w:t>
      </w:r>
      <w:r w:rsidR="00791BB3">
        <w:t xml:space="preserve"> </w:t>
      </w:r>
      <w:r w:rsidR="002C6F04">
        <w:t>whether the Respondent is a statutory tenant</w:t>
      </w:r>
      <w:r w:rsidR="00791BB3">
        <w:t xml:space="preserve"> with the protection of the Control of Rent and Tenancy </w:t>
      </w:r>
      <w:r w:rsidR="00720D53">
        <w:t>A</w:t>
      </w:r>
      <w:r w:rsidR="00791BB3">
        <w:t xml:space="preserve">greements Act (The Act). </w:t>
      </w:r>
      <w:r w:rsidR="002C6F04">
        <w:t>I</w:t>
      </w:r>
      <w:r w:rsidR="000B3AE5">
        <w:t>f such a relationship exist</w:t>
      </w:r>
      <w:r w:rsidR="002C6F04">
        <w:t>s</w:t>
      </w:r>
      <w:r w:rsidR="000B3AE5">
        <w:t xml:space="preserve"> between the parties, it would offer a legal avenue under the </w:t>
      </w:r>
      <w:r w:rsidR="00791BB3">
        <w:t>Act</w:t>
      </w:r>
      <w:r w:rsidR="000B3AE5">
        <w:t xml:space="preserve"> for both the Appell</w:t>
      </w:r>
      <w:r w:rsidR="00D37918">
        <w:t>a</w:t>
      </w:r>
      <w:r w:rsidR="000B3AE5">
        <w:t>nt an</w:t>
      </w:r>
      <w:r w:rsidR="00D37918">
        <w:t>d</w:t>
      </w:r>
      <w:r w:rsidR="000B3AE5">
        <w:t xml:space="preserve"> th</w:t>
      </w:r>
      <w:r w:rsidR="00D37918">
        <w:t>e</w:t>
      </w:r>
      <w:r w:rsidR="000B3AE5">
        <w:t xml:space="preserve"> Respon</w:t>
      </w:r>
      <w:r w:rsidR="00D37918">
        <w:t>d</w:t>
      </w:r>
      <w:r w:rsidR="000B3AE5">
        <w:t>e</w:t>
      </w:r>
      <w:r w:rsidR="00D37918">
        <w:t>n</w:t>
      </w:r>
      <w:r w:rsidR="000B3AE5">
        <w:t>t and wou</w:t>
      </w:r>
      <w:r w:rsidR="00D37918">
        <w:t>l</w:t>
      </w:r>
      <w:r w:rsidR="000B3AE5">
        <w:t>d t</w:t>
      </w:r>
      <w:r w:rsidR="00D37918">
        <w:t>r</w:t>
      </w:r>
      <w:r w:rsidR="000B3AE5">
        <w:t>ump th</w:t>
      </w:r>
      <w:r w:rsidR="00D37918">
        <w:t>e</w:t>
      </w:r>
      <w:r w:rsidR="000B3AE5">
        <w:t xml:space="preserve"> av</w:t>
      </w:r>
      <w:r w:rsidR="00D37918">
        <w:t>a</w:t>
      </w:r>
      <w:r w:rsidR="000B3AE5">
        <w:t>ilabi</w:t>
      </w:r>
      <w:r w:rsidR="00D37918">
        <w:t>lity</w:t>
      </w:r>
      <w:r w:rsidR="000B3AE5">
        <w:t xml:space="preserve"> of an equitable rem</w:t>
      </w:r>
      <w:r w:rsidR="00D37918">
        <w:t>e</w:t>
      </w:r>
      <w:r w:rsidR="000B3AE5">
        <w:t xml:space="preserve">dy such as that provided in a </w:t>
      </w:r>
      <w:r w:rsidR="00D37918">
        <w:t>wr</w:t>
      </w:r>
      <w:r w:rsidR="000B3AE5">
        <w:t xml:space="preserve">it </w:t>
      </w:r>
      <w:r w:rsidR="000B3AE5" w:rsidRPr="00D37918">
        <w:rPr>
          <w:i/>
        </w:rPr>
        <w:t>habere facias possessioem</w:t>
      </w:r>
      <w:r w:rsidR="00D37918">
        <w:t xml:space="preserve"> </w:t>
      </w:r>
      <w:r w:rsidR="000B3AE5">
        <w:t xml:space="preserve"> </w:t>
      </w:r>
    </w:p>
    <w:p w14:paraId="34220FFA" w14:textId="452E3A31" w:rsidR="00FF280A" w:rsidRDefault="00FF280A" w:rsidP="00ED339C">
      <w:pPr>
        <w:pStyle w:val="JudgmentText"/>
      </w:pPr>
      <w:r>
        <w:t>Sections 12 and 13 of the Act provide in relevant part:</w:t>
      </w:r>
    </w:p>
    <w:p w14:paraId="6434A3E3" w14:textId="7566CEFB" w:rsidR="00FF280A" w:rsidRDefault="00FF280A" w:rsidP="00FF280A">
      <w:pPr>
        <w:pStyle w:val="JudgmentText"/>
        <w:numPr>
          <w:ilvl w:val="0"/>
          <w:numId w:val="0"/>
        </w:numPr>
        <w:ind w:left="1440"/>
        <w:rPr>
          <w:i/>
        </w:rPr>
      </w:pPr>
      <w:r w:rsidRPr="00D96CAA">
        <w:rPr>
          <w:i/>
        </w:rPr>
        <w:t>12. (</w:t>
      </w:r>
      <w:r w:rsidR="00D96CAA">
        <w:rPr>
          <w:i/>
        </w:rPr>
        <w:t>1</w:t>
      </w:r>
      <w:r w:rsidRPr="00D96CAA">
        <w:rPr>
          <w:i/>
        </w:rPr>
        <w:t xml:space="preserve">) A lessee who under the provisions of this Act retains possession of any dwelling house shall so long as he retains possession observe and be entitled to the benefit </w:t>
      </w:r>
      <w:r w:rsidRPr="00D96CAA">
        <w:rPr>
          <w:i/>
        </w:rPr>
        <w:lastRenderedPageBreak/>
        <w:t>of all the terms expressed or implied in the original contract of letting so far as the same are consistent with the provisions of this Act.</w:t>
      </w:r>
    </w:p>
    <w:p w14:paraId="713CE905" w14:textId="69B2A8A5" w:rsidR="004B5C90" w:rsidRPr="00D96CAA" w:rsidRDefault="004B5C90" w:rsidP="00FF280A">
      <w:pPr>
        <w:pStyle w:val="JudgmentText"/>
        <w:numPr>
          <w:ilvl w:val="0"/>
          <w:numId w:val="0"/>
        </w:numPr>
        <w:ind w:left="1440"/>
        <w:rPr>
          <w:i/>
        </w:rPr>
      </w:pPr>
      <w:r>
        <w:rPr>
          <w:i/>
        </w:rPr>
        <w:t>…</w:t>
      </w:r>
    </w:p>
    <w:p w14:paraId="7D612537" w14:textId="77777777" w:rsidR="00FF280A" w:rsidRPr="00D96CAA" w:rsidRDefault="00FF280A" w:rsidP="00FF280A">
      <w:pPr>
        <w:pStyle w:val="JudgmentText"/>
        <w:numPr>
          <w:ilvl w:val="0"/>
          <w:numId w:val="0"/>
        </w:numPr>
        <w:ind w:left="720" w:firstLine="720"/>
        <w:rPr>
          <w:i/>
        </w:rPr>
      </w:pPr>
      <w:bookmarkStart w:id="14" w:name="_Toc410900062"/>
      <w:bookmarkStart w:id="15" w:name="zoupio-_Toc384881985"/>
      <w:bookmarkStart w:id="16" w:name="_Toc410900063"/>
      <w:bookmarkStart w:id="17" w:name="zoupio-_Toc384881986"/>
      <w:bookmarkStart w:id="18" w:name="_Toc384881986"/>
      <w:bookmarkEnd w:id="14"/>
      <w:bookmarkEnd w:id="15"/>
      <w:bookmarkEnd w:id="16"/>
      <w:bookmarkEnd w:id="17"/>
      <w:r w:rsidRPr="00D96CAA">
        <w:rPr>
          <w:i/>
        </w:rPr>
        <w:t>Application to business premises</w:t>
      </w:r>
      <w:bookmarkEnd w:id="18"/>
    </w:p>
    <w:p w14:paraId="12DD9B08" w14:textId="623A14B9" w:rsidR="00FF280A" w:rsidRPr="00D96CAA" w:rsidRDefault="00D96CAA" w:rsidP="00D96CAA">
      <w:pPr>
        <w:pStyle w:val="JudgmentText"/>
        <w:numPr>
          <w:ilvl w:val="0"/>
          <w:numId w:val="0"/>
        </w:numPr>
        <w:ind w:left="1440"/>
        <w:rPr>
          <w:i/>
        </w:rPr>
      </w:pPr>
      <w:r w:rsidRPr="00D96CAA">
        <w:rPr>
          <w:i/>
        </w:rPr>
        <w:t>13. </w:t>
      </w:r>
      <w:r w:rsidR="00FF280A" w:rsidRPr="00D96CAA">
        <w:rPr>
          <w:i/>
        </w:rPr>
        <w:t>(l) This Act shall apply to any premises used for business, trade or professional purposes or for the public service as it applied to a dwelling house and as though references to a "dwelling house", "house" and "dwelling" includes references to any such premises</w:t>
      </w:r>
      <w:r w:rsidRPr="00D96CAA">
        <w:rPr>
          <w:i/>
        </w:rPr>
        <w:t>…</w:t>
      </w:r>
    </w:p>
    <w:p w14:paraId="7BB606C4" w14:textId="05FCB077" w:rsidR="0022185D" w:rsidRDefault="00BB7E97" w:rsidP="00ED339C">
      <w:pPr>
        <w:pStyle w:val="JudgmentText"/>
      </w:pPr>
      <w:r>
        <w:t>Further</w:t>
      </w:r>
      <w:r w:rsidR="00C073FC">
        <w:t>,</w:t>
      </w:r>
      <w:r>
        <w:t xml:space="preserve"> </w:t>
      </w:r>
      <w:r w:rsidR="00C073FC">
        <w:t>se</w:t>
      </w:r>
      <w:r w:rsidR="00A16697">
        <w:t>ction 9 of th</w:t>
      </w:r>
      <w:r w:rsidR="00C073FC">
        <w:t>e</w:t>
      </w:r>
      <w:r w:rsidR="00A16697">
        <w:t xml:space="preserve"> same Act precludes the </w:t>
      </w:r>
      <w:r w:rsidR="00C073FC">
        <w:t>S</w:t>
      </w:r>
      <w:r w:rsidR="00A16697">
        <w:t xml:space="preserve">upreme </w:t>
      </w:r>
      <w:r w:rsidR="00C073FC">
        <w:t>Court</w:t>
      </w:r>
      <w:r w:rsidR="00A16697">
        <w:t xml:space="preserve"> f</w:t>
      </w:r>
      <w:r w:rsidR="00C073FC">
        <w:t>r</w:t>
      </w:r>
      <w:r w:rsidR="00A16697">
        <w:t>om ej</w:t>
      </w:r>
      <w:r w:rsidR="00C073FC">
        <w:t>e</w:t>
      </w:r>
      <w:r w:rsidR="00A16697">
        <w:t xml:space="preserve">cting a tenant </w:t>
      </w:r>
      <w:r w:rsidR="00C073FC">
        <w:t>wi</w:t>
      </w:r>
      <w:r w:rsidR="00A16697">
        <w:t>t</w:t>
      </w:r>
      <w:r w:rsidR="00C073FC">
        <w:t>h</w:t>
      </w:r>
      <w:r w:rsidR="00A16697">
        <w:t>out the appl</w:t>
      </w:r>
      <w:r w:rsidR="00C073FC">
        <w:t>ication</w:t>
      </w:r>
      <w:r w:rsidR="00A16697">
        <w:t xml:space="preserve"> ha</w:t>
      </w:r>
      <w:r w:rsidR="00C073FC">
        <w:t>v</w:t>
      </w:r>
      <w:r w:rsidR="00A16697">
        <w:t xml:space="preserve">ing been entertained in the </w:t>
      </w:r>
      <w:r w:rsidR="00C073FC">
        <w:t>Rent Board</w:t>
      </w:r>
      <w:r w:rsidR="00A16697">
        <w:t xml:space="preserve">. </w:t>
      </w:r>
      <w:r w:rsidR="00206C55">
        <w:t>T</w:t>
      </w:r>
      <w:r w:rsidR="00A16697">
        <w:t xml:space="preserve">here is </w:t>
      </w:r>
      <w:r w:rsidR="0022185D">
        <w:t xml:space="preserve">also </w:t>
      </w:r>
      <w:r w:rsidR="00C073FC">
        <w:t>a</w:t>
      </w:r>
      <w:r w:rsidR="00A16697">
        <w:t>ut</w:t>
      </w:r>
      <w:r w:rsidR="00C073FC">
        <w:t>h</w:t>
      </w:r>
      <w:r w:rsidR="00A16697">
        <w:t>ority that the ej</w:t>
      </w:r>
      <w:r w:rsidR="00C073FC">
        <w:t>ectment</w:t>
      </w:r>
      <w:r w:rsidR="00A16697">
        <w:t xml:space="preserve"> of a statutory tena</w:t>
      </w:r>
      <w:r w:rsidR="00C073FC">
        <w:t>n</w:t>
      </w:r>
      <w:r w:rsidR="00A16697">
        <w:t xml:space="preserve">t is the </w:t>
      </w:r>
      <w:r w:rsidR="00C073FC">
        <w:t>exclusive</w:t>
      </w:r>
      <w:r w:rsidR="00A16697">
        <w:t xml:space="preserve"> jurisd</w:t>
      </w:r>
      <w:r w:rsidR="00C073FC">
        <w:t>i</w:t>
      </w:r>
      <w:r w:rsidR="00A16697">
        <w:t>cti</w:t>
      </w:r>
      <w:r w:rsidR="00C073FC">
        <w:t>o</w:t>
      </w:r>
      <w:r w:rsidR="00A16697">
        <w:t xml:space="preserve">n of the </w:t>
      </w:r>
      <w:r w:rsidR="00C073FC">
        <w:t>R</w:t>
      </w:r>
      <w:r w:rsidR="00A16697">
        <w:t>ent</w:t>
      </w:r>
      <w:r w:rsidR="00C073FC">
        <w:t xml:space="preserve"> B</w:t>
      </w:r>
      <w:r w:rsidR="00A16697">
        <w:t>o</w:t>
      </w:r>
      <w:r w:rsidR="00C073FC">
        <w:t>a</w:t>
      </w:r>
      <w:r w:rsidR="00A16697">
        <w:t xml:space="preserve">rd (see </w:t>
      </w:r>
      <w:r w:rsidR="00A16697" w:rsidRPr="00BB7E97">
        <w:rPr>
          <w:i/>
        </w:rPr>
        <w:t>Hadee v Moutia</w:t>
      </w:r>
      <w:r w:rsidR="00C073FC">
        <w:rPr>
          <w:i/>
        </w:rPr>
        <w:t xml:space="preserve"> </w:t>
      </w:r>
      <w:r w:rsidR="00C073FC">
        <w:t>(1978) SLR 189</w:t>
      </w:r>
      <w:r w:rsidR="0022185D">
        <w:t>.</w:t>
      </w:r>
    </w:p>
    <w:p w14:paraId="7C39866E" w14:textId="68A526D2" w:rsidR="007D5374" w:rsidRDefault="002C6F04" w:rsidP="00ED339C">
      <w:pPr>
        <w:pStyle w:val="JudgmentText"/>
      </w:pPr>
      <w:r>
        <w:t xml:space="preserve">In the present case, the Applicant maintains that </w:t>
      </w:r>
      <w:r w:rsidR="0022185D">
        <w:t>the statutory tenancy came to an end</w:t>
      </w:r>
      <w:r>
        <w:t xml:space="preserve"> by virtue of the fact that </w:t>
      </w:r>
      <w:r w:rsidR="0022185D">
        <w:t>that she did not accept the Respondent remaining as</w:t>
      </w:r>
      <w:r w:rsidR="007D5374">
        <w:t xml:space="preserve"> tenant</w:t>
      </w:r>
      <w:r>
        <w:t>, nor</w:t>
      </w:r>
      <w:r w:rsidR="0022185D">
        <w:t xml:space="preserve"> payment from </w:t>
      </w:r>
      <w:r w:rsidR="0022185D">
        <w:lastRenderedPageBreak/>
        <w:t>him after he had been served a six month notice to vacate the premises. This she submits ma</w:t>
      </w:r>
      <w:r w:rsidR="007D5374">
        <w:t>k</w:t>
      </w:r>
      <w:r w:rsidR="0022185D">
        <w:t>e</w:t>
      </w:r>
      <w:r w:rsidR="007D5374">
        <w:t>s his occupation illegal as he no longer meets the statutory definition of lessee</w:t>
      </w:r>
      <w:r w:rsidR="0022185D">
        <w:t xml:space="preserve"> </w:t>
      </w:r>
      <w:r w:rsidR="007D5374">
        <w:t>and therefore falls outside the jurisdiction of the Rent Board.</w:t>
      </w:r>
    </w:p>
    <w:p w14:paraId="345E077C" w14:textId="21EEFE79" w:rsidR="003D2FA3" w:rsidRDefault="003D2FA3" w:rsidP="00ED339C">
      <w:pPr>
        <w:pStyle w:val="JudgmentText"/>
      </w:pPr>
      <w:r>
        <w:t>In response</w:t>
      </w:r>
      <w:r w:rsidR="00424F8C">
        <w:t>,</w:t>
      </w:r>
      <w:r>
        <w:t xml:space="preserve"> the Respondent has submitted that the issues raised by the Applicant</w:t>
      </w:r>
      <w:r w:rsidR="00424F8C">
        <w:t xml:space="preserve">, namely </w:t>
      </w:r>
      <w:r w:rsidR="004B5C90">
        <w:t>non-payment</w:t>
      </w:r>
      <w:r w:rsidR="00424F8C">
        <w:t xml:space="preserve"> of rent, or occupation of the premises</w:t>
      </w:r>
      <w:r>
        <w:t xml:space="preserve"> are </w:t>
      </w:r>
      <w:r w:rsidR="00424F8C">
        <w:t xml:space="preserve">those </w:t>
      </w:r>
      <w:r>
        <w:t>that m</w:t>
      </w:r>
      <w:r w:rsidR="00CE1A38">
        <w:t>ay only</w:t>
      </w:r>
      <w:r>
        <w:t xml:space="preserve"> be appreciated by </w:t>
      </w:r>
      <w:r w:rsidR="00424F8C">
        <w:t>the</w:t>
      </w:r>
      <w:r>
        <w:t xml:space="preserve"> Rent </w:t>
      </w:r>
      <w:r w:rsidR="00424F8C">
        <w:t>B</w:t>
      </w:r>
      <w:r>
        <w:t xml:space="preserve">oard. </w:t>
      </w:r>
    </w:p>
    <w:p w14:paraId="5E9F3600" w14:textId="68069B95" w:rsidR="00721503" w:rsidRDefault="00CE1A38" w:rsidP="00CE1A38">
      <w:pPr>
        <w:pStyle w:val="JudgmentText"/>
      </w:pPr>
      <w:r>
        <w:t>The Act does not specificall</w:t>
      </w:r>
      <w:r w:rsidR="009B075E">
        <w:t>y</w:t>
      </w:r>
      <w:r>
        <w:t xml:space="preserve"> provi</w:t>
      </w:r>
      <w:r w:rsidR="009B075E">
        <w:t>d</w:t>
      </w:r>
      <w:r>
        <w:t xml:space="preserve">e for </w:t>
      </w:r>
      <w:r w:rsidR="009B075E">
        <w:t>termination</w:t>
      </w:r>
      <w:r>
        <w:t xml:space="preserve"> of statutory </w:t>
      </w:r>
      <w:r w:rsidR="009B075E">
        <w:t xml:space="preserve">tenancies but it is trite that where a lessee’s permission to remain is withdrawn he ceases to be a statutory tenant. </w:t>
      </w:r>
      <w:r>
        <w:t xml:space="preserve"> </w:t>
      </w:r>
      <w:r w:rsidR="009B075E">
        <w:t xml:space="preserve">In </w:t>
      </w:r>
      <w:r w:rsidR="00D52657" w:rsidRPr="00FF17EE">
        <w:rPr>
          <w:i/>
        </w:rPr>
        <w:t xml:space="preserve">Hadee </w:t>
      </w:r>
      <w:r w:rsidR="00720D53">
        <w:rPr>
          <w:i/>
        </w:rPr>
        <w:t>(supra),</w:t>
      </w:r>
      <w:r w:rsidR="00D52657" w:rsidRPr="00FF17EE">
        <w:rPr>
          <w:i/>
        </w:rPr>
        <w:t xml:space="preserve"> </w:t>
      </w:r>
      <w:r w:rsidR="00FF17EE">
        <w:t xml:space="preserve">Sauzier J held that a lease does not </w:t>
      </w:r>
      <w:r w:rsidR="00FF17EE" w:rsidRPr="00FF17EE">
        <w:rPr>
          <w:i/>
        </w:rPr>
        <w:t>ipso facto</w:t>
      </w:r>
      <w:r w:rsidR="00FF17EE">
        <w:t xml:space="preserve"> become void but must be declared so. In </w:t>
      </w:r>
      <w:r w:rsidR="009B075E" w:rsidRPr="009B075E">
        <w:rPr>
          <w:i/>
        </w:rPr>
        <w:t>Casino des Seychelles</w:t>
      </w:r>
      <w:r w:rsidR="009B075E">
        <w:t xml:space="preserve"> v</w:t>
      </w:r>
      <w:r w:rsidR="00D52657">
        <w:t xml:space="preserve"> </w:t>
      </w:r>
      <w:r w:rsidR="00D52657">
        <w:rPr>
          <w:i/>
        </w:rPr>
        <w:t>Compa</w:t>
      </w:r>
      <w:r w:rsidR="00D52657" w:rsidRPr="00D52657">
        <w:rPr>
          <w:i/>
        </w:rPr>
        <w:t>g</w:t>
      </w:r>
      <w:r w:rsidR="00D52657">
        <w:rPr>
          <w:i/>
        </w:rPr>
        <w:t>n</w:t>
      </w:r>
      <w:r w:rsidR="00D52657" w:rsidRPr="00D52657">
        <w:rPr>
          <w:i/>
        </w:rPr>
        <w:t xml:space="preserve">ie des </w:t>
      </w:r>
      <w:r w:rsidR="00D52657">
        <w:rPr>
          <w:i/>
        </w:rPr>
        <w:t>S</w:t>
      </w:r>
      <w:r w:rsidR="00D52657" w:rsidRPr="00D52657">
        <w:rPr>
          <w:i/>
        </w:rPr>
        <w:t>eyche</w:t>
      </w:r>
      <w:r w:rsidR="00D52657">
        <w:rPr>
          <w:i/>
        </w:rPr>
        <w:t>l</w:t>
      </w:r>
      <w:r w:rsidR="00D52657" w:rsidRPr="00D52657">
        <w:rPr>
          <w:i/>
        </w:rPr>
        <w:t>les (Pty)</w:t>
      </w:r>
      <w:r w:rsidR="00D52657">
        <w:rPr>
          <w:i/>
        </w:rPr>
        <w:t xml:space="preserve"> Ltd </w:t>
      </w:r>
      <w:r w:rsidR="00D52657">
        <w:t xml:space="preserve">SCA </w:t>
      </w:r>
      <w:r w:rsidR="004B3E68">
        <w:t>(</w:t>
      </w:r>
      <w:r w:rsidR="00D52657">
        <w:t>1994</w:t>
      </w:r>
      <w:r w:rsidR="004B3E68">
        <w:t>)</w:t>
      </w:r>
      <w:r w:rsidR="009B075E">
        <w:t xml:space="preserve"> </w:t>
      </w:r>
      <w:r w:rsidR="004B3E68">
        <w:t>SLR 28</w:t>
      </w:r>
      <w:r w:rsidR="00D52657">
        <w:t xml:space="preserve"> the Court of Appeal stated that “for section 12 of the [Act] to be applicable there must be a lessee.” </w:t>
      </w:r>
      <w:r w:rsidR="00FF17EE">
        <w:t>I</w:t>
      </w:r>
      <w:r w:rsidR="004B3E68">
        <w:t xml:space="preserve">t </w:t>
      </w:r>
      <w:r w:rsidR="00791BB3">
        <w:t xml:space="preserve">further </w:t>
      </w:r>
      <w:r w:rsidR="004B3E68">
        <w:t xml:space="preserve">held </w:t>
      </w:r>
      <w:r w:rsidR="00791BB3">
        <w:t xml:space="preserve">that </w:t>
      </w:r>
      <w:r w:rsidR="00FF17EE">
        <w:t xml:space="preserve">a tenant retains that status until the annulment of the tenancy. </w:t>
      </w:r>
      <w:r w:rsidR="004B3E68">
        <w:t>Similarly, w</w:t>
      </w:r>
      <w:r w:rsidR="00FF17EE">
        <w:t xml:space="preserve">hile I am prepared to hold that a tenancy </w:t>
      </w:r>
      <w:r w:rsidR="00206C55">
        <w:t xml:space="preserve">after its term </w:t>
      </w:r>
      <w:r w:rsidR="00FF17EE">
        <w:t xml:space="preserve">continues as a statutory tenancy, I am not prepared to hold that a statutory tenancy </w:t>
      </w:r>
      <w:r w:rsidR="00FF17EE">
        <w:lastRenderedPageBreak/>
        <w:t xml:space="preserve">or the relationship of a lessor and lessee subsists indefinitely even if the permission of the lessor is withheld. </w:t>
      </w:r>
      <w:r w:rsidR="00720D53">
        <w:t xml:space="preserve">I am also not prepared to hold that only the Rent Board can declare on a lessee/lessor relationship. </w:t>
      </w:r>
      <w:r w:rsidR="00206C55">
        <w:t xml:space="preserve"> </w:t>
      </w:r>
    </w:p>
    <w:p w14:paraId="52AB087D" w14:textId="24A21B97" w:rsidR="00CE1A38" w:rsidRDefault="00791BB3" w:rsidP="00CE1A38">
      <w:pPr>
        <w:pStyle w:val="JudgmentText"/>
      </w:pPr>
      <w:r>
        <w:t>In</w:t>
      </w:r>
      <w:r w:rsidR="00FF17EE">
        <w:t xml:space="preserve"> </w:t>
      </w:r>
      <w:r w:rsidR="00721503" w:rsidRPr="00721503">
        <w:rPr>
          <w:i/>
        </w:rPr>
        <w:t>Delphinus Turistica Maritama S.A. v Villebrod</w:t>
      </w:r>
      <w:r w:rsidR="00721503">
        <w:t xml:space="preserve"> (1978) SLR 121, a contract for hire of a yacht had also come to an end and Sauzier J found that once that had occurred the defendant had no title as a lessee</w:t>
      </w:r>
      <w:r w:rsidR="00B87281">
        <w:t xml:space="preserve"> and</w:t>
      </w:r>
      <w:r w:rsidR="00721503">
        <w:t xml:space="preserve"> granted the writ </w:t>
      </w:r>
      <w:r w:rsidR="00721503" w:rsidRPr="00721503">
        <w:rPr>
          <w:i/>
        </w:rPr>
        <w:t>habere</w:t>
      </w:r>
      <w:r w:rsidR="00721503">
        <w:t xml:space="preserve">. </w:t>
      </w:r>
      <w:r w:rsidR="004B3E68">
        <w:t>In the present matter after the Respondent, a statutory tenant</w:t>
      </w:r>
      <w:r w:rsidR="00206C55">
        <w:t>,</w:t>
      </w:r>
      <w:r w:rsidR="004B3E68">
        <w:t xml:space="preserve"> was given notice to quit and accepted so to do he cannot avail of the protection of the Act</w:t>
      </w:r>
      <w:r w:rsidR="00206C55">
        <w:t xml:space="preserve">. </w:t>
      </w:r>
      <w:r w:rsidR="00B87281">
        <w:t>To find otherwise would mean that a statutory tenancy is never at an end until and unless the Rent Board so pronounces. That was not the intention of the Act. The facts in the present case indicate that the te</w:t>
      </w:r>
      <w:r w:rsidR="00920558">
        <w:t>n</w:t>
      </w:r>
      <w:r w:rsidR="00B87281">
        <w:t>ancy and st</w:t>
      </w:r>
      <w:r w:rsidR="00920558">
        <w:t>a</w:t>
      </w:r>
      <w:r w:rsidR="00B87281">
        <w:t>tutory t</w:t>
      </w:r>
      <w:r w:rsidR="00920558">
        <w:t>en</w:t>
      </w:r>
      <w:r w:rsidR="00B87281">
        <w:t>ancy w</w:t>
      </w:r>
      <w:r w:rsidR="00920558">
        <w:t>e</w:t>
      </w:r>
      <w:r w:rsidR="00B87281">
        <w:t>re both at an end</w:t>
      </w:r>
      <w:r w:rsidR="00920558">
        <w:t xml:space="preserve"> and in the circumstances the jurisdiction of the Rent Board </w:t>
      </w:r>
      <w:r w:rsidR="00F87CAF">
        <w:t>is</w:t>
      </w:r>
      <w:r w:rsidR="00920558">
        <w:t xml:space="preserve"> not </w:t>
      </w:r>
      <w:r w:rsidR="004B5C90">
        <w:t xml:space="preserve">in </w:t>
      </w:r>
      <w:r w:rsidR="00720D53">
        <w:t>issue</w:t>
      </w:r>
      <w:r w:rsidR="00920558">
        <w:t xml:space="preserve">. </w:t>
      </w:r>
      <w:r w:rsidR="00B87281">
        <w:t xml:space="preserve">  </w:t>
      </w:r>
    </w:p>
    <w:p w14:paraId="67A8D2C7" w14:textId="61B90FE3" w:rsidR="00CE1A38" w:rsidRDefault="004B3E68" w:rsidP="00CE1A38">
      <w:pPr>
        <w:pStyle w:val="JudgmentText"/>
      </w:pPr>
      <w:r>
        <w:t xml:space="preserve">Having found that </w:t>
      </w:r>
      <w:r w:rsidR="00CE1A38">
        <w:t>the Respondent has ce</w:t>
      </w:r>
      <w:r>
        <w:t>ased</w:t>
      </w:r>
      <w:r w:rsidR="00CE1A38">
        <w:t xml:space="preserve"> to be a st</w:t>
      </w:r>
      <w:r>
        <w:t>a</w:t>
      </w:r>
      <w:r w:rsidR="00CE1A38">
        <w:t>t</w:t>
      </w:r>
      <w:r>
        <w:t>ut</w:t>
      </w:r>
      <w:r w:rsidR="00CE1A38">
        <w:t>ory t</w:t>
      </w:r>
      <w:r>
        <w:t>en</w:t>
      </w:r>
      <w:r w:rsidR="00CE1A38">
        <w:t xml:space="preserve">ant, </w:t>
      </w:r>
      <w:r>
        <w:t xml:space="preserve">I must also </w:t>
      </w:r>
      <w:r w:rsidR="00A26D25">
        <w:t>consider</w:t>
      </w:r>
      <w:r>
        <w:t xml:space="preserve"> whether t</w:t>
      </w:r>
      <w:r w:rsidR="00CE1A38">
        <w:t xml:space="preserve">here is </w:t>
      </w:r>
      <w:r>
        <w:t>any</w:t>
      </w:r>
      <w:r w:rsidR="00CE1A38">
        <w:t xml:space="preserve"> other legal </w:t>
      </w:r>
      <w:r w:rsidR="00CE1A38">
        <w:lastRenderedPageBreak/>
        <w:t xml:space="preserve">remedy available </w:t>
      </w:r>
      <w:r>
        <w:t xml:space="preserve">to the applicant </w:t>
      </w:r>
      <w:r w:rsidR="00CE1A38">
        <w:t>under the laws of Seych</w:t>
      </w:r>
      <w:r>
        <w:t>e</w:t>
      </w:r>
      <w:r w:rsidR="00CE1A38">
        <w:t>lles</w:t>
      </w:r>
      <w:r w:rsidR="00791BB3">
        <w:t xml:space="preserve"> before the equitable remedy of the writ </w:t>
      </w:r>
      <w:r w:rsidR="00791BB3" w:rsidRPr="00791BB3">
        <w:rPr>
          <w:i/>
        </w:rPr>
        <w:t xml:space="preserve">habere </w:t>
      </w:r>
      <w:r w:rsidR="00791BB3">
        <w:t>can be available.</w:t>
      </w:r>
    </w:p>
    <w:p w14:paraId="151CDB34" w14:textId="78F4A62B" w:rsidR="00E35705" w:rsidRDefault="004B3E68" w:rsidP="00A26D25">
      <w:pPr>
        <w:pStyle w:val="JudgmentText"/>
      </w:pPr>
      <w:r>
        <w:t xml:space="preserve">I have considered </w:t>
      </w:r>
      <w:r w:rsidR="00791BB3">
        <w:t xml:space="preserve">therefore </w:t>
      </w:r>
      <w:r>
        <w:t xml:space="preserve">whether a petititory action might also be available. However as the Court of Appeal found in </w:t>
      </w:r>
      <w:r w:rsidR="00BB7995" w:rsidRPr="004B3E68">
        <w:rPr>
          <w:i/>
        </w:rPr>
        <w:t>Nolin v Nolin</w:t>
      </w:r>
      <w:r>
        <w:t xml:space="preserve"> (SCA 04/2014) [2016] SCCA 1, a</w:t>
      </w:r>
      <w:r w:rsidR="00E35705">
        <w:t xml:space="preserve">n action </w:t>
      </w:r>
      <w:r w:rsidR="00E35705" w:rsidRPr="00791BB3">
        <w:rPr>
          <w:i/>
        </w:rPr>
        <w:t>en revendication</w:t>
      </w:r>
      <w:r w:rsidR="00E35705">
        <w:t xml:space="preserve"> is an action where two aspirant owners are competing in title to the same property. </w:t>
      </w:r>
      <w:r w:rsidR="00D30049" w:rsidRPr="00D30049">
        <w:t>The present action is not a realty claim of proprietorship by one competing aspirant owner against the aspirant owner.</w:t>
      </w:r>
      <w:r w:rsidR="00A26D25">
        <w:t xml:space="preserve"> It is therefore not a legal remedy available to the Applicant.</w:t>
      </w:r>
      <w:r w:rsidR="00720D53">
        <w:t xml:space="preserve"> There is in the circumstances no equivalent legal remedy available to the Applicant. </w:t>
      </w:r>
    </w:p>
    <w:p w14:paraId="3A3833EE" w14:textId="457D95FC" w:rsidR="00F845BE" w:rsidRDefault="00791BB3" w:rsidP="00A26D25">
      <w:pPr>
        <w:pStyle w:val="JudgmentText"/>
      </w:pPr>
      <w:r w:rsidRPr="007F2A02">
        <w:t>Finally, I must consider whether the process under Article 8</w:t>
      </w:r>
      <w:r w:rsidR="00F845BE">
        <w:t>06-811</w:t>
      </w:r>
      <w:r w:rsidRPr="007F2A02">
        <w:t xml:space="preserve"> of the French Code of Civil Procedure preserved by section 327 of the Seychelles Code of Civil Procedure </w:t>
      </w:r>
      <w:r w:rsidR="00920558" w:rsidRPr="007F2A02">
        <w:t>is available</w:t>
      </w:r>
      <w:r>
        <w:t xml:space="preserve"> in the present circumstances. </w:t>
      </w:r>
    </w:p>
    <w:p w14:paraId="2063C130" w14:textId="77777777" w:rsidR="00F845BE" w:rsidRDefault="00F845BE" w:rsidP="00F845BE">
      <w:pPr>
        <w:pStyle w:val="JudgmentText"/>
      </w:pPr>
      <w:r>
        <w:t xml:space="preserve">Doctrine provides that: </w:t>
      </w:r>
    </w:p>
    <w:p w14:paraId="2DF70968" w14:textId="4CA45561" w:rsidR="00F845BE" w:rsidRPr="00F845BE" w:rsidRDefault="00720D53" w:rsidP="00F845BE">
      <w:pPr>
        <w:pStyle w:val="JudgmentText"/>
        <w:numPr>
          <w:ilvl w:val="0"/>
          <w:numId w:val="0"/>
        </w:numPr>
        <w:ind w:left="1440"/>
        <w:rPr>
          <w:i/>
        </w:rPr>
      </w:pPr>
      <w:r>
        <w:rPr>
          <w:i/>
        </w:rPr>
        <w:lastRenderedPageBreak/>
        <w:t>“</w:t>
      </w:r>
      <w:r w:rsidR="00F845BE" w:rsidRPr="00F845BE">
        <w:rPr>
          <w:i/>
        </w:rPr>
        <w:t>Le juge des ref</w:t>
      </w:r>
      <w:r w:rsidR="00F87CAF">
        <w:rPr>
          <w:i/>
        </w:rPr>
        <w:t>é</w:t>
      </w:r>
      <w:r w:rsidR="00F845BE" w:rsidRPr="00F845BE">
        <w:rPr>
          <w:i/>
        </w:rPr>
        <w:t>r</w:t>
      </w:r>
      <w:r w:rsidR="00F87CAF">
        <w:rPr>
          <w:i/>
        </w:rPr>
        <w:t>é</w:t>
      </w:r>
      <w:r w:rsidR="00F845BE" w:rsidRPr="00F845BE">
        <w:rPr>
          <w:i/>
        </w:rPr>
        <w:t>s est competent pour prononcer en cas d’urgenc</w:t>
      </w:r>
      <w:r w:rsidR="00F845BE">
        <w:rPr>
          <w:i/>
        </w:rPr>
        <w:t>e, l’expulsion d’un locataire,</w:t>
      </w:r>
      <w:r w:rsidR="00F845BE" w:rsidRPr="00F845BE">
        <w:rPr>
          <w:i/>
        </w:rPr>
        <w:t>…dont le bail est resili</w:t>
      </w:r>
      <w:r w:rsidR="00F87CAF">
        <w:rPr>
          <w:i/>
        </w:rPr>
        <w:t>é</w:t>
      </w:r>
      <w:r w:rsidR="00F845BE" w:rsidRPr="00F845BE">
        <w:rPr>
          <w:i/>
        </w:rPr>
        <w:t xml:space="preserve"> .. o</w:t>
      </w:r>
      <w:r w:rsidR="00F845BE">
        <w:rPr>
          <w:i/>
        </w:rPr>
        <w:t>u</w:t>
      </w:r>
      <w:r w:rsidR="00F845BE" w:rsidRPr="00F845BE">
        <w:rPr>
          <w:i/>
        </w:rPr>
        <w:t xml:space="preserve"> don</w:t>
      </w:r>
      <w:r w:rsidR="00F845BE">
        <w:rPr>
          <w:i/>
        </w:rPr>
        <w:t>t</w:t>
      </w:r>
      <w:r w:rsidR="00F845BE" w:rsidRPr="00F845BE">
        <w:rPr>
          <w:i/>
        </w:rPr>
        <w:t xml:space="preserve"> la jouissance est expi</w:t>
      </w:r>
      <w:r w:rsidR="00F845BE">
        <w:rPr>
          <w:i/>
        </w:rPr>
        <w:t>r</w:t>
      </w:r>
      <w:r w:rsidR="00F87CAF">
        <w:rPr>
          <w:i/>
        </w:rPr>
        <w:t>é</w:t>
      </w:r>
      <w:r w:rsidR="00F845BE" w:rsidRPr="00F845BE">
        <w:rPr>
          <w:i/>
        </w:rPr>
        <w:t>e…”(En</w:t>
      </w:r>
      <w:r w:rsidR="00920558">
        <w:rPr>
          <w:i/>
        </w:rPr>
        <w:t>c</w:t>
      </w:r>
      <w:r w:rsidR="00F845BE" w:rsidRPr="00F845BE">
        <w:rPr>
          <w:i/>
        </w:rPr>
        <w:t>yclopedie Dalloz Suplement au repertoire p</w:t>
      </w:r>
      <w:r>
        <w:rPr>
          <w:i/>
        </w:rPr>
        <w:t>r</w:t>
      </w:r>
      <w:r w:rsidR="00F845BE" w:rsidRPr="00F845BE">
        <w:rPr>
          <w:i/>
        </w:rPr>
        <w:t>atique 97-2</w:t>
      </w:r>
      <w:r w:rsidR="004B5C90">
        <w:rPr>
          <w:i/>
        </w:rPr>
        <w:t>)</w:t>
      </w:r>
      <w:r w:rsidR="00F845BE" w:rsidRPr="00F845BE">
        <w:rPr>
          <w:i/>
        </w:rPr>
        <w:t xml:space="preserve">.  </w:t>
      </w:r>
    </w:p>
    <w:p w14:paraId="728A684D" w14:textId="5405C7F6" w:rsidR="00F845BE" w:rsidRPr="00F845BE" w:rsidRDefault="00720D53" w:rsidP="00F845BE">
      <w:pPr>
        <w:pStyle w:val="JudgmentText"/>
      </w:pPr>
      <w:r>
        <w:t>Further, a</w:t>
      </w:r>
      <w:r w:rsidR="00791BB3">
        <w:t>s stated in</w:t>
      </w:r>
      <w:r w:rsidR="00791BB3" w:rsidRPr="007F2A02">
        <w:t xml:space="preserve"> </w:t>
      </w:r>
      <w:r w:rsidR="00791BB3" w:rsidRPr="00F845BE">
        <w:rPr>
          <w:i/>
        </w:rPr>
        <w:t>T</w:t>
      </w:r>
      <w:r w:rsidR="00791BB3" w:rsidRPr="00F845BE">
        <w:rPr>
          <w:bCs/>
          <w:i/>
          <w:color w:val="000000"/>
        </w:rPr>
        <w:t>amboo v Pillay and Anor</w:t>
      </w:r>
      <w:r w:rsidR="00920558">
        <w:rPr>
          <w:bCs/>
          <w:color w:val="000000"/>
        </w:rPr>
        <w:t xml:space="preserve"> (MC [2016] SCSC 48</w:t>
      </w:r>
      <w:r w:rsidR="00F845BE">
        <w:rPr>
          <w:bCs/>
          <w:color w:val="000000"/>
        </w:rPr>
        <w:t>:</w:t>
      </w:r>
    </w:p>
    <w:p w14:paraId="1E2B3B6A" w14:textId="0106E02B" w:rsidR="007F2A02" w:rsidRPr="00F845BE" w:rsidRDefault="00F845BE" w:rsidP="00F845BE">
      <w:pPr>
        <w:pStyle w:val="JudgmentText"/>
        <w:numPr>
          <w:ilvl w:val="0"/>
          <w:numId w:val="0"/>
        </w:numPr>
        <w:ind w:left="1440"/>
        <w:rPr>
          <w:i/>
        </w:rPr>
      </w:pPr>
      <w:r w:rsidRPr="00F845BE">
        <w:rPr>
          <w:i/>
          <w:color w:val="333333"/>
          <w:shd w:val="clear" w:color="auto" w:fill="FFFFFF"/>
          <w:lang w:val="en-US"/>
        </w:rPr>
        <w:t>“</w:t>
      </w:r>
      <w:r w:rsidR="00791BB3" w:rsidRPr="00F845BE">
        <w:rPr>
          <w:i/>
          <w:color w:val="333333"/>
          <w:shd w:val="clear" w:color="auto" w:fill="FFFFFF"/>
          <w:lang w:val="en-US"/>
        </w:rPr>
        <w:t>A writ </w:t>
      </w:r>
      <w:r w:rsidR="00791BB3" w:rsidRPr="00F845BE">
        <w:rPr>
          <w:i/>
          <w:iCs/>
          <w:color w:val="333333"/>
          <w:bdr w:val="none" w:sz="0" w:space="0" w:color="auto" w:frame="1"/>
          <w:shd w:val="clear" w:color="auto" w:fill="FFFFFF"/>
          <w:lang w:val="en-US"/>
        </w:rPr>
        <w:t>habere facias possessionem</w:t>
      </w:r>
      <w:r w:rsidR="00791BB3" w:rsidRPr="00F845BE">
        <w:rPr>
          <w:i/>
          <w:color w:val="333333"/>
          <w:shd w:val="clear" w:color="auto" w:fill="FFFFFF"/>
          <w:lang w:val="en-US"/>
        </w:rPr>
        <w:t> is a quick executive remedy available to an owner of property to evict a squatter. The suit for such a remedy brought under the old French Civil Procedure Code, articles 806-811 (</w:t>
      </w:r>
      <w:r w:rsidR="00791BB3" w:rsidRPr="00F845BE">
        <w:rPr>
          <w:i/>
          <w:iCs/>
          <w:color w:val="333333"/>
          <w:bdr w:val="none" w:sz="0" w:space="0" w:color="auto" w:frame="1"/>
          <w:shd w:val="clear" w:color="auto" w:fill="FFFFFF"/>
          <w:lang w:val="en-US"/>
        </w:rPr>
        <w:t>la procédure de référé</w:t>
      </w:r>
      <w:r w:rsidR="00791BB3" w:rsidRPr="00F845BE">
        <w:rPr>
          <w:i/>
          <w:color w:val="333333"/>
          <w:shd w:val="clear" w:color="auto" w:fill="FFFFFF"/>
          <w:lang w:val="en-US"/>
        </w:rPr>
        <w:t>) is the fastest way, entailing little proceedings to bring an action where a remedy is urgently</w:t>
      </w:r>
      <w:r w:rsidRPr="00F845BE">
        <w:rPr>
          <w:i/>
          <w:color w:val="333333"/>
          <w:shd w:val="clear" w:color="auto" w:fill="FFFFFF"/>
          <w:lang w:val="en-US"/>
        </w:rPr>
        <w:t xml:space="preserve"> </w:t>
      </w:r>
      <w:r w:rsidR="007F2A02" w:rsidRPr="00F845BE">
        <w:rPr>
          <w:i/>
          <w:color w:val="333333"/>
          <w:shd w:val="clear" w:color="auto" w:fill="FFFFFF"/>
          <w:lang w:val="en-US"/>
        </w:rPr>
        <w:t>required.</w:t>
      </w:r>
      <w:r>
        <w:rPr>
          <w:i/>
          <w:color w:val="333333"/>
          <w:shd w:val="clear" w:color="auto" w:fill="FFFFFF"/>
          <w:lang w:val="en-US"/>
        </w:rPr>
        <w:t>”</w:t>
      </w:r>
    </w:p>
    <w:p w14:paraId="4F484CE1" w14:textId="203C7CC8" w:rsidR="007F2A02" w:rsidRPr="007F2A02" w:rsidRDefault="00920558" w:rsidP="00A26D25">
      <w:pPr>
        <w:pStyle w:val="JudgmentText"/>
      </w:pPr>
      <w:r>
        <w:t xml:space="preserve">The circumstances of the case do indicate that the remedy is urgently required. There is no </w:t>
      </w:r>
      <w:r w:rsidR="00C53083">
        <w:t>serious l</w:t>
      </w:r>
      <w:r>
        <w:t xml:space="preserve">egal defence put up by the Respondent and no </w:t>
      </w:r>
      <w:r w:rsidR="00C53083">
        <w:t>equivalent legal remedy to the writ available to the Applicant. T</w:t>
      </w:r>
      <w:r>
        <w:t xml:space="preserve">herefore the writ </w:t>
      </w:r>
      <w:r w:rsidR="00C53083" w:rsidRPr="00C53083">
        <w:rPr>
          <w:i/>
        </w:rPr>
        <w:t>habere</w:t>
      </w:r>
      <w:r w:rsidR="00C53083">
        <w:t xml:space="preserve"> </w:t>
      </w:r>
      <w:r w:rsidR="00C53083" w:rsidRPr="00C53083">
        <w:rPr>
          <w:i/>
        </w:rPr>
        <w:t xml:space="preserve">facias possessionem </w:t>
      </w:r>
      <w:r>
        <w:t xml:space="preserve">must issue. </w:t>
      </w:r>
    </w:p>
    <w:p w14:paraId="445FE041" w14:textId="28779128" w:rsidR="00EF2051" w:rsidRDefault="00C36A60" w:rsidP="00F845BE">
      <w:pPr>
        <w:pStyle w:val="JudgmentText"/>
      </w:pPr>
      <w:r>
        <w:lastRenderedPageBreak/>
        <w:t xml:space="preserve">In the circumstances, I hereby order the Respondent to quit, leave and vacate forthwith the premises on Title H1880 he presently occupies, failing which a </w:t>
      </w:r>
      <w:r w:rsidRPr="00C36A60">
        <w:rPr>
          <w:i/>
        </w:rPr>
        <w:t>writ habere facias possessi</w:t>
      </w:r>
      <w:r>
        <w:rPr>
          <w:i/>
        </w:rPr>
        <w:t>o</w:t>
      </w:r>
      <w:r w:rsidRPr="00C36A60">
        <w:rPr>
          <w:i/>
        </w:rPr>
        <w:t xml:space="preserve">nem </w:t>
      </w:r>
      <w:r w:rsidRPr="00C36A60">
        <w:t>s</w:t>
      </w:r>
      <w:r>
        <w:t xml:space="preserve">hall issue forthwith against him. The whole with costs.  </w:t>
      </w:r>
      <w:r w:rsidR="00925673">
        <w:t xml:space="preserve"> </w:t>
      </w:r>
    </w:p>
    <w:p w14:paraId="2D2AE71F" w14:textId="77777777" w:rsidR="00865788" w:rsidRDefault="00865788" w:rsidP="001E4ED8">
      <w:pPr>
        <w:pStyle w:val="ListParagraph"/>
        <w:widowControl/>
        <w:autoSpaceDE/>
        <w:autoSpaceDN/>
        <w:adjustRightInd/>
        <w:spacing w:after="240" w:line="360" w:lineRule="auto"/>
        <w:ind w:left="0"/>
        <w:contextualSpacing w:val="0"/>
        <w:jc w:val="both"/>
        <w:rPr>
          <w:sz w:val="24"/>
          <w:szCs w:val="24"/>
        </w:rPr>
      </w:pPr>
    </w:p>
    <w:p w14:paraId="60B8C087" w14:textId="77777777" w:rsidR="000A3145" w:rsidRDefault="000A3145" w:rsidP="001E4ED8">
      <w:pPr>
        <w:pStyle w:val="ListParagraph"/>
        <w:widowControl/>
        <w:autoSpaceDE/>
        <w:autoSpaceDN/>
        <w:adjustRightInd/>
        <w:spacing w:after="240" w:line="360" w:lineRule="auto"/>
        <w:ind w:left="0"/>
        <w:contextualSpacing w:val="0"/>
        <w:jc w:val="both"/>
        <w:rPr>
          <w:sz w:val="24"/>
          <w:szCs w:val="24"/>
        </w:rPr>
        <w:sectPr w:rsidR="000A3145" w:rsidSect="00EF2051">
          <w:type w:val="continuous"/>
          <w:pgSz w:w="12240" w:h="15840"/>
          <w:pgMar w:top="1440" w:right="1440" w:bottom="1440" w:left="1440" w:header="720" w:footer="720" w:gutter="0"/>
          <w:cols w:space="720"/>
          <w:formProt w:val="0"/>
          <w:docGrid w:linePitch="360"/>
        </w:sectPr>
      </w:pPr>
    </w:p>
    <w:p w14:paraId="61F14B01" w14:textId="1B570E01"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9" w:name="Text19"/>
      <w:r w:rsidR="00F87CAF">
        <w:rPr>
          <w:sz w:val="24"/>
          <w:szCs w:val="24"/>
        </w:rPr>
        <w:t>26 Mach 2018.</w:t>
      </w:r>
      <w:r w:rsidR="001E0BA2">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1E0BA2">
        <w:rPr>
          <w:sz w:val="24"/>
          <w:szCs w:val="24"/>
        </w:rPr>
      </w:r>
      <w:r w:rsidR="001E0BA2">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E0BA2">
        <w:rPr>
          <w:sz w:val="24"/>
          <w:szCs w:val="24"/>
        </w:rPr>
        <w:fldChar w:fldCharType="end"/>
      </w:r>
      <w:bookmarkEnd w:id="19"/>
    </w:p>
    <w:p w14:paraId="00D74ECB" w14:textId="77777777"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14:paraId="5EF664A9" w14:textId="77777777" w:rsidR="0006489F" w:rsidRDefault="0006489F" w:rsidP="0006489F">
      <w:pPr>
        <w:pStyle w:val="ListParagraph"/>
        <w:widowControl/>
        <w:autoSpaceDE/>
        <w:autoSpaceDN/>
        <w:adjustRightInd/>
        <w:spacing w:line="360" w:lineRule="auto"/>
        <w:ind w:left="0"/>
        <w:contextualSpacing w:val="0"/>
        <w:jc w:val="both"/>
        <w:rPr>
          <w:sz w:val="24"/>
          <w:szCs w:val="24"/>
        </w:rPr>
      </w:pPr>
    </w:p>
    <w:p w14:paraId="2D8099F6" w14:textId="77777777"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14:paraId="399F4D42" w14:textId="77777777" w:rsidR="00E33F35" w:rsidRDefault="00E33F35" w:rsidP="0006489F">
      <w:pPr>
        <w:pStyle w:val="ListParagraph"/>
        <w:widowControl/>
        <w:autoSpaceDE/>
        <w:autoSpaceDN/>
        <w:adjustRightInd/>
        <w:spacing w:after="120"/>
        <w:ind w:left="0"/>
        <w:contextualSpacing w:val="0"/>
        <w:jc w:val="both"/>
        <w:rPr>
          <w:sz w:val="24"/>
          <w:szCs w:val="24"/>
        </w:rPr>
      </w:pPr>
    </w:p>
    <w:p w14:paraId="2F639D1E" w14:textId="77777777"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20" w:name="Dropdown7"/>
    <w:p w14:paraId="1B8F4DF5" w14:textId="77777777" w:rsidR="009E05E5" w:rsidRPr="00E33F35" w:rsidRDefault="001E0BA2"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3610DD">
        <w:rPr>
          <w:b/>
          <w:sz w:val="24"/>
          <w:szCs w:val="24"/>
        </w:rPr>
      </w:r>
      <w:r w:rsidR="003610DD">
        <w:rPr>
          <w:b/>
          <w:sz w:val="24"/>
          <w:szCs w:val="24"/>
        </w:rPr>
        <w:fldChar w:fldCharType="separate"/>
      </w:r>
      <w:r>
        <w:rPr>
          <w:b/>
          <w:sz w:val="24"/>
          <w:szCs w:val="24"/>
        </w:rPr>
        <w:fldChar w:fldCharType="end"/>
      </w:r>
      <w:bookmarkEnd w:id="20"/>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000B5" w14:textId="77777777" w:rsidR="00EE3CCF" w:rsidRDefault="00EE3CCF" w:rsidP="00DB6D34">
      <w:r>
        <w:separator/>
      </w:r>
    </w:p>
  </w:endnote>
  <w:endnote w:type="continuationSeparator" w:id="0">
    <w:p w14:paraId="28BBB1A5" w14:textId="77777777" w:rsidR="00EE3CCF" w:rsidRDefault="00EE3CCF"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D258" w14:textId="77777777" w:rsidR="00C36A60" w:rsidRDefault="00C36A60">
    <w:pPr>
      <w:pStyle w:val="Footer"/>
      <w:jc w:val="center"/>
    </w:pPr>
    <w:r>
      <w:fldChar w:fldCharType="begin"/>
    </w:r>
    <w:r>
      <w:instrText xml:space="preserve"> PAGE   \* MERGEFORMAT </w:instrText>
    </w:r>
    <w:r>
      <w:fldChar w:fldCharType="separate"/>
    </w:r>
    <w:r w:rsidR="003610D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4B71F" w14:textId="77777777" w:rsidR="00EE3CCF" w:rsidRDefault="00EE3CCF" w:rsidP="00DB6D34">
      <w:r>
        <w:separator/>
      </w:r>
    </w:p>
  </w:footnote>
  <w:footnote w:type="continuationSeparator" w:id="0">
    <w:p w14:paraId="4B63BBDE" w14:textId="77777777" w:rsidR="00EE3CCF" w:rsidRDefault="00EE3CCF"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720" w:hanging="720"/>
        </w:pPr>
        <w:rPr>
          <w:rFonts w:ascii="Times New Roman" w:hAnsi="Times New Roman" w:hint="default"/>
          <w:b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C0"/>
    <w:rsid w:val="00005BEF"/>
    <w:rsid w:val="00030C81"/>
    <w:rsid w:val="000514E3"/>
    <w:rsid w:val="0006489F"/>
    <w:rsid w:val="00067B0A"/>
    <w:rsid w:val="00075573"/>
    <w:rsid w:val="00091036"/>
    <w:rsid w:val="00094849"/>
    <w:rsid w:val="000A10B8"/>
    <w:rsid w:val="000A3145"/>
    <w:rsid w:val="000B3AE5"/>
    <w:rsid w:val="000D19C0"/>
    <w:rsid w:val="000D1DD3"/>
    <w:rsid w:val="000E39A5"/>
    <w:rsid w:val="000E7400"/>
    <w:rsid w:val="001008BC"/>
    <w:rsid w:val="00101D12"/>
    <w:rsid w:val="00104284"/>
    <w:rsid w:val="00105E8C"/>
    <w:rsid w:val="00117CBF"/>
    <w:rsid w:val="00126A10"/>
    <w:rsid w:val="001376AB"/>
    <w:rsid w:val="001439BF"/>
    <w:rsid w:val="00144612"/>
    <w:rsid w:val="001529B0"/>
    <w:rsid w:val="0016510C"/>
    <w:rsid w:val="00180158"/>
    <w:rsid w:val="001B11AF"/>
    <w:rsid w:val="001D30F7"/>
    <w:rsid w:val="001E0BA2"/>
    <w:rsid w:val="001E4ED8"/>
    <w:rsid w:val="0020244B"/>
    <w:rsid w:val="00202F8C"/>
    <w:rsid w:val="00206C55"/>
    <w:rsid w:val="0022185D"/>
    <w:rsid w:val="00231C17"/>
    <w:rsid w:val="00236AAC"/>
    <w:rsid w:val="00242DF4"/>
    <w:rsid w:val="0024353F"/>
    <w:rsid w:val="002474D4"/>
    <w:rsid w:val="00265DE9"/>
    <w:rsid w:val="00290E14"/>
    <w:rsid w:val="002A7376"/>
    <w:rsid w:val="002B2255"/>
    <w:rsid w:val="002B4478"/>
    <w:rsid w:val="002C6F04"/>
    <w:rsid w:val="002C7560"/>
    <w:rsid w:val="002D06AA"/>
    <w:rsid w:val="002D230B"/>
    <w:rsid w:val="002D67FC"/>
    <w:rsid w:val="002E6963"/>
    <w:rsid w:val="002F40A1"/>
    <w:rsid w:val="002F4A1B"/>
    <w:rsid w:val="00301D88"/>
    <w:rsid w:val="00302CBE"/>
    <w:rsid w:val="00304E76"/>
    <w:rsid w:val="0031329C"/>
    <w:rsid w:val="0032234F"/>
    <w:rsid w:val="003610DD"/>
    <w:rsid w:val="003647E7"/>
    <w:rsid w:val="003651F4"/>
    <w:rsid w:val="0037270D"/>
    <w:rsid w:val="00377341"/>
    <w:rsid w:val="003820A5"/>
    <w:rsid w:val="003838CC"/>
    <w:rsid w:val="003862CB"/>
    <w:rsid w:val="0038700C"/>
    <w:rsid w:val="003B461C"/>
    <w:rsid w:val="003B4C19"/>
    <w:rsid w:val="003D2FA3"/>
    <w:rsid w:val="003D58AA"/>
    <w:rsid w:val="003D7B97"/>
    <w:rsid w:val="003E2ABC"/>
    <w:rsid w:val="003E7F81"/>
    <w:rsid w:val="003F0F8D"/>
    <w:rsid w:val="004156B9"/>
    <w:rsid w:val="00424F8C"/>
    <w:rsid w:val="00445BFA"/>
    <w:rsid w:val="00452BB6"/>
    <w:rsid w:val="00453A09"/>
    <w:rsid w:val="0046133B"/>
    <w:rsid w:val="004A00A5"/>
    <w:rsid w:val="004B37E1"/>
    <w:rsid w:val="004B3E68"/>
    <w:rsid w:val="004B5C90"/>
    <w:rsid w:val="004C3D80"/>
    <w:rsid w:val="004F3823"/>
    <w:rsid w:val="005207C8"/>
    <w:rsid w:val="00524E8F"/>
    <w:rsid w:val="00530663"/>
    <w:rsid w:val="0055036F"/>
    <w:rsid w:val="005514D6"/>
    <w:rsid w:val="00552704"/>
    <w:rsid w:val="00554577"/>
    <w:rsid w:val="00561C94"/>
    <w:rsid w:val="00572AB3"/>
    <w:rsid w:val="00580531"/>
    <w:rsid w:val="005836AC"/>
    <w:rsid w:val="00584583"/>
    <w:rsid w:val="005927CF"/>
    <w:rsid w:val="00594FAC"/>
    <w:rsid w:val="005A78CC"/>
    <w:rsid w:val="005C5493"/>
    <w:rsid w:val="005F5FB0"/>
    <w:rsid w:val="00606587"/>
    <w:rsid w:val="00606EEA"/>
    <w:rsid w:val="006174DB"/>
    <w:rsid w:val="0064023C"/>
    <w:rsid w:val="00641290"/>
    <w:rsid w:val="00654CAA"/>
    <w:rsid w:val="006578C2"/>
    <w:rsid w:val="00666D33"/>
    <w:rsid w:val="00670747"/>
    <w:rsid w:val="0068598F"/>
    <w:rsid w:val="00695110"/>
    <w:rsid w:val="006A58E4"/>
    <w:rsid w:val="006D0171"/>
    <w:rsid w:val="006D36C9"/>
    <w:rsid w:val="0070785D"/>
    <w:rsid w:val="007175A6"/>
    <w:rsid w:val="00720D53"/>
    <w:rsid w:val="00721503"/>
    <w:rsid w:val="00744508"/>
    <w:rsid w:val="007728D0"/>
    <w:rsid w:val="00783661"/>
    <w:rsid w:val="00785812"/>
    <w:rsid w:val="00790C6F"/>
    <w:rsid w:val="00791BB3"/>
    <w:rsid w:val="00792EEC"/>
    <w:rsid w:val="007A47DC"/>
    <w:rsid w:val="007B6178"/>
    <w:rsid w:val="007C2809"/>
    <w:rsid w:val="007D416E"/>
    <w:rsid w:val="007D5374"/>
    <w:rsid w:val="007E592C"/>
    <w:rsid w:val="007F2A02"/>
    <w:rsid w:val="00807411"/>
    <w:rsid w:val="00814CF5"/>
    <w:rsid w:val="00816425"/>
    <w:rsid w:val="008205CF"/>
    <w:rsid w:val="00821758"/>
    <w:rsid w:val="00823079"/>
    <w:rsid w:val="0083298A"/>
    <w:rsid w:val="00841387"/>
    <w:rsid w:val="0084196B"/>
    <w:rsid w:val="008472B3"/>
    <w:rsid w:val="008478D6"/>
    <w:rsid w:val="00857A7F"/>
    <w:rsid w:val="00865788"/>
    <w:rsid w:val="00881540"/>
    <w:rsid w:val="00895D08"/>
    <w:rsid w:val="008A5208"/>
    <w:rsid w:val="008B75CE"/>
    <w:rsid w:val="008B7D40"/>
    <w:rsid w:val="008C0FD6"/>
    <w:rsid w:val="008E1DB1"/>
    <w:rsid w:val="008E512C"/>
    <w:rsid w:val="008E7749"/>
    <w:rsid w:val="008E7F92"/>
    <w:rsid w:val="008F0C10"/>
    <w:rsid w:val="008F38F7"/>
    <w:rsid w:val="00902D3C"/>
    <w:rsid w:val="00920558"/>
    <w:rsid w:val="009226D4"/>
    <w:rsid w:val="00925673"/>
    <w:rsid w:val="00926D09"/>
    <w:rsid w:val="00927982"/>
    <w:rsid w:val="009336BA"/>
    <w:rsid w:val="00937FB4"/>
    <w:rsid w:val="0094087C"/>
    <w:rsid w:val="00951EC0"/>
    <w:rsid w:val="0096041D"/>
    <w:rsid w:val="00981287"/>
    <w:rsid w:val="00983045"/>
    <w:rsid w:val="009B075E"/>
    <w:rsid w:val="009B0A90"/>
    <w:rsid w:val="009C3C64"/>
    <w:rsid w:val="009E05E5"/>
    <w:rsid w:val="009F1B68"/>
    <w:rsid w:val="009F4DC4"/>
    <w:rsid w:val="00A11166"/>
    <w:rsid w:val="00A14038"/>
    <w:rsid w:val="00A16697"/>
    <w:rsid w:val="00A26D25"/>
    <w:rsid w:val="00A42850"/>
    <w:rsid w:val="00A53837"/>
    <w:rsid w:val="00A544D0"/>
    <w:rsid w:val="00A80E4E"/>
    <w:rsid w:val="00AC3885"/>
    <w:rsid w:val="00AD0BF3"/>
    <w:rsid w:val="00AD75CD"/>
    <w:rsid w:val="00AD7CA3"/>
    <w:rsid w:val="00B05D6E"/>
    <w:rsid w:val="00B119B1"/>
    <w:rsid w:val="00B14612"/>
    <w:rsid w:val="00B23E73"/>
    <w:rsid w:val="00B40898"/>
    <w:rsid w:val="00B4124C"/>
    <w:rsid w:val="00B4625E"/>
    <w:rsid w:val="00B75AE2"/>
    <w:rsid w:val="00B87281"/>
    <w:rsid w:val="00B9148E"/>
    <w:rsid w:val="00B94805"/>
    <w:rsid w:val="00BA6027"/>
    <w:rsid w:val="00BB7995"/>
    <w:rsid w:val="00BB7E97"/>
    <w:rsid w:val="00BC1D95"/>
    <w:rsid w:val="00BD4287"/>
    <w:rsid w:val="00BD60D5"/>
    <w:rsid w:val="00BE1D00"/>
    <w:rsid w:val="00BE3628"/>
    <w:rsid w:val="00BE424C"/>
    <w:rsid w:val="00BF5CC9"/>
    <w:rsid w:val="00BF7D0A"/>
    <w:rsid w:val="00C036A5"/>
    <w:rsid w:val="00C065A3"/>
    <w:rsid w:val="00C073FC"/>
    <w:rsid w:val="00C14327"/>
    <w:rsid w:val="00C212FB"/>
    <w:rsid w:val="00C22967"/>
    <w:rsid w:val="00C35333"/>
    <w:rsid w:val="00C36A60"/>
    <w:rsid w:val="00C41821"/>
    <w:rsid w:val="00C53083"/>
    <w:rsid w:val="00C55FDF"/>
    <w:rsid w:val="00C5739F"/>
    <w:rsid w:val="00C87FCA"/>
    <w:rsid w:val="00CA1B0C"/>
    <w:rsid w:val="00CA7795"/>
    <w:rsid w:val="00CA7F40"/>
    <w:rsid w:val="00CB3C7E"/>
    <w:rsid w:val="00CC2A46"/>
    <w:rsid w:val="00CE1A38"/>
    <w:rsid w:val="00CF041D"/>
    <w:rsid w:val="00D03314"/>
    <w:rsid w:val="00D06A0F"/>
    <w:rsid w:val="00D30049"/>
    <w:rsid w:val="00D37918"/>
    <w:rsid w:val="00D5055A"/>
    <w:rsid w:val="00D52657"/>
    <w:rsid w:val="00D76D2F"/>
    <w:rsid w:val="00D82047"/>
    <w:rsid w:val="00D96CAA"/>
    <w:rsid w:val="00DA351C"/>
    <w:rsid w:val="00DB6D34"/>
    <w:rsid w:val="00DD4E02"/>
    <w:rsid w:val="00DD637F"/>
    <w:rsid w:val="00DE08C1"/>
    <w:rsid w:val="00DE2BE8"/>
    <w:rsid w:val="00DF2970"/>
    <w:rsid w:val="00DF303A"/>
    <w:rsid w:val="00E00FFC"/>
    <w:rsid w:val="00E0467F"/>
    <w:rsid w:val="00E0505F"/>
    <w:rsid w:val="00E07F07"/>
    <w:rsid w:val="00E30B60"/>
    <w:rsid w:val="00E33F35"/>
    <w:rsid w:val="00E35705"/>
    <w:rsid w:val="00E35862"/>
    <w:rsid w:val="00E41E94"/>
    <w:rsid w:val="00E55C69"/>
    <w:rsid w:val="00E57D4D"/>
    <w:rsid w:val="00E6492F"/>
    <w:rsid w:val="00E65691"/>
    <w:rsid w:val="00E81DD9"/>
    <w:rsid w:val="00E91FA1"/>
    <w:rsid w:val="00E944E2"/>
    <w:rsid w:val="00EA6F17"/>
    <w:rsid w:val="00EB1077"/>
    <w:rsid w:val="00EC12D0"/>
    <w:rsid w:val="00EC2355"/>
    <w:rsid w:val="00EC6290"/>
    <w:rsid w:val="00ED044B"/>
    <w:rsid w:val="00ED339C"/>
    <w:rsid w:val="00ED76D9"/>
    <w:rsid w:val="00EE0DAA"/>
    <w:rsid w:val="00EE3CCF"/>
    <w:rsid w:val="00EF2051"/>
    <w:rsid w:val="00F00A19"/>
    <w:rsid w:val="00F3243F"/>
    <w:rsid w:val="00F34FB5"/>
    <w:rsid w:val="00F3644F"/>
    <w:rsid w:val="00F42F8A"/>
    <w:rsid w:val="00F804CC"/>
    <w:rsid w:val="00F82A83"/>
    <w:rsid w:val="00F83B3D"/>
    <w:rsid w:val="00F845BE"/>
    <w:rsid w:val="00F87CAF"/>
    <w:rsid w:val="00F910F6"/>
    <w:rsid w:val="00FA28F7"/>
    <w:rsid w:val="00FB0AFB"/>
    <w:rsid w:val="00FB2453"/>
    <w:rsid w:val="00FB39BA"/>
    <w:rsid w:val="00FC61E3"/>
    <w:rsid w:val="00FF17EE"/>
    <w:rsid w:val="00FF2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44969"/>
  <w15:docId w15:val="{121711BD-A353-4398-A5B3-564DAC46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1">
    <w:name w:val="heading 1"/>
    <w:basedOn w:val="Normal"/>
    <w:next w:val="Normal"/>
    <w:link w:val="Heading1Char"/>
    <w:uiPriority w:val="9"/>
    <w:rsid w:val="007F2A0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customStyle="1" w:styleId="estatutes-1-section">
    <w:name w:val="estatutes-1-section"/>
    <w:basedOn w:val="Normal"/>
    <w:rsid w:val="00FF280A"/>
    <w:pPr>
      <w:widowControl/>
      <w:autoSpaceDE/>
      <w:autoSpaceDN/>
      <w:adjustRightInd/>
      <w:spacing w:before="100" w:beforeAutospacing="1" w:after="100" w:afterAutospacing="1"/>
    </w:pPr>
    <w:rPr>
      <w:rFonts w:ascii="Times" w:hAnsi="Times"/>
      <w:lang w:val="en-US"/>
    </w:rPr>
  </w:style>
  <w:style w:type="paragraph" w:customStyle="1" w:styleId="estatutes-2-subsection">
    <w:name w:val="estatutes-2-subsection"/>
    <w:basedOn w:val="Normal"/>
    <w:rsid w:val="00FF280A"/>
    <w:pPr>
      <w:widowControl/>
      <w:autoSpaceDE/>
      <w:autoSpaceDN/>
      <w:adjustRightInd/>
      <w:spacing w:before="100" w:beforeAutospacing="1" w:after="100" w:afterAutospacing="1"/>
    </w:pPr>
    <w:rPr>
      <w:rFonts w:ascii="Times" w:hAnsi="Times"/>
      <w:lang w:val="en-US"/>
    </w:rPr>
  </w:style>
  <w:style w:type="paragraph" w:customStyle="1" w:styleId="estatutes-0-part">
    <w:name w:val="estatutes-0-part"/>
    <w:basedOn w:val="Normal"/>
    <w:rsid w:val="00FF280A"/>
    <w:pPr>
      <w:widowControl/>
      <w:autoSpaceDE/>
      <w:autoSpaceDN/>
      <w:adjustRightInd/>
      <w:spacing w:before="100" w:beforeAutospacing="1" w:after="100" w:afterAutospacing="1"/>
    </w:pPr>
    <w:rPr>
      <w:rFonts w:ascii="Times" w:hAnsi="Times"/>
      <w:lang w:val="en-US"/>
    </w:rPr>
  </w:style>
  <w:style w:type="paragraph" w:customStyle="1" w:styleId="estatutes-1-sectionheading">
    <w:name w:val="estatutes-1-sectionheading"/>
    <w:basedOn w:val="Normal"/>
    <w:rsid w:val="00FF280A"/>
    <w:pPr>
      <w:widowControl/>
      <w:autoSpaceDE/>
      <w:autoSpaceDN/>
      <w:adjustRightInd/>
      <w:spacing w:before="100" w:beforeAutospacing="1" w:after="100" w:afterAutospacing="1"/>
    </w:pPr>
    <w:rPr>
      <w:rFonts w:ascii="Times" w:hAnsi="Times"/>
      <w:lang w:val="en-US"/>
    </w:rPr>
  </w:style>
  <w:style w:type="character" w:customStyle="1" w:styleId="Heading1Char">
    <w:name w:val="Heading 1 Char"/>
    <w:basedOn w:val="DefaultParagraphFont"/>
    <w:link w:val="Heading1"/>
    <w:uiPriority w:val="9"/>
    <w:rsid w:val="007F2A02"/>
    <w:rPr>
      <w:rFonts w:asciiTheme="majorHAnsi" w:eastAsiaTheme="majorEastAsia" w:hAnsiTheme="majorHAnsi" w:cstheme="majorBidi"/>
      <w:b/>
      <w:bCs/>
      <w:color w:val="345A8A" w:themeColor="accent1" w:themeShade="B5"/>
      <w:sz w:val="32"/>
      <w:szCs w:val="32"/>
      <w:lang w:val="en-GB"/>
    </w:rPr>
  </w:style>
  <w:style w:type="character" w:styleId="Emphasis">
    <w:name w:val="Emphasis"/>
    <w:basedOn w:val="DefaultParagraphFont"/>
    <w:uiPriority w:val="20"/>
    <w:qFormat/>
    <w:rsid w:val="007F2A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0157">
      <w:bodyDiv w:val="1"/>
      <w:marLeft w:val="0"/>
      <w:marRight w:val="0"/>
      <w:marTop w:val="0"/>
      <w:marBottom w:val="0"/>
      <w:divBdr>
        <w:top w:val="none" w:sz="0" w:space="0" w:color="auto"/>
        <w:left w:val="none" w:sz="0" w:space="0" w:color="auto"/>
        <w:bottom w:val="none" w:sz="0" w:space="0" w:color="auto"/>
        <w:right w:val="none" w:sz="0" w:space="0" w:color="auto"/>
      </w:divBdr>
    </w:div>
    <w:div w:id="817310318">
      <w:bodyDiv w:val="1"/>
      <w:marLeft w:val="0"/>
      <w:marRight w:val="0"/>
      <w:marTop w:val="0"/>
      <w:marBottom w:val="0"/>
      <w:divBdr>
        <w:top w:val="none" w:sz="0" w:space="0" w:color="auto"/>
        <w:left w:val="none" w:sz="0" w:space="0" w:color="auto"/>
        <w:bottom w:val="none" w:sz="0" w:space="0" w:color="auto"/>
        <w:right w:val="none" w:sz="0" w:space="0" w:color="auto"/>
      </w:divBdr>
    </w:div>
    <w:div w:id="1272275639">
      <w:bodyDiv w:val="1"/>
      <w:marLeft w:val="0"/>
      <w:marRight w:val="0"/>
      <w:marTop w:val="0"/>
      <w:marBottom w:val="0"/>
      <w:divBdr>
        <w:top w:val="none" w:sz="0" w:space="0" w:color="auto"/>
        <w:left w:val="none" w:sz="0" w:space="0" w:color="auto"/>
        <w:bottom w:val="none" w:sz="0" w:space="0" w:color="auto"/>
        <w:right w:val="none" w:sz="0" w:space="0" w:color="auto"/>
      </w:divBdr>
    </w:div>
    <w:div w:id="161436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0750D-69E2-457F-929C-22792382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r.barbe</dc:creator>
  <cp:lastModifiedBy>shena labrosse</cp:lastModifiedBy>
  <cp:revision>5</cp:revision>
  <cp:lastPrinted>2018-03-26T07:15:00Z</cp:lastPrinted>
  <dcterms:created xsi:type="dcterms:W3CDTF">2018-03-26T07:12:00Z</dcterms:created>
  <dcterms:modified xsi:type="dcterms:W3CDTF">2018-03-26T07:39:00Z</dcterms:modified>
</cp:coreProperties>
</file>