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8965A6" w:rsidRPr="00476AC4" w:rsidRDefault="009F7F65" w:rsidP="008965A6">
      <w:pPr>
        <w:jc w:val="center"/>
        <w:rPr>
          <w:b/>
          <w:sz w:val="24"/>
          <w:szCs w:val="24"/>
        </w:rPr>
      </w:pPr>
      <w:r w:rsidRPr="00476AC4">
        <w:rPr>
          <w:b/>
          <w:sz w:val="24"/>
          <w:szCs w:val="24"/>
        </w:rPr>
        <w:fldChar w:fldCharType="begin">
          <w:ffData>
            <w:name w:val="Text41"/>
            <w:enabled/>
            <w:calcOnExit w:val="0"/>
            <w:textInput>
              <w:default w:val="RESTRICTED PUBLICATION:"/>
              <w:format w:val="UPPERCASE"/>
            </w:textInput>
          </w:ffData>
        </w:fldChar>
      </w:r>
      <w:r w:rsidR="008965A6" w:rsidRPr="00476AC4">
        <w:rPr>
          <w:b/>
          <w:sz w:val="24"/>
          <w:szCs w:val="24"/>
        </w:rPr>
        <w:instrText xml:space="preserve"> FORMTEXT </w:instrText>
      </w:r>
      <w:r w:rsidRPr="00476AC4">
        <w:rPr>
          <w:b/>
          <w:sz w:val="24"/>
          <w:szCs w:val="24"/>
        </w:rPr>
      </w:r>
      <w:r w:rsidRPr="00476AC4">
        <w:rPr>
          <w:b/>
          <w:sz w:val="24"/>
          <w:szCs w:val="24"/>
        </w:rPr>
        <w:fldChar w:fldCharType="separate"/>
      </w:r>
      <w:r w:rsidR="00437E3D" w:rsidRPr="00476AC4">
        <w:rPr>
          <w:b/>
          <w:sz w:val="24"/>
          <w:szCs w:val="24"/>
        </w:rPr>
        <w:t> </w:t>
      </w:r>
      <w:r w:rsidR="00437E3D" w:rsidRPr="00476AC4">
        <w:rPr>
          <w:b/>
          <w:sz w:val="24"/>
          <w:szCs w:val="24"/>
        </w:rPr>
        <w:t> </w:t>
      </w:r>
      <w:r w:rsidR="00437E3D" w:rsidRPr="00476AC4">
        <w:rPr>
          <w:b/>
          <w:sz w:val="24"/>
          <w:szCs w:val="24"/>
        </w:rPr>
        <w:t> </w:t>
      </w:r>
      <w:r w:rsidRPr="00476AC4">
        <w:rPr>
          <w:b/>
          <w:sz w:val="24"/>
          <w:szCs w:val="24"/>
        </w:rPr>
        <w:fldChar w:fldCharType="end"/>
      </w:r>
      <w:bookmarkEnd w:id="0"/>
    </w:p>
    <w:bookmarkStart w:id="1" w:name="Text42"/>
    <w:p w:rsidR="008965A6" w:rsidRPr="00476AC4" w:rsidRDefault="009F7F65" w:rsidP="008965A6">
      <w:pPr>
        <w:jc w:val="center"/>
        <w:rPr>
          <w:i/>
          <w:sz w:val="24"/>
          <w:szCs w:val="24"/>
        </w:rPr>
      </w:pPr>
      <w:r w:rsidRPr="00476AC4">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8965A6" w:rsidRPr="00476AC4">
        <w:rPr>
          <w:i/>
          <w:sz w:val="24"/>
          <w:szCs w:val="24"/>
        </w:rPr>
        <w:instrText xml:space="preserve"> FORMTEXT </w:instrText>
      </w:r>
      <w:r w:rsidRPr="00476AC4">
        <w:rPr>
          <w:i/>
          <w:sz w:val="24"/>
          <w:szCs w:val="24"/>
        </w:rPr>
      </w:r>
      <w:r w:rsidRPr="00476AC4">
        <w:rPr>
          <w:i/>
          <w:sz w:val="24"/>
          <w:szCs w:val="24"/>
        </w:rPr>
        <w:fldChar w:fldCharType="separate"/>
      </w:r>
      <w:r w:rsidR="00437E3D" w:rsidRPr="00476AC4">
        <w:rPr>
          <w:i/>
          <w:sz w:val="24"/>
          <w:szCs w:val="24"/>
        </w:rPr>
        <w:t> </w:t>
      </w:r>
      <w:r w:rsidR="00437E3D" w:rsidRPr="00476AC4">
        <w:rPr>
          <w:i/>
          <w:sz w:val="24"/>
          <w:szCs w:val="24"/>
        </w:rPr>
        <w:t> </w:t>
      </w:r>
      <w:r w:rsidRPr="00476AC4">
        <w:rPr>
          <w:i/>
          <w:sz w:val="24"/>
          <w:szCs w:val="24"/>
        </w:rPr>
        <w:fldChar w:fldCharType="end"/>
      </w:r>
      <w:bookmarkEnd w:id="1"/>
    </w:p>
    <w:p w:rsidR="008965A6" w:rsidRPr="008D33D5" w:rsidRDefault="008965A6" w:rsidP="00CA7795">
      <w:pPr>
        <w:jc w:val="center"/>
        <w:rPr>
          <w:b/>
          <w:sz w:val="24"/>
          <w:szCs w:val="24"/>
        </w:rPr>
      </w:pPr>
    </w:p>
    <w:p w:rsidR="00AD75CD" w:rsidRPr="00190EF5" w:rsidRDefault="00C55FDF" w:rsidP="00CA7795">
      <w:pPr>
        <w:jc w:val="center"/>
        <w:rPr>
          <w:b/>
          <w:sz w:val="24"/>
          <w:szCs w:val="24"/>
        </w:rPr>
      </w:pPr>
      <w:r w:rsidRPr="00190EF5">
        <w:rPr>
          <w:b/>
          <w:sz w:val="24"/>
          <w:szCs w:val="24"/>
        </w:rPr>
        <w:t>IN THE SUPREME COURT OF SEYCHELLES</w:t>
      </w:r>
    </w:p>
    <w:p w:rsidR="00C55FDF" w:rsidRPr="00190EF5" w:rsidRDefault="00C55FDF" w:rsidP="0006489F">
      <w:pPr>
        <w:spacing w:before="240"/>
        <w:jc w:val="center"/>
        <w:rPr>
          <w:b/>
          <w:sz w:val="24"/>
          <w:szCs w:val="24"/>
        </w:rPr>
      </w:pPr>
      <w:r w:rsidRPr="00190EF5">
        <w:rPr>
          <w:b/>
          <w:sz w:val="24"/>
          <w:szCs w:val="24"/>
        </w:rPr>
        <w:t>C</w:t>
      </w:r>
      <w:r w:rsidR="00B23E73" w:rsidRPr="00190EF5">
        <w:rPr>
          <w:b/>
          <w:sz w:val="24"/>
          <w:szCs w:val="24"/>
        </w:rPr>
        <w:t xml:space="preserve">ivil </w:t>
      </w:r>
      <w:r w:rsidRPr="00190EF5">
        <w:rPr>
          <w:b/>
          <w:sz w:val="24"/>
          <w:szCs w:val="24"/>
        </w:rPr>
        <w:t>S</w:t>
      </w:r>
      <w:r w:rsidR="0004317E" w:rsidRPr="00190EF5">
        <w:rPr>
          <w:b/>
          <w:sz w:val="24"/>
          <w:szCs w:val="24"/>
        </w:rPr>
        <w:t xml:space="preserve">ide: </w:t>
      </w:r>
      <w:r w:rsidR="005166FF" w:rsidRPr="00190EF5">
        <w:rPr>
          <w:b/>
          <w:sz w:val="24"/>
          <w:szCs w:val="24"/>
        </w:rPr>
        <w:t>DV. 148</w:t>
      </w:r>
      <w:r w:rsidR="0004317E" w:rsidRPr="00190EF5">
        <w:rPr>
          <w:b/>
          <w:sz w:val="24"/>
          <w:szCs w:val="24"/>
        </w:rPr>
        <w:t>/2016</w:t>
      </w:r>
    </w:p>
    <w:p w:rsidR="0004317E" w:rsidRPr="00190EF5" w:rsidRDefault="0004317E" w:rsidP="0006489F">
      <w:pPr>
        <w:spacing w:before="240"/>
        <w:jc w:val="center"/>
        <w:rPr>
          <w:b/>
          <w:sz w:val="24"/>
          <w:szCs w:val="24"/>
        </w:rPr>
      </w:pPr>
    </w:p>
    <w:p w:rsidR="00DB6D34" w:rsidRPr="00190EF5" w:rsidRDefault="00DB6D34" w:rsidP="00000407">
      <w:pPr>
        <w:spacing w:before="240" w:after="160"/>
        <w:ind w:left="6480"/>
        <w:rPr>
          <w:b/>
          <w:sz w:val="24"/>
          <w:szCs w:val="24"/>
        </w:rPr>
      </w:pPr>
      <w:r w:rsidRPr="00190EF5">
        <w:rPr>
          <w:b/>
          <w:sz w:val="24"/>
          <w:szCs w:val="24"/>
        </w:rPr>
        <w:t>[201</w:t>
      </w:r>
      <w:r w:rsidR="0004317E" w:rsidRPr="00190EF5">
        <w:rPr>
          <w:b/>
          <w:sz w:val="24"/>
          <w:szCs w:val="24"/>
        </w:rPr>
        <w:t>8</w:t>
      </w:r>
      <w:r w:rsidR="009F7F65" w:rsidRPr="00190EF5">
        <w:rPr>
          <w:b/>
          <w:sz w:val="24"/>
          <w:szCs w:val="24"/>
        </w:rPr>
        <w:fldChar w:fldCharType="begin"/>
      </w:r>
      <w:r w:rsidR="009F7F65" w:rsidRPr="00190EF5">
        <w:rPr>
          <w:b/>
          <w:sz w:val="24"/>
          <w:szCs w:val="24"/>
        </w:rPr>
        <w:fldChar w:fldCharType="end"/>
      </w:r>
      <w:r w:rsidRPr="00190EF5">
        <w:rPr>
          <w:b/>
          <w:sz w:val="24"/>
          <w:szCs w:val="24"/>
        </w:rPr>
        <w:t>] SCSC</w:t>
      </w:r>
      <w:r w:rsidR="004C3D70">
        <w:rPr>
          <w:b/>
          <w:sz w:val="24"/>
          <w:szCs w:val="24"/>
        </w:rPr>
        <w:t xml:space="preserve"> 503</w:t>
      </w:r>
      <w:bookmarkStart w:id="2" w:name="_GoBack"/>
      <w:bookmarkEnd w:id="2"/>
    </w:p>
    <w:p w:rsidR="00C55FDF" w:rsidRPr="00190EF5" w:rsidRDefault="00C55FDF" w:rsidP="00E57D4D">
      <w:pPr>
        <w:pBdr>
          <w:bottom w:val="single" w:sz="4" w:space="5" w:color="auto"/>
        </w:pBdr>
        <w:jc w:val="center"/>
        <w:rPr>
          <w:b/>
          <w:sz w:val="24"/>
          <w:szCs w:val="24"/>
        </w:rPr>
      </w:pPr>
    </w:p>
    <w:p w:rsidR="00572AB3" w:rsidRPr="00190EF5" w:rsidRDefault="00572AB3" w:rsidP="00572AB3">
      <w:pPr>
        <w:rPr>
          <w:sz w:val="24"/>
          <w:szCs w:val="24"/>
        </w:rPr>
      </w:pPr>
    </w:p>
    <w:p w:rsidR="005166FF" w:rsidRDefault="001A6ED7" w:rsidP="005166FF">
      <w:pPr>
        <w:jc w:val="center"/>
        <w:rPr>
          <w:b/>
          <w:sz w:val="24"/>
          <w:szCs w:val="24"/>
        </w:rPr>
      </w:pPr>
      <w:r>
        <w:rPr>
          <w:b/>
          <w:sz w:val="24"/>
          <w:szCs w:val="24"/>
        </w:rPr>
        <w:t>J.M.</w:t>
      </w:r>
    </w:p>
    <w:p w:rsidR="001A6ED7" w:rsidRPr="00190EF5" w:rsidRDefault="001A6ED7" w:rsidP="005166FF">
      <w:pPr>
        <w:jc w:val="center"/>
        <w:rPr>
          <w:b/>
          <w:sz w:val="24"/>
          <w:szCs w:val="24"/>
        </w:rPr>
      </w:pPr>
      <w:r>
        <w:rPr>
          <w:b/>
          <w:sz w:val="24"/>
          <w:szCs w:val="24"/>
        </w:rPr>
        <w:t>(nee A)</w:t>
      </w:r>
    </w:p>
    <w:p w:rsidR="005166FF" w:rsidRPr="00190EF5" w:rsidRDefault="009F7F65" w:rsidP="005166FF">
      <w:pPr>
        <w:jc w:val="center"/>
        <w:rPr>
          <w:sz w:val="24"/>
          <w:szCs w:val="24"/>
        </w:rPr>
        <w:sectPr w:rsidR="005166FF" w:rsidRPr="00190EF5" w:rsidSect="00EF2051">
          <w:footerReference w:type="default" r:id="rId8"/>
          <w:type w:val="continuous"/>
          <w:pgSz w:w="12240" w:h="15840"/>
          <w:pgMar w:top="1440" w:right="1440" w:bottom="1440" w:left="1440" w:header="720" w:footer="720" w:gutter="0"/>
          <w:cols w:space="720"/>
          <w:docGrid w:linePitch="360"/>
        </w:sectPr>
      </w:pPr>
      <w:r w:rsidRPr="00190EF5">
        <w:rPr>
          <w:sz w:val="24"/>
          <w:szCs w:val="24"/>
        </w:rPr>
        <w:fldChar w:fldCharType="begin">
          <w:ffData>
            <w:name w:val="Dropdown13"/>
            <w:enabled/>
            <w:calcOnExit w:val="0"/>
            <w:ddList>
              <w:listEntry w:val="Petitioner"/>
              <w:listEntry w:val="First Petitioner"/>
            </w:ddList>
          </w:ffData>
        </w:fldChar>
      </w:r>
      <w:r w:rsidR="005166FF" w:rsidRPr="00190EF5">
        <w:rPr>
          <w:sz w:val="24"/>
          <w:szCs w:val="24"/>
        </w:rPr>
        <w:instrText xml:space="preserve"> FORMDROPDOWN </w:instrText>
      </w:r>
      <w:r w:rsidR="005E781B">
        <w:rPr>
          <w:sz w:val="24"/>
          <w:szCs w:val="24"/>
        </w:rPr>
      </w:r>
      <w:r w:rsidR="005E781B">
        <w:rPr>
          <w:sz w:val="24"/>
          <w:szCs w:val="24"/>
        </w:rPr>
        <w:fldChar w:fldCharType="separate"/>
      </w:r>
      <w:r w:rsidRPr="00190EF5">
        <w:rPr>
          <w:sz w:val="24"/>
          <w:szCs w:val="24"/>
        </w:rPr>
        <w:fldChar w:fldCharType="end"/>
      </w:r>
    </w:p>
    <w:p w:rsidR="005166FF" w:rsidRPr="00190EF5" w:rsidRDefault="005166FF" w:rsidP="005166FF">
      <w:pPr>
        <w:jc w:val="center"/>
        <w:rPr>
          <w:b/>
          <w:sz w:val="24"/>
          <w:szCs w:val="24"/>
        </w:rPr>
      </w:pPr>
    </w:p>
    <w:p w:rsidR="005166FF" w:rsidRPr="00190EF5" w:rsidRDefault="005166FF" w:rsidP="005166FF">
      <w:pPr>
        <w:rPr>
          <w:sz w:val="24"/>
          <w:szCs w:val="24"/>
        </w:rPr>
        <w:sectPr w:rsidR="005166FF" w:rsidRPr="00190EF5" w:rsidSect="00EF2051">
          <w:type w:val="continuous"/>
          <w:pgSz w:w="12240" w:h="15840"/>
          <w:pgMar w:top="1440" w:right="1440" w:bottom="1440" w:left="1440" w:header="720" w:footer="720" w:gutter="0"/>
          <w:cols w:space="720"/>
          <w:formProt w:val="0"/>
          <w:docGrid w:linePitch="360"/>
        </w:sectPr>
      </w:pPr>
    </w:p>
    <w:p w:rsidR="005166FF" w:rsidRPr="00190EF5" w:rsidRDefault="005166FF" w:rsidP="005166FF">
      <w:pPr>
        <w:spacing w:before="120"/>
        <w:jc w:val="center"/>
        <w:rPr>
          <w:sz w:val="24"/>
          <w:szCs w:val="24"/>
        </w:rPr>
      </w:pPr>
      <w:proofErr w:type="gramStart"/>
      <w:r w:rsidRPr="00190EF5">
        <w:rPr>
          <w:sz w:val="24"/>
          <w:szCs w:val="24"/>
        </w:rPr>
        <w:lastRenderedPageBreak/>
        <w:t>versus</w:t>
      </w:r>
      <w:proofErr w:type="gramEnd"/>
    </w:p>
    <w:p w:rsidR="005166FF" w:rsidRPr="00190EF5" w:rsidRDefault="005166FF" w:rsidP="005166FF">
      <w:pPr>
        <w:ind w:left="2880" w:firstLine="720"/>
        <w:rPr>
          <w:sz w:val="24"/>
          <w:szCs w:val="24"/>
        </w:rPr>
      </w:pPr>
    </w:p>
    <w:p w:rsidR="005166FF" w:rsidRPr="00190EF5" w:rsidRDefault="001A6ED7" w:rsidP="005166FF">
      <w:pPr>
        <w:jc w:val="center"/>
        <w:rPr>
          <w:sz w:val="24"/>
          <w:szCs w:val="24"/>
        </w:rPr>
      </w:pPr>
      <w:r>
        <w:rPr>
          <w:b/>
          <w:sz w:val="24"/>
          <w:szCs w:val="24"/>
        </w:rPr>
        <w:t>N.M.</w:t>
      </w:r>
    </w:p>
    <w:p w:rsidR="005166FF" w:rsidRPr="00190EF5" w:rsidRDefault="009F7F65" w:rsidP="005166FF">
      <w:pPr>
        <w:spacing w:after="240"/>
        <w:jc w:val="center"/>
        <w:rPr>
          <w:sz w:val="24"/>
          <w:szCs w:val="24"/>
        </w:rPr>
        <w:sectPr w:rsidR="005166FF" w:rsidRPr="00190EF5" w:rsidSect="00EF2051">
          <w:type w:val="continuous"/>
          <w:pgSz w:w="12240" w:h="15840"/>
          <w:pgMar w:top="1440" w:right="1440" w:bottom="1440" w:left="1440" w:header="720" w:footer="720" w:gutter="0"/>
          <w:cols w:space="720"/>
          <w:docGrid w:linePitch="360"/>
        </w:sectPr>
      </w:pPr>
      <w:r w:rsidRPr="00190EF5">
        <w:rPr>
          <w:sz w:val="24"/>
          <w:szCs w:val="24"/>
        </w:rPr>
        <w:fldChar w:fldCharType="begin">
          <w:ffData>
            <w:name w:val="Dropdown14"/>
            <w:enabled/>
            <w:calcOnExit w:val="0"/>
            <w:ddList>
              <w:listEntry w:val="Respondent"/>
              <w:listEntry w:val="First Respondent"/>
            </w:ddList>
          </w:ffData>
        </w:fldChar>
      </w:r>
      <w:r w:rsidR="005166FF" w:rsidRPr="00190EF5">
        <w:rPr>
          <w:sz w:val="24"/>
          <w:szCs w:val="24"/>
        </w:rPr>
        <w:instrText xml:space="preserve"> FORMDROPDOWN </w:instrText>
      </w:r>
      <w:r w:rsidR="005E781B">
        <w:rPr>
          <w:sz w:val="24"/>
          <w:szCs w:val="24"/>
        </w:rPr>
      </w:r>
      <w:r w:rsidR="005E781B">
        <w:rPr>
          <w:sz w:val="24"/>
          <w:szCs w:val="24"/>
        </w:rPr>
        <w:fldChar w:fldCharType="separate"/>
      </w:r>
      <w:r w:rsidRPr="00190EF5">
        <w:rPr>
          <w:sz w:val="24"/>
          <w:szCs w:val="24"/>
        </w:rPr>
        <w:fldChar w:fldCharType="end"/>
      </w:r>
    </w:p>
    <w:p w:rsidR="005166FF" w:rsidRPr="00190EF5" w:rsidRDefault="005166FF" w:rsidP="005166FF">
      <w:pPr>
        <w:jc w:val="center"/>
        <w:rPr>
          <w:sz w:val="24"/>
          <w:szCs w:val="24"/>
        </w:rPr>
        <w:sectPr w:rsidR="005166FF" w:rsidRPr="00190EF5" w:rsidSect="00EF2051">
          <w:type w:val="continuous"/>
          <w:pgSz w:w="12240" w:h="15840"/>
          <w:pgMar w:top="1440" w:right="1440" w:bottom="1440" w:left="1440" w:header="720" w:footer="720" w:gutter="0"/>
          <w:cols w:space="720"/>
          <w:formProt w:val="0"/>
          <w:docGrid w:linePitch="360"/>
        </w:sectPr>
      </w:pPr>
    </w:p>
    <w:p w:rsidR="005166FF" w:rsidRPr="00190EF5" w:rsidRDefault="005166FF" w:rsidP="005166FF">
      <w:pPr>
        <w:pBdr>
          <w:bottom w:val="single" w:sz="4" w:space="1" w:color="auto"/>
        </w:pBdr>
        <w:jc w:val="center"/>
        <w:rPr>
          <w:sz w:val="24"/>
          <w:szCs w:val="24"/>
        </w:rPr>
      </w:pPr>
    </w:p>
    <w:p w:rsidR="005166FF" w:rsidRDefault="005166FF" w:rsidP="005166FF">
      <w:pPr>
        <w:spacing w:before="240" w:after="120"/>
        <w:ind w:left="2160" w:hanging="2160"/>
        <w:rPr>
          <w:sz w:val="24"/>
          <w:szCs w:val="24"/>
        </w:rPr>
      </w:pPr>
      <w:r w:rsidRPr="00190EF5">
        <w:rPr>
          <w:sz w:val="24"/>
          <w:szCs w:val="24"/>
        </w:rPr>
        <w:t>Heard:</w:t>
      </w:r>
      <w:r w:rsidRPr="00190EF5">
        <w:rPr>
          <w:sz w:val="24"/>
          <w:szCs w:val="24"/>
        </w:rPr>
        <w:tab/>
        <w:t>17</w:t>
      </w:r>
      <w:r w:rsidR="00842D70" w:rsidRPr="00842D70">
        <w:rPr>
          <w:sz w:val="24"/>
          <w:szCs w:val="24"/>
          <w:vertAlign w:val="superscript"/>
        </w:rPr>
        <w:t>th</w:t>
      </w:r>
      <w:r w:rsidRPr="00190EF5">
        <w:rPr>
          <w:sz w:val="24"/>
          <w:szCs w:val="24"/>
        </w:rPr>
        <w:t xml:space="preserve"> November 2017 and 24</w:t>
      </w:r>
      <w:r w:rsidRPr="00190EF5">
        <w:rPr>
          <w:sz w:val="24"/>
          <w:szCs w:val="24"/>
          <w:vertAlign w:val="superscript"/>
        </w:rPr>
        <w:t>th</w:t>
      </w:r>
      <w:r w:rsidRPr="00190EF5">
        <w:rPr>
          <w:sz w:val="24"/>
          <w:szCs w:val="24"/>
        </w:rPr>
        <w:t xml:space="preserve"> January 2018</w:t>
      </w:r>
    </w:p>
    <w:p w:rsidR="00842D70" w:rsidRPr="00190EF5" w:rsidRDefault="00842D70" w:rsidP="00842D70">
      <w:pPr>
        <w:ind w:left="2160" w:hanging="2160"/>
        <w:rPr>
          <w:sz w:val="24"/>
          <w:szCs w:val="24"/>
        </w:rPr>
      </w:pPr>
    </w:p>
    <w:p w:rsidR="005166FF" w:rsidRPr="00190EF5" w:rsidRDefault="005166FF" w:rsidP="005166FF">
      <w:pPr>
        <w:rPr>
          <w:sz w:val="24"/>
          <w:szCs w:val="24"/>
        </w:rPr>
        <w:sectPr w:rsidR="005166FF" w:rsidRPr="00190EF5" w:rsidSect="00EF2051">
          <w:type w:val="continuous"/>
          <w:pgSz w:w="12240" w:h="15840"/>
          <w:pgMar w:top="1440" w:right="1440" w:bottom="1440" w:left="1440" w:header="720" w:footer="720" w:gutter="0"/>
          <w:cols w:space="720"/>
          <w:docGrid w:linePitch="360"/>
        </w:sectPr>
      </w:pPr>
      <w:r w:rsidRPr="00190EF5">
        <w:rPr>
          <w:sz w:val="24"/>
          <w:szCs w:val="24"/>
        </w:rPr>
        <w:t>Counsel:</w:t>
      </w:r>
      <w:r w:rsidRPr="00190EF5">
        <w:rPr>
          <w:sz w:val="24"/>
          <w:szCs w:val="24"/>
        </w:rPr>
        <w:tab/>
      </w:r>
      <w:r w:rsidRPr="00190EF5">
        <w:rPr>
          <w:sz w:val="24"/>
          <w:szCs w:val="24"/>
        </w:rPr>
        <w:tab/>
        <w:t xml:space="preserve">Anthony </w:t>
      </w:r>
      <w:proofErr w:type="spellStart"/>
      <w:r w:rsidRPr="00190EF5">
        <w:rPr>
          <w:sz w:val="24"/>
          <w:szCs w:val="24"/>
        </w:rPr>
        <w:t>Derjacques</w:t>
      </w:r>
      <w:proofErr w:type="spellEnd"/>
      <w:r w:rsidRPr="00190EF5">
        <w:rPr>
          <w:sz w:val="24"/>
          <w:szCs w:val="24"/>
        </w:rPr>
        <w:t xml:space="preserve"> </w:t>
      </w:r>
      <w:r w:rsidR="009F7F65" w:rsidRPr="00190EF5">
        <w:rPr>
          <w:sz w:val="24"/>
          <w:szCs w:val="24"/>
        </w:rPr>
        <w:fldChar w:fldCharType="begin"/>
      </w:r>
      <w:r w:rsidRPr="00190EF5">
        <w:rPr>
          <w:sz w:val="24"/>
          <w:szCs w:val="24"/>
        </w:rPr>
        <w:instrText xml:space="preserve"> ASK  "Enter Appellant Lawyer full name"  \* MERGEFORMAT </w:instrText>
      </w:r>
      <w:r w:rsidR="009F7F65" w:rsidRPr="00190EF5">
        <w:rPr>
          <w:sz w:val="24"/>
          <w:szCs w:val="24"/>
        </w:rPr>
        <w:fldChar w:fldCharType="end"/>
      </w:r>
      <w:r w:rsidR="009F7F65" w:rsidRPr="00190EF5">
        <w:rPr>
          <w:sz w:val="24"/>
          <w:szCs w:val="24"/>
        </w:rPr>
        <w:fldChar w:fldCharType="begin"/>
      </w:r>
      <w:r w:rsidR="009F7F65" w:rsidRPr="00190EF5">
        <w:rPr>
          <w:sz w:val="24"/>
          <w:szCs w:val="24"/>
        </w:rPr>
        <w:fldChar w:fldCharType="end"/>
      </w:r>
      <w:r w:rsidRPr="00190EF5">
        <w:rPr>
          <w:sz w:val="24"/>
          <w:szCs w:val="24"/>
        </w:rPr>
        <w:t>for Petitioner</w:t>
      </w:r>
    </w:p>
    <w:p w:rsidR="005166FF" w:rsidRPr="00190EF5" w:rsidRDefault="005166FF" w:rsidP="005166FF">
      <w:pPr>
        <w:rPr>
          <w:sz w:val="24"/>
          <w:szCs w:val="24"/>
        </w:rPr>
        <w:sectPr w:rsidR="005166FF" w:rsidRPr="00190EF5" w:rsidSect="00EF2051">
          <w:type w:val="continuous"/>
          <w:pgSz w:w="12240" w:h="15840"/>
          <w:pgMar w:top="1440" w:right="1440" w:bottom="1440" w:left="1440" w:header="720" w:footer="720" w:gutter="0"/>
          <w:cols w:space="720"/>
          <w:docGrid w:linePitch="360"/>
        </w:sectPr>
      </w:pPr>
      <w:r w:rsidRPr="00190EF5">
        <w:rPr>
          <w:sz w:val="24"/>
          <w:szCs w:val="24"/>
        </w:rPr>
        <w:lastRenderedPageBreak/>
        <w:tab/>
      </w:r>
      <w:r w:rsidRPr="00190EF5">
        <w:rPr>
          <w:sz w:val="24"/>
          <w:szCs w:val="24"/>
        </w:rPr>
        <w:tab/>
      </w:r>
      <w:r w:rsidRPr="00190EF5">
        <w:rPr>
          <w:sz w:val="24"/>
          <w:szCs w:val="24"/>
        </w:rPr>
        <w:tab/>
      </w:r>
      <w:r w:rsidR="009F7F65" w:rsidRPr="00190EF5">
        <w:rPr>
          <w:sz w:val="24"/>
          <w:szCs w:val="24"/>
        </w:rPr>
        <w:fldChar w:fldCharType="begin">
          <w:ffData>
            <w:name w:val="Text36"/>
            <w:enabled/>
            <w:calcOnExit w:val="0"/>
            <w:textInput/>
          </w:ffData>
        </w:fldChar>
      </w:r>
      <w:r w:rsidRPr="00190EF5">
        <w:rPr>
          <w:sz w:val="24"/>
          <w:szCs w:val="24"/>
        </w:rPr>
        <w:instrText xml:space="preserve"> FORMTEXT </w:instrText>
      </w:r>
      <w:r w:rsidR="009F7F65" w:rsidRPr="00190EF5">
        <w:rPr>
          <w:sz w:val="24"/>
          <w:szCs w:val="24"/>
        </w:rPr>
      </w:r>
      <w:r w:rsidR="009F7F65" w:rsidRPr="00190EF5">
        <w:rPr>
          <w:sz w:val="24"/>
          <w:szCs w:val="24"/>
        </w:rPr>
        <w:fldChar w:fldCharType="separate"/>
      </w:r>
      <w:r w:rsidRPr="00190EF5">
        <w:rPr>
          <w:noProof/>
          <w:sz w:val="24"/>
          <w:szCs w:val="24"/>
        </w:rPr>
        <w:t> </w:t>
      </w:r>
      <w:r w:rsidRPr="00190EF5">
        <w:rPr>
          <w:noProof/>
          <w:sz w:val="24"/>
          <w:szCs w:val="24"/>
        </w:rPr>
        <w:t> </w:t>
      </w:r>
      <w:r w:rsidRPr="00190EF5">
        <w:rPr>
          <w:noProof/>
          <w:sz w:val="24"/>
          <w:szCs w:val="24"/>
        </w:rPr>
        <w:t> </w:t>
      </w:r>
      <w:r w:rsidRPr="00190EF5">
        <w:rPr>
          <w:noProof/>
          <w:sz w:val="24"/>
          <w:szCs w:val="24"/>
        </w:rPr>
        <w:t> </w:t>
      </w:r>
      <w:r w:rsidRPr="00190EF5">
        <w:rPr>
          <w:noProof/>
          <w:sz w:val="24"/>
          <w:szCs w:val="24"/>
        </w:rPr>
        <w:t> </w:t>
      </w:r>
      <w:r w:rsidR="009F7F65" w:rsidRPr="00190EF5">
        <w:rPr>
          <w:sz w:val="24"/>
          <w:szCs w:val="24"/>
        </w:rPr>
        <w:fldChar w:fldCharType="end"/>
      </w:r>
    </w:p>
    <w:p w:rsidR="005166FF" w:rsidRPr="00190EF5" w:rsidRDefault="005166FF" w:rsidP="005166FF">
      <w:pPr>
        <w:rPr>
          <w:sz w:val="24"/>
          <w:szCs w:val="24"/>
        </w:rPr>
        <w:sectPr w:rsidR="005166FF" w:rsidRPr="00190EF5" w:rsidSect="00EF2051">
          <w:type w:val="continuous"/>
          <w:pgSz w:w="12240" w:h="15840"/>
          <w:pgMar w:top="1440" w:right="1440" w:bottom="1440" w:left="1440" w:header="720" w:footer="720" w:gutter="0"/>
          <w:cols w:space="720"/>
          <w:docGrid w:linePitch="360"/>
        </w:sectPr>
      </w:pPr>
      <w:r w:rsidRPr="00190EF5">
        <w:rPr>
          <w:sz w:val="24"/>
          <w:szCs w:val="24"/>
        </w:rPr>
        <w:lastRenderedPageBreak/>
        <w:tab/>
      </w:r>
      <w:r w:rsidRPr="00190EF5">
        <w:rPr>
          <w:sz w:val="24"/>
          <w:szCs w:val="24"/>
        </w:rPr>
        <w:tab/>
      </w:r>
      <w:r w:rsidRPr="00190EF5">
        <w:rPr>
          <w:sz w:val="24"/>
          <w:szCs w:val="24"/>
        </w:rPr>
        <w:tab/>
        <w:t xml:space="preserve">John Renaud </w:t>
      </w:r>
      <w:r w:rsidR="009F7F65" w:rsidRPr="00190EF5">
        <w:rPr>
          <w:sz w:val="24"/>
          <w:szCs w:val="24"/>
        </w:rPr>
        <w:fldChar w:fldCharType="begin"/>
      </w:r>
      <w:r w:rsidRPr="00190EF5">
        <w:rPr>
          <w:sz w:val="24"/>
          <w:szCs w:val="24"/>
        </w:rPr>
        <w:instrText xml:space="preserve"> ASK  "Enter Respondent Lawyer Full Name"  \* MERGEFORMAT </w:instrText>
      </w:r>
      <w:r w:rsidR="009F7F65" w:rsidRPr="00190EF5">
        <w:rPr>
          <w:sz w:val="24"/>
          <w:szCs w:val="24"/>
        </w:rPr>
        <w:fldChar w:fldCharType="end"/>
      </w:r>
      <w:r w:rsidR="009F7F65" w:rsidRPr="00190EF5">
        <w:rPr>
          <w:sz w:val="24"/>
          <w:szCs w:val="24"/>
        </w:rPr>
        <w:fldChar w:fldCharType="begin"/>
      </w:r>
      <w:r w:rsidR="009F7F65" w:rsidRPr="00190EF5">
        <w:rPr>
          <w:sz w:val="24"/>
          <w:szCs w:val="24"/>
        </w:rPr>
        <w:fldChar w:fldCharType="end"/>
      </w:r>
      <w:r w:rsidRPr="00190EF5">
        <w:rPr>
          <w:sz w:val="24"/>
          <w:szCs w:val="24"/>
        </w:rPr>
        <w:t>for Respondent</w:t>
      </w:r>
    </w:p>
    <w:p w:rsidR="005166FF" w:rsidRPr="00190EF5" w:rsidRDefault="005166FF" w:rsidP="005166FF">
      <w:pPr>
        <w:rPr>
          <w:sz w:val="24"/>
          <w:szCs w:val="24"/>
        </w:rPr>
        <w:sectPr w:rsidR="005166FF" w:rsidRPr="00190EF5" w:rsidSect="00EF2051">
          <w:type w:val="continuous"/>
          <w:pgSz w:w="12240" w:h="15840"/>
          <w:pgMar w:top="1440" w:right="1440" w:bottom="1440" w:left="1440" w:header="720" w:footer="720" w:gutter="0"/>
          <w:cols w:space="720"/>
          <w:docGrid w:linePitch="360"/>
        </w:sectPr>
      </w:pPr>
      <w:r w:rsidRPr="00190EF5">
        <w:rPr>
          <w:sz w:val="24"/>
          <w:szCs w:val="24"/>
        </w:rPr>
        <w:lastRenderedPageBreak/>
        <w:tab/>
      </w:r>
      <w:r w:rsidRPr="00190EF5">
        <w:rPr>
          <w:sz w:val="24"/>
          <w:szCs w:val="24"/>
        </w:rPr>
        <w:tab/>
      </w:r>
      <w:r w:rsidRPr="00190EF5">
        <w:rPr>
          <w:sz w:val="24"/>
          <w:szCs w:val="24"/>
        </w:rPr>
        <w:tab/>
      </w:r>
      <w:r w:rsidR="009F7F65" w:rsidRPr="00190EF5">
        <w:rPr>
          <w:sz w:val="24"/>
          <w:szCs w:val="24"/>
        </w:rPr>
        <w:fldChar w:fldCharType="begin">
          <w:ffData>
            <w:name w:val="Text37"/>
            <w:enabled/>
            <w:calcOnExit w:val="0"/>
            <w:textInput/>
          </w:ffData>
        </w:fldChar>
      </w:r>
      <w:r w:rsidRPr="00190EF5">
        <w:rPr>
          <w:sz w:val="24"/>
          <w:szCs w:val="24"/>
        </w:rPr>
        <w:instrText xml:space="preserve"> FORMTEXT </w:instrText>
      </w:r>
      <w:r w:rsidR="009F7F65" w:rsidRPr="00190EF5">
        <w:rPr>
          <w:sz w:val="24"/>
          <w:szCs w:val="24"/>
        </w:rPr>
      </w:r>
      <w:r w:rsidR="009F7F65" w:rsidRPr="00190EF5">
        <w:rPr>
          <w:sz w:val="24"/>
          <w:szCs w:val="24"/>
        </w:rPr>
        <w:fldChar w:fldCharType="separate"/>
      </w:r>
      <w:r w:rsidRPr="00190EF5">
        <w:rPr>
          <w:noProof/>
          <w:sz w:val="24"/>
          <w:szCs w:val="24"/>
        </w:rPr>
        <w:t> </w:t>
      </w:r>
      <w:r w:rsidRPr="00190EF5">
        <w:rPr>
          <w:noProof/>
          <w:sz w:val="24"/>
          <w:szCs w:val="24"/>
        </w:rPr>
        <w:t> </w:t>
      </w:r>
      <w:r w:rsidRPr="00190EF5">
        <w:rPr>
          <w:noProof/>
          <w:sz w:val="24"/>
          <w:szCs w:val="24"/>
        </w:rPr>
        <w:t> </w:t>
      </w:r>
      <w:r w:rsidRPr="00190EF5">
        <w:rPr>
          <w:noProof/>
          <w:sz w:val="24"/>
          <w:szCs w:val="24"/>
        </w:rPr>
        <w:t> </w:t>
      </w:r>
      <w:r w:rsidRPr="00190EF5">
        <w:rPr>
          <w:noProof/>
          <w:sz w:val="24"/>
          <w:szCs w:val="24"/>
        </w:rPr>
        <w:t> </w:t>
      </w:r>
      <w:r w:rsidR="009F7F65" w:rsidRPr="00190EF5">
        <w:rPr>
          <w:sz w:val="24"/>
          <w:szCs w:val="24"/>
        </w:rPr>
        <w:fldChar w:fldCharType="end"/>
      </w:r>
    </w:p>
    <w:p w:rsidR="005166FF" w:rsidRPr="00190EF5" w:rsidRDefault="005166FF" w:rsidP="005166FF">
      <w:pPr>
        <w:spacing w:before="120" w:after="240"/>
        <w:rPr>
          <w:b/>
          <w:sz w:val="24"/>
          <w:szCs w:val="24"/>
        </w:rPr>
      </w:pPr>
      <w:r w:rsidRPr="00190EF5">
        <w:rPr>
          <w:sz w:val="24"/>
          <w:szCs w:val="24"/>
        </w:rPr>
        <w:lastRenderedPageBreak/>
        <w:t>Delivered:</w:t>
      </w:r>
      <w:r w:rsidRPr="00190EF5">
        <w:rPr>
          <w:sz w:val="24"/>
          <w:szCs w:val="24"/>
        </w:rPr>
        <w:tab/>
      </w:r>
      <w:r w:rsidRPr="00190EF5">
        <w:rPr>
          <w:sz w:val="24"/>
          <w:szCs w:val="24"/>
        </w:rPr>
        <w:tab/>
        <w:t>28</w:t>
      </w:r>
      <w:r w:rsidRPr="00190EF5">
        <w:rPr>
          <w:sz w:val="24"/>
          <w:szCs w:val="24"/>
          <w:vertAlign w:val="superscript"/>
        </w:rPr>
        <w:t>th</w:t>
      </w:r>
      <w:r w:rsidRPr="00190EF5">
        <w:rPr>
          <w:sz w:val="24"/>
          <w:szCs w:val="24"/>
        </w:rPr>
        <w:t xml:space="preserve"> May 2018</w:t>
      </w:r>
    </w:p>
    <w:p w:rsidR="005166FF" w:rsidRPr="00190EF5" w:rsidRDefault="005166FF" w:rsidP="005166FF">
      <w:pPr>
        <w:pBdr>
          <w:top w:val="dotted" w:sz="4" w:space="1" w:color="auto"/>
          <w:bottom w:val="dotted" w:sz="4" w:space="1" w:color="auto"/>
        </w:pBdr>
        <w:jc w:val="center"/>
        <w:rPr>
          <w:sz w:val="24"/>
          <w:szCs w:val="24"/>
          <w:highlight w:val="lightGray"/>
        </w:rPr>
      </w:pPr>
    </w:p>
    <w:p w:rsidR="005166FF" w:rsidRPr="00190EF5" w:rsidRDefault="005166FF" w:rsidP="005166FF">
      <w:pPr>
        <w:pBdr>
          <w:top w:val="dotted" w:sz="4" w:space="1" w:color="auto"/>
          <w:bottom w:val="dotted" w:sz="4" w:space="1" w:color="auto"/>
        </w:pBdr>
        <w:jc w:val="center"/>
        <w:rPr>
          <w:b/>
          <w:sz w:val="24"/>
          <w:szCs w:val="24"/>
        </w:rPr>
      </w:pPr>
      <w:r w:rsidRPr="00190EF5">
        <w:rPr>
          <w:b/>
          <w:sz w:val="24"/>
          <w:szCs w:val="24"/>
        </w:rPr>
        <w:t xml:space="preserve">RULING </w:t>
      </w:r>
    </w:p>
    <w:p w:rsidR="005166FF" w:rsidRPr="00190EF5" w:rsidRDefault="005166FF" w:rsidP="005166FF">
      <w:pPr>
        <w:pBdr>
          <w:top w:val="dotted" w:sz="4" w:space="1" w:color="auto"/>
          <w:bottom w:val="dotted" w:sz="4" w:space="1" w:color="auto"/>
        </w:pBdr>
        <w:jc w:val="center"/>
        <w:rPr>
          <w:b/>
          <w:sz w:val="24"/>
          <w:szCs w:val="24"/>
        </w:rPr>
      </w:pPr>
    </w:p>
    <w:p w:rsidR="005166FF" w:rsidRPr="00190EF5" w:rsidRDefault="005166FF" w:rsidP="005166FF">
      <w:pPr>
        <w:pStyle w:val="ListParagraph"/>
        <w:widowControl/>
        <w:autoSpaceDE/>
        <w:autoSpaceDN/>
        <w:adjustRightInd/>
        <w:spacing w:line="360" w:lineRule="auto"/>
        <w:ind w:left="0"/>
        <w:contextualSpacing w:val="0"/>
        <w:jc w:val="both"/>
        <w:rPr>
          <w:b/>
          <w:sz w:val="24"/>
          <w:szCs w:val="24"/>
        </w:rPr>
      </w:pPr>
    </w:p>
    <w:p w:rsidR="005166FF" w:rsidRPr="00190EF5" w:rsidRDefault="005166FF" w:rsidP="005166FF">
      <w:pPr>
        <w:pStyle w:val="ListParagraph"/>
        <w:widowControl/>
        <w:autoSpaceDE/>
        <w:autoSpaceDN/>
        <w:adjustRightInd/>
        <w:spacing w:after="240" w:line="360" w:lineRule="auto"/>
        <w:ind w:left="0"/>
        <w:contextualSpacing w:val="0"/>
        <w:jc w:val="both"/>
        <w:rPr>
          <w:b/>
          <w:sz w:val="24"/>
          <w:szCs w:val="24"/>
        </w:rPr>
      </w:pPr>
      <w:r w:rsidRPr="00190EF5">
        <w:rPr>
          <w:b/>
          <w:sz w:val="24"/>
          <w:szCs w:val="24"/>
        </w:rPr>
        <w:t>Andre-J</w:t>
      </w:r>
    </w:p>
    <w:p w:rsidR="00A56367" w:rsidRPr="00190EF5" w:rsidRDefault="005E781B" w:rsidP="005E781B">
      <w:pPr>
        <w:pStyle w:val="JudgmentText"/>
        <w:numPr>
          <w:ilvl w:val="0"/>
          <w:numId w:val="0"/>
        </w:numPr>
        <w:ind w:left="720" w:hanging="720"/>
      </w:pPr>
      <w:r w:rsidRPr="00190EF5">
        <w:t>[1]</w:t>
      </w:r>
      <w:r w:rsidRPr="00190EF5">
        <w:tab/>
      </w:r>
      <w:r w:rsidR="00981C30" w:rsidRPr="00190EF5">
        <w:t>This Judgement arises</w:t>
      </w:r>
      <w:r w:rsidR="00175F01" w:rsidRPr="00190EF5">
        <w:t xml:space="preserve"> out of a </w:t>
      </w:r>
      <w:r w:rsidR="00A56367" w:rsidRPr="00190EF5">
        <w:t xml:space="preserve">Divorce </w:t>
      </w:r>
      <w:r w:rsidR="00175F01" w:rsidRPr="00190EF5">
        <w:t>P</w:t>
      </w:r>
      <w:r w:rsidR="0004317E" w:rsidRPr="00190EF5">
        <w:t xml:space="preserve">etition </w:t>
      </w:r>
      <w:r w:rsidR="00175F01" w:rsidRPr="00190EF5">
        <w:t xml:space="preserve">of the </w:t>
      </w:r>
      <w:r w:rsidR="00A56367" w:rsidRPr="00190EF5">
        <w:t>24</w:t>
      </w:r>
      <w:r w:rsidR="00A56367" w:rsidRPr="00190EF5">
        <w:rPr>
          <w:vertAlign w:val="superscript"/>
        </w:rPr>
        <w:t>th</w:t>
      </w:r>
      <w:r w:rsidR="00A56367" w:rsidRPr="00190EF5">
        <w:t xml:space="preserve"> October 2016 </w:t>
      </w:r>
      <w:r w:rsidR="00981C30" w:rsidRPr="00190EF5">
        <w:t xml:space="preserve">filed by </w:t>
      </w:r>
      <w:r w:rsidR="001A6ED7">
        <w:t>J.M.</w:t>
      </w:r>
      <w:r w:rsidR="00A56367" w:rsidRPr="00190EF5">
        <w:t xml:space="preserve"> (“Petitioner”), who is seeking a dissolution of her marriage under section 4(1</w:t>
      </w:r>
      <w:proofErr w:type="gramStart"/>
      <w:r w:rsidR="00A56367" w:rsidRPr="00190EF5">
        <w:t>)(</w:t>
      </w:r>
      <w:proofErr w:type="gramEnd"/>
      <w:r w:rsidR="00A56367" w:rsidRPr="00190EF5">
        <w:t xml:space="preserve">b) of the </w:t>
      </w:r>
      <w:r w:rsidR="00A56367" w:rsidRPr="00190EF5">
        <w:rPr>
          <w:i/>
        </w:rPr>
        <w:t>Matrimonial Causes Act</w:t>
      </w:r>
      <w:r w:rsidR="00A56367" w:rsidRPr="00190EF5">
        <w:t xml:space="preserve"> (Cap 124) (the “Act”) on the ground that </w:t>
      </w:r>
      <w:r w:rsidR="001400AB">
        <w:t xml:space="preserve">her spouse </w:t>
      </w:r>
      <w:r w:rsidR="001A6ED7">
        <w:t xml:space="preserve">N.M. </w:t>
      </w:r>
      <w:r w:rsidR="00A56367" w:rsidRPr="00190EF5">
        <w:t xml:space="preserve">(“the </w:t>
      </w:r>
      <w:r w:rsidR="00A56367" w:rsidRPr="00190EF5">
        <w:lastRenderedPageBreak/>
        <w:t>Respondent”), has behaved in a way that the Petitioner cannot reasonably be expected to live with him. The Respondent is contesting the divorce and moving for its dismissal.</w:t>
      </w:r>
    </w:p>
    <w:p w:rsidR="005166FF" w:rsidRPr="00190EF5" w:rsidRDefault="00981C30" w:rsidP="00A56367">
      <w:pPr>
        <w:pStyle w:val="NoSpacing"/>
        <w:jc w:val="both"/>
        <w:rPr>
          <w:rFonts w:ascii="Times New Roman" w:hAnsi="Times New Roman" w:cs="Times New Roman"/>
          <w:sz w:val="24"/>
          <w:szCs w:val="24"/>
        </w:rPr>
      </w:pPr>
      <w:r w:rsidRPr="00190EF5">
        <w:rPr>
          <w:rFonts w:ascii="Times New Roman" w:hAnsi="Times New Roman" w:cs="Times New Roman"/>
          <w:sz w:val="24"/>
          <w:szCs w:val="24"/>
        </w:rPr>
        <w:t>[2]</w:t>
      </w:r>
      <w:r w:rsidRPr="00190EF5">
        <w:rPr>
          <w:rFonts w:ascii="Times New Roman" w:hAnsi="Times New Roman" w:cs="Times New Roman"/>
          <w:sz w:val="24"/>
          <w:szCs w:val="24"/>
        </w:rPr>
        <w:tab/>
      </w:r>
      <w:r w:rsidR="005166FF" w:rsidRPr="00190EF5">
        <w:rPr>
          <w:rFonts w:ascii="Times New Roman" w:hAnsi="Times New Roman" w:cs="Times New Roman"/>
          <w:sz w:val="24"/>
          <w:szCs w:val="24"/>
        </w:rPr>
        <w:t xml:space="preserve">It is not in dispute that the parties are both domiciled in Seychelles and have been </w:t>
      </w:r>
      <w:r w:rsidR="001400AB">
        <w:rPr>
          <w:rFonts w:ascii="Times New Roman" w:hAnsi="Times New Roman" w:cs="Times New Roman"/>
          <w:sz w:val="24"/>
          <w:szCs w:val="24"/>
        </w:rPr>
        <w:tab/>
      </w:r>
      <w:r w:rsidR="005166FF" w:rsidRPr="00190EF5">
        <w:rPr>
          <w:rFonts w:ascii="Times New Roman" w:hAnsi="Times New Roman" w:cs="Times New Roman"/>
          <w:sz w:val="24"/>
          <w:szCs w:val="24"/>
        </w:rPr>
        <w:t>lawfully ma</w:t>
      </w:r>
      <w:r w:rsidR="00A56367" w:rsidRPr="00190EF5">
        <w:rPr>
          <w:rFonts w:ascii="Times New Roman" w:hAnsi="Times New Roman" w:cs="Times New Roman"/>
          <w:sz w:val="24"/>
          <w:szCs w:val="24"/>
        </w:rPr>
        <w:t xml:space="preserve">rried and </w:t>
      </w:r>
      <w:r w:rsidR="005166FF" w:rsidRPr="00190EF5">
        <w:rPr>
          <w:rFonts w:ascii="Times New Roman" w:hAnsi="Times New Roman" w:cs="Times New Roman"/>
          <w:sz w:val="24"/>
          <w:szCs w:val="24"/>
        </w:rPr>
        <w:t xml:space="preserve">nor is it contested that the parties have two adult children. </w:t>
      </w:r>
    </w:p>
    <w:p w:rsidR="005166FF" w:rsidRPr="00190EF5" w:rsidRDefault="005166FF" w:rsidP="00981C30">
      <w:pPr>
        <w:pStyle w:val="NoSpacing"/>
        <w:jc w:val="both"/>
        <w:rPr>
          <w:rFonts w:ascii="Times New Roman" w:hAnsi="Times New Roman" w:cs="Times New Roman"/>
          <w:sz w:val="24"/>
          <w:szCs w:val="24"/>
        </w:rPr>
      </w:pPr>
    </w:p>
    <w:p w:rsidR="00A56367" w:rsidRPr="00190EF5" w:rsidRDefault="00981C30" w:rsidP="00A56367">
      <w:pPr>
        <w:pStyle w:val="JudgmentText"/>
        <w:numPr>
          <w:ilvl w:val="0"/>
          <w:numId w:val="0"/>
        </w:numPr>
        <w:ind w:left="720" w:hanging="720"/>
      </w:pPr>
      <w:r w:rsidRPr="00190EF5">
        <w:t>[3</w:t>
      </w:r>
      <w:r w:rsidR="00520157" w:rsidRPr="00190EF5">
        <w:t>]</w:t>
      </w:r>
      <w:r w:rsidR="00520157" w:rsidRPr="00190EF5">
        <w:tab/>
      </w:r>
      <w:r w:rsidR="00CD5753" w:rsidRPr="00190EF5">
        <w:t>For the purpose of t</w:t>
      </w:r>
      <w:r w:rsidRPr="00190EF5">
        <w:t xml:space="preserve">his Judgement, the following are </w:t>
      </w:r>
      <w:r w:rsidR="00A56367" w:rsidRPr="00190EF5">
        <w:t xml:space="preserve">relevant </w:t>
      </w:r>
      <w:r w:rsidR="00CD5753" w:rsidRPr="00190EF5">
        <w:t>factual and procedural background to the pleadi</w:t>
      </w:r>
      <w:r w:rsidR="00A56367" w:rsidRPr="00190EF5">
        <w:t xml:space="preserve">ngs and analysis thereto in light of the legal standards as highlighted and </w:t>
      </w:r>
      <w:r w:rsidR="001400AB">
        <w:t>t</w:t>
      </w:r>
      <w:r w:rsidR="00A56367" w:rsidRPr="00190EF5">
        <w:t>o be applied in this matter.</w:t>
      </w:r>
    </w:p>
    <w:p w:rsidR="00E41ED4" w:rsidRDefault="00A56367" w:rsidP="00A56367">
      <w:pPr>
        <w:pStyle w:val="JudgmentText"/>
        <w:numPr>
          <w:ilvl w:val="0"/>
          <w:numId w:val="0"/>
        </w:numPr>
        <w:ind w:left="720" w:hanging="720"/>
      </w:pPr>
      <w:r w:rsidRPr="00190EF5">
        <w:t>[4]</w:t>
      </w:r>
      <w:r w:rsidRPr="00190EF5">
        <w:tab/>
        <w:t>In Seychelles ther</w:t>
      </w:r>
      <w:r w:rsidR="001400AB">
        <w:t>e is but one ground for divorce namely,</w:t>
      </w:r>
      <w:r w:rsidRPr="00190EF5">
        <w:t xml:space="preserve"> </w:t>
      </w:r>
      <w:r w:rsidR="001400AB">
        <w:t>"</w:t>
      </w:r>
      <w:r w:rsidRPr="001400AB">
        <w:rPr>
          <w:i/>
        </w:rPr>
        <w:t>irretrievable breakdown of the marriage</w:t>
      </w:r>
      <w:r w:rsidR="001400AB">
        <w:t>"</w:t>
      </w:r>
      <w:r w:rsidRPr="00190EF5">
        <w:t xml:space="preserve">, which may be proven in one of four ways listed in section 4 (1) of the Act. </w:t>
      </w:r>
    </w:p>
    <w:p w:rsidR="00A56367" w:rsidRPr="00190EF5" w:rsidRDefault="001E3AB4" w:rsidP="00A56367">
      <w:pPr>
        <w:pStyle w:val="JudgmentText"/>
        <w:numPr>
          <w:ilvl w:val="0"/>
          <w:numId w:val="0"/>
        </w:numPr>
        <w:ind w:left="720" w:hanging="720"/>
      </w:pPr>
      <w:r>
        <w:tab/>
      </w:r>
      <w:r w:rsidR="00A56367" w:rsidRPr="00190EF5">
        <w:t>Section 4 (1) provides as follows –</w:t>
      </w:r>
    </w:p>
    <w:p w:rsidR="00A56367" w:rsidRPr="00190EF5" w:rsidRDefault="005E781B" w:rsidP="005E781B">
      <w:pPr>
        <w:pStyle w:val="JudgmentText"/>
        <w:numPr>
          <w:ilvl w:val="0"/>
          <w:numId w:val="0"/>
        </w:numPr>
        <w:spacing w:after="0"/>
        <w:ind w:left="2154" w:hanging="357"/>
        <w:rPr>
          <w:i/>
        </w:rPr>
      </w:pPr>
      <w:proofErr w:type="gramStart"/>
      <w:r w:rsidRPr="00190EF5">
        <w:rPr>
          <w:i/>
        </w:rPr>
        <w:t>a</w:t>
      </w:r>
      <w:proofErr w:type="gramEnd"/>
      <w:r w:rsidRPr="00190EF5">
        <w:rPr>
          <w:i/>
        </w:rPr>
        <w:t>.</w:t>
      </w:r>
      <w:r w:rsidRPr="00190EF5">
        <w:rPr>
          <w:i/>
        </w:rPr>
        <w:tab/>
      </w:r>
      <w:r w:rsidR="00A56367" w:rsidRPr="00190EF5">
        <w:rPr>
          <w:i/>
        </w:rPr>
        <w:t>the respondent has committed adultery and the petitioner finds it intolerable to live with the respondent;</w:t>
      </w:r>
    </w:p>
    <w:p w:rsidR="00A56367" w:rsidRPr="00190EF5" w:rsidRDefault="005E781B" w:rsidP="005E781B">
      <w:pPr>
        <w:pStyle w:val="JudgmentText"/>
        <w:numPr>
          <w:ilvl w:val="0"/>
          <w:numId w:val="0"/>
        </w:numPr>
        <w:spacing w:after="0"/>
        <w:ind w:left="2154" w:hanging="357"/>
        <w:rPr>
          <w:i/>
        </w:rPr>
      </w:pPr>
      <w:proofErr w:type="gramStart"/>
      <w:r w:rsidRPr="00190EF5">
        <w:rPr>
          <w:i/>
        </w:rPr>
        <w:t>b</w:t>
      </w:r>
      <w:proofErr w:type="gramEnd"/>
      <w:r w:rsidRPr="00190EF5">
        <w:rPr>
          <w:i/>
        </w:rPr>
        <w:t>.</w:t>
      </w:r>
      <w:r w:rsidRPr="00190EF5">
        <w:rPr>
          <w:i/>
        </w:rPr>
        <w:tab/>
      </w:r>
      <w:r w:rsidR="00A56367" w:rsidRPr="00190EF5">
        <w:rPr>
          <w:i/>
        </w:rPr>
        <w:t>the respondent has behaved in a way that the petitioner cannot reasonably be expected to live with the respondent;</w:t>
      </w:r>
    </w:p>
    <w:p w:rsidR="00A56367" w:rsidRPr="00190EF5" w:rsidRDefault="005E781B" w:rsidP="005E781B">
      <w:pPr>
        <w:pStyle w:val="JudgmentText"/>
        <w:numPr>
          <w:ilvl w:val="0"/>
          <w:numId w:val="0"/>
        </w:numPr>
        <w:spacing w:after="0"/>
        <w:ind w:left="2154" w:hanging="357"/>
        <w:rPr>
          <w:i/>
        </w:rPr>
      </w:pPr>
      <w:proofErr w:type="gramStart"/>
      <w:r w:rsidRPr="00190EF5">
        <w:rPr>
          <w:i/>
        </w:rPr>
        <w:t>c</w:t>
      </w:r>
      <w:proofErr w:type="gramEnd"/>
      <w:r w:rsidRPr="00190EF5">
        <w:rPr>
          <w:i/>
        </w:rPr>
        <w:t>.</w:t>
      </w:r>
      <w:r w:rsidRPr="00190EF5">
        <w:rPr>
          <w:i/>
        </w:rPr>
        <w:tab/>
      </w:r>
      <w:r w:rsidR="00A56367" w:rsidRPr="00190EF5">
        <w:rPr>
          <w:i/>
        </w:rPr>
        <w:t>the respondent has deserted the petitioner for a continuous period of at least 2 years immediately preceding the presentation of the petition; or</w:t>
      </w:r>
    </w:p>
    <w:p w:rsidR="00A56367" w:rsidRPr="00190EF5" w:rsidRDefault="005E781B" w:rsidP="005E781B">
      <w:pPr>
        <w:pStyle w:val="JudgmentText"/>
        <w:numPr>
          <w:ilvl w:val="0"/>
          <w:numId w:val="0"/>
        </w:numPr>
        <w:spacing w:after="0"/>
        <w:ind w:left="2154" w:hanging="357"/>
        <w:rPr>
          <w:i/>
        </w:rPr>
      </w:pPr>
      <w:r w:rsidRPr="00190EF5">
        <w:rPr>
          <w:i/>
        </w:rPr>
        <w:t>d.</w:t>
      </w:r>
      <w:r w:rsidRPr="00190EF5">
        <w:rPr>
          <w:i/>
        </w:rPr>
        <w:tab/>
      </w:r>
      <w:r w:rsidR="00A56367" w:rsidRPr="00190EF5">
        <w:rPr>
          <w:i/>
        </w:rPr>
        <w:t>the petitioner and the respondent have lived apart for a continuous period of at least 1 year preceding the presentation of the petition and the respondent consents to the grant of the divorce.</w:t>
      </w:r>
    </w:p>
    <w:p w:rsidR="00A56367" w:rsidRPr="00190EF5" w:rsidRDefault="00A56367" w:rsidP="00A56367">
      <w:pPr>
        <w:pStyle w:val="JudgmentText"/>
        <w:numPr>
          <w:ilvl w:val="0"/>
          <w:numId w:val="0"/>
        </w:numPr>
        <w:spacing w:after="0"/>
        <w:ind w:left="2154"/>
        <w:rPr>
          <w:i/>
        </w:rPr>
      </w:pPr>
    </w:p>
    <w:p w:rsidR="00A56367" w:rsidRDefault="00A56367" w:rsidP="00A56367">
      <w:pPr>
        <w:pStyle w:val="JudgmentText"/>
        <w:numPr>
          <w:ilvl w:val="0"/>
          <w:numId w:val="0"/>
        </w:numPr>
        <w:spacing w:after="0"/>
        <w:ind w:left="720" w:hanging="720"/>
      </w:pPr>
      <w:r w:rsidRPr="00190EF5">
        <w:t>[5]</w:t>
      </w:r>
      <w:r w:rsidRPr="00190EF5">
        <w:tab/>
        <w:t xml:space="preserve">The Supreme Court in </w:t>
      </w:r>
      <w:r w:rsidRPr="00EF6F79">
        <w:rPr>
          <w:b/>
          <w:i/>
        </w:rPr>
        <w:t>JM v JM nee D [2007] SCSC 21</w:t>
      </w:r>
      <w:r w:rsidRPr="00190EF5">
        <w:rPr>
          <w:b/>
        </w:rPr>
        <w:t xml:space="preserve"> </w:t>
      </w:r>
      <w:r w:rsidRPr="00190EF5">
        <w:t>emphasized this, holding that-</w:t>
      </w:r>
    </w:p>
    <w:p w:rsidR="00EC4526" w:rsidRPr="00190EF5" w:rsidRDefault="00EC4526" w:rsidP="00A56367">
      <w:pPr>
        <w:pStyle w:val="JudgmentText"/>
        <w:numPr>
          <w:ilvl w:val="0"/>
          <w:numId w:val="0"/>
        </w:numPr>
        <w:spacing w:after="0"/>
        <w:ind w:left="720" w:hanging="720"/>
        <w:rPr>
          <w:i/>
        </w:rPr>
      </w:pPr>
    </w:p>
    <w:p w:rsidR="00A56367" w:rsidRPr="00190EF5" w:rsidRDefault="00A56367" w:rsidP="00A56367">
      <w:pPr>
        <w:pStyle w:val="JudgmentText"/>
        <w:numPr>
          <w:ilvl w:val="0"/>
          <w:numId w:val="0"/>
        </w:numPr>
        <w:ind w:left="720"/>
        <w:rPr>
          <w:i/>
        </w:rPr>
      </w:pPr>
      <w:r w:rsidRPr="00190EF5">
        <w:tab/>
        <w:t>“</w:t>
      </w:r>
      <w:r w:rsidRPr="00190EF5">
        <w:rPr>
          <w:i/>
        </w:rPr>
        <w:t xml:space="preserve">The Court is empowered to enter a decree of divorce on the basis of the </w:t>
      </w:r>
      <w:r w:rsidRPr="00190EF5">
        <w:rPr>
          <w:i/>
        </w:rPr>
        <w:tab/>
        <w:t xml:space="preserve">irretrievable breakdown of marriage, only when the </w:t>
      </w:r>
      <w:r w:rsidR="00EC4526">
        <w:rPr>
          <w:i/>
        </w:rPr>
        <w:t xml:space="preserve">petitioner has established </w:t>
      </w:r>
      <w:r w:rsidR="00EC4526">
        <w:rPr>
          <w:i/>
        </w:rPr>
        <w:tab/>
        <w:t xml:space="preserve">one </w:t>
      </w:r>
      <w:r w:rsidRPr="00190EF5">
        <w:rPr>
          <w:i/>
        </w:rPr>
        <w:t>of the grounds of divorce, set out in Section 4(1) of the Act.”</w:t>
      </w:r>
    </w:p>
    <w:p w:rsidR="00A56367" w:rsidRPr="00190EF5" w:rsidRDefault="004D7994" w:rsidP="004D7994">
      <w:pPr>
        <w:pStyle w:val="JudgmentText"/>
        <w:numPr>
          <w:ilvl w:val="0"/>
          <w:numId w:val="0"/>
        </w:numPr>
        <w:ind w:left="720" w:hanging="720"/>
        <w:rPr>
          <w:i/>
        </w:rPr>
      </w:pPr>
      <w:r w:rsidRPr="00190EF5">
        <w:t>[6]</w:t>
      </w:r>
      <w:r w:rsidRPr="00190EF5">
        <w:tab/>
      </w:r>
      <w:r w:rsidR="00A56367" w:rsidRPr="00190EF5">
        <w:t>The burden of proof resides with the Petitioner to prove, on a balance of probabilities, that she cannot reasonably be expected to live with the Respondent as a result of his behaviour.</w:t>
      </w:r>
    </w:p>
    <w:p w:rsidR="00A56367" w:rsidRPr="00190EF5" w:rsidRDefault="004D7994" w:rsidP="004D7994">
      <w:pPr>
        <w:pStyle w:val="JudgmentText"/>
        <w:numPr>
          <w:ilvl w:val="0"/>
          <w:numId w:val="0"/>
        </w:numPr>
      </w:pPr>
      <w:r w:rsidRPr="00190EF5">
        <w:lastRenderedPageBreak/>
        <w:t>[7]</w:t>
      </w:r>
      <w:r w:rsidRPr="00190EF5">
        <w:tab/>
      </w:r>
      <w:r w:rsidR="00A56367" w:rsidRPr="00190EF5">
        <w:t xml:space="preserve">This was similarly held by </w:t>
      </w:r>
      <w:proofErr w:type="spellStart"/>
      <w:r w:rsidR="00A56367" w:rsidRPr="00190EF5">
        <w:t>Perera</w:t>
      </w:r>
      <w:proofErr w:type="spellEnd"/>
      <w:r w:rsidR="00A56367" w:rsidRPr="00190EF5">
        <w:t xml:space="preserve"> J </w:t>
      </w:r>
      <w:r w:rsidRPr="00190EF5">
        <w:t xml:space="preserve">(as he then was) </w:t>
      </w:r>
      <w:r w:rsidR="00A56367" w:rsidRPr="00190EF5">
        <w:t xml:space="preserve">in </w:t>
      </w:r>
      <w:r w:rsidR="00A56367" w:rsidRPr="006A15E1">
        <w:rPr>
          <w:b/>
          <w:i/>
        </w:rPr>
        <w:t xml:space="preserve">JM </w:t>
      </w:r>
      <w:r w:rsidR="00E01543" w:rsidRPr="006A15E1">
        <w:rPr>
          <w:b/>
          <w:i/>
        </w:rPr>
        <w:t>case</w:t>
      </w:r>
      <w:r w:rsidR="00A56367" w:rsidRPr="00190EF5">
        <w:t xml:space="preserve">, wherein </w:t>
      </w:r>
      <w:r w:rsidR="00E01543">
        <w:tab/>
      </w:r>
      <w:r w:rsidR="00A56367" w:rsidRPr="00190EF5">
        <w:t>it was stated –</w:t>
      </w:r>
    </w:p>
    <w:p w:rsidR="00A56367" w:rsidRPr="00190EF5" w:rsidRDefault="00A56367" w:rsidP="00A56367">
      <w:pPr>
        <w:pStyle w:val="JudgmentText"/>
        <w:numPr>
          <w:ilvl w:val="0"/>
          <w:numId w:val="0"/>
        </w:numPr>
        <w:ind w:left="1440"/>
        <w:rPr>
          <w:i/>
        </w:rPr>
      </w:pPr>
      <w:r w:rsidRPr="00190EF5">
        <w:rPr>
          <w:i/>
        </w:rPr>
        <w:t>“In respect of the ground relied on by the petitioner in the instant case, the burden of proof lies with him to prove the behaviour of the other party and that he cannot reasonably be expected to live with her. Both elements must be established on a balance of probabilities.”</w:t>
      </w:r>
    </w:p>
    <w:p w:rsidR="00A56367" w:rsidRPr="000D3FDC" w:rsidRDefault="004D7994" w:rsidP="004D7994">
      <w:pPr>
        <w:pStyle w:val="JudgmentText"/>
        <w:numPr>
          <w:ilvl w:val="0"/>
          <w:numId w:val="0"/>
        </w:numPr>
        <w:rPr>
          <w:i/>
        </w:rPr>
      </w:pPr>
      <w:r w:rsidRPr="00190EF5">
        <w:t>[8]</w:t>
      </w:r>
      <w:r w:rsidRPr="00190EF5">
        <w:tab/>
      </w:r>
      <w:r w:rsidR="00A56367" w:rsidRPr="00190EF5">
        <w:t xml:space="preserve">The Petitioner during the hearing did not lead any evidence to show how she could not </w:t>
      </w:r>
      <w:r w:rsidRPr="00190EF5">
        <w:tab/>
      </w:r>
      <w:r w:rsidR="00A56367" w:rsidRPr="00190EF5">
        <w:t xml:space="preserve">reasonably be expected to live with the Respondent on the basis of his behaviour. </w:t>
      </w:r>
      <w:r w:rsidR="00A56367" w:rsidRPr="000D3FDC">
        <w:rPr>
          <w:i/>
        </w:rPr>
        <w:t xml:space="preserve">She </w:t>
      </w:r>
      <w:r w:rsidRPr="000D3FDC">
        <w:rPr>
          <w:i/>
        </w:rPr>
        <w:tab/>
      </w:r>
      <w:r w:rsidR="00A56367" w:rsidRPr="000D3FDC">
        <w:rPr>
          <w:i/>
        </w:rPr>
        <w:t xml:space="preserve">instead gave evidence that she had been committing adultery for the duration of the </w:t>
      </w:r>
      <w:r w:rsidRPr="000D3FDC">
        <w:rPr>
          <w:i/>
        </w:rPr>
        <w:tab/>
      </w:r>
      <w:r w:rsidR="00A56367" w:rsidRPr="000D3FDC">
        <w:rPr>
          <w:i/>
        </w:rPr>
        <w:t xml:space="preserve">marriage, and that she has been living with another man for the past two years. She </w:t>
      </w:r>
      <w:r w:rsidRPr="000D3FDC">
        <w:rPr>
          <w:i/>
        </w:rPr>
        <w:tab/>
      </w:r>
      <w:r w:rsidR="00A56367" w:rsidRPr="000D3FDC">
        <w:rPr>
          <w:i/>
        </w:rPr>
        <w:t>further testified that she does not love the Respondent and gave evidence</w:t>
      </w:r>
      <w:r w:rsidR="000D3FDC">
        <w:rPr>
          <w:i/>
        </w:rPr>
        <w:t xml:space="preserve"> that they last </w:t>
      </w:r>
      <w:r w:rsidR="000D3FDC">
        <w:rPr>
          <w:i/>
        </w:rPr>
        <w:tab/>
        <w:t>had</w:t>
      </w:r>
      <w:r w:rsidR="00A56367" w:rsidRPr="000D3FDC">
        <w:rPr>
          <w:i/>
        </w:rPr>
        <w:t xml:space="preserve"> sexual relations three to four years ago. </w:t>
      </w:r>
    </w:p>
    <w:p w:rsidR="00A56367" w:rsidRPr="00190EF5" w:rsidRDefault="004D7994" w:rsidP="004D7994">
      <w:pPr>
        <w:pStyle w:val="JudgmentText"/>
        <w:numPr>
          <w:ilvl w:val="0"/>
          <w:numId w:val="0"/>
        </w:numPr>
      </w:pPr>
      <w:r w:rsidRPr="00190EF5">
        <w:t>[9]</w:t>
      </w:r>
      <w:r w:rsidRPr="00190EF5">
        <w:tab/>
      </w:r>
      <w:r w:rsidR="00A56367" w:rsidRPr="00190EF5">
        <w:t xml:space="preserve">The Court acknowledges that the Respondent, under the circumstances, would have had </w:t>
      </w:r>
      <w:r w:rsidRPr="00190EF5">
        <w:tab/>
      </w:r>
      <w:r w:rsidR="00A56367" w:rsidRPr="00190EF5">
        <w:t xml:space="preserve">grounds to petition for a divorce, namely the fact of adultery.  However, he has not </w:t>
      </w:r>
      <w:r w:rsidR="00B16E4D">
        <w:tab/>
      </w:r>
      <w:r w:rsidR="00A56367" w:rsidRPr="00190EF5">
        <w:t xml:space="preserve">brought the Petition for the divorce before the Court, nor has he consented to the same. </w:t>
      </w:r>
    </w:p>
    <w:p w:rsidR="00A56367" w:rsidRPr="00190EF5" w:rsidRDefault="004D7994" w:rsidP="004D7994">
      <w:pPr>
        <w:pStyle w:val="JudgmentText"/>
        <w:numPr>
          <w:ilvl w:val="0"/>
          <w:numId w:val="0"/>
        </w:numPr>
      </w:pPr>
      <w:r w:rsidRPr="00190EF5">
        <w:t>[10]</w:t>
      </w:r>
      <w:r w:rsidRPr="00190EF5">
        <w:tab/>
      </w:r>
      <w:r w:rsidR="00A56367" w:rsidRPr="00190EF5">
        <w:t xml:space="preserve">It is settled law that parties are bound by their pleadings (see, for example: </w:t>
      </w:r>
      <w:r w:rsidR="00B16E4D" w:rsidRPr="00B16E4D">
        <w:rPr>
          <w:b/>
          <w:i/>
        </w:rPr>
        <w:t>(</w:t>
      </w:r>
      <w:r w:rsidR="00A56367" w:rsidRPr="00B16E4D">
        <w:rPr>
          <w:b/>
          <w:i/>
        </w:rPr>
        <w:t xml:space="preserve">Antoine </w:t>
      </w:r>
      <w:r w:rsidR="00B16E4D">
        <w:rPr>
          <w:b/>
          <w:i/>
        </w:rPr>
        <w:tab/>
        <w:t xml:space="preserve">Leon </w:t>
      </w:r>
      <w:r w:rsidR="00A56367" w:rsidRPr="00B16E4D">
        <w:rPr>
          <w:b/>
          <w:i/>
        </w:rPr>
        <w:t xml:space="preserve">v </w:t>
      </w:r>
      <w:proofErr w:type="spellStart"/>
      <w:r w:rsidR="00A56367" w:rsidRPr="00B16E4D">
        <w:rPr>
          <w:b/>
          <w:i/>
        </w:rPr>
        <w:t>Volare</w:t>
      </w:r>
      <w:proofErr w:type="spellEnd"/>
      <w:r w:rsidR="00A56367" w:rsidRPr="00B16E4D">
        <w:rPr>
          <w:b/>
          <w:i/>
        </w:rPr>
        <w:t xml:space="preserve"> (Prop) Ltd [2005] SCCA 3</w:t>
      </w:r>
      <w:r w:rsidR="00A56367" w:rsidRPr="00EF6F79">
        <w:rPr>
          <w:b/>
          <w:i/>
        </w:rPr>
        <w:t>)</w:t>
      </w:r>
      <w:r w:rsidR="00A56367" w:rsidRPr="00190EF5">
        <w:t xml:space="preserve">.  </w:t>
      </w:r>
      <w:r w:rsidR="00B16E4D">
        <w:t>Further, t</w:t>
      </w:r>
      <w:r w:rsidR="00A56367" w:rsidRPr="00190EF5">
        <w:t xml:space="preserve">he Court may not formulate a </w:t>
      </w:r>
      <w:r w:rsidR="00B16E4D">
        <w:tab/>
      </w:r>
      <w:r w:rsidR="00A56367" w:rsidRPr="00190EF5">
        <w:t>case for a party after listening to the evide</w:t>
      </w:r>
      <w:r w:rsidRPr="00190EF5">
        <w:t>nce, nor may it grant relief not</w:t>
      </w:r>
      <w:r w:rsidR="00A56367" w:rsidRPr="00190EF5">
        <w:t xml:space="preserve"> sought in the </w:t>
      </w:r>
      <w:r w:rsidR="00B16E4D">
        <w:tab/>
      </w:r>
      <w:r w:rsidR="00A56367" w:rsidRPr="00190EF5">
        <w:t xml:space="preserve">pleadings </w:t>
      </w:r>
      <w:r w:rsidR="00B16E4D">
        <w:t xml:space="preserve">as held in the case of </w:t>
      </w:r>
      <w:r w:rsidR="00A56367" w:rsidRPr="00B16E4D">
        <w:rPr>
          <w:i/>
        </w:rPr>
        <w:t>(</w:t>
      </w:r>
      <w:r w:rsidR="00A56367" w:rsidRPr="00B16E4D">
        <w:rPr>
          <w:b/>
          <w:i/>
        </w:rPr>
        <w:t>Hunt v R [1987] SCAR 160</w:t>
      </w:r>
      <w:r w:rsidR="00A56367" w:rsidRPr="00B16E4D">
        <w:rPr>
          <w:i/>
        </w:rPr>
        <w:t>;</w:t>
      </w:r>
      <w:r w:rsidR="00A56367" w:rsidRPr="00B16E4D">
        <w:rPr>
          <w:b/>
          <w:i/>
        </w:rPr>
        <w:t xml:space="preserve"> </w:t>
      </w:r>
      <w:proofErr w:type="spellStart"/>
      <w:r w:rsidR="00A56367" w:rsidRPr="00B16E4D">
        <w:rPr>
          <w:b/>
          <w:i/>
        </w:rPr>
        <w:t>Vel</w:t>
      </w:r>
      <w:proofErr w:type="spellEnd"/>
      <w:r w:rsidR="00A56367" w:rsidRPr="00B16E4D">
        <w:rPr>
          <w:b/>
          <w:i/>
        </w:rPr>
        <w:t xml:space="preserve"> v Knowles SCA </w:t>
      </w:r>
      <w:r w:rsidR="00B16E4D" w:rsidRPr="00B16E4D">
        <w:rPr>
          <w:b/>
          <w:i/>
        </w:rPr>
        <w:tab/>
      </w:r>
      <w:r w:rsidR="00A56367" w:rsidRPr="00B16E4D">
        <w:rPr>
          <w:b/>
          <w:i/>
        </w:rPr>
        <w:t>41/1998, 42/1998, LC 136</w:t>
      </w:r>
      <w:r w:rsidR="00A56367" w:rsidRPr="00B16E4D">
        <w:rPr>
          <w:i/>
        </w:rPr>
        <w:t>)</w:t>
      </w:r>
      <w:r w:rsidR="00A56367" w:rsidRPr="00190EF5">
        <w:t xml:space="preserve">. A Judge who grants relief not sought in pleadings acts </w:t>
      </w:r>
      <w:r w:rsidR="00A56367" w:rsidRPr="00190EF5">
        <w:rPr>
          <w:i/>
        </w:rPr>
        <w:t xml:space="preserve">ultra </w:t>
      </w:r>
      <w:r w:rsidR="00B16E4D">
        <w:rPr>
          <w:i/>
        </w:rPr>
        <w:tab/>
      </w:r>
      <w:proofErr w:type="spellStart"/>
      <w:r w:rsidR="00A56367" w:rsidRPr="00190EF5">
        <w:rPr>
          <w:i/>
        </w:rPr>
        <w:t>petita</w:t>
      </w:r>
      <w:proofErr w:type="spellEnd"/>
      <w:r w:rsidR="00A56367" w:rsidRPr="00190EF5">
        <w:t xml:space="preserve"> </w:t>
      </w:r>
      <w:r w:rsidR="00B175FE">
        <w:t xml:space="preserve">as clearly heed in the case of </w:t>
      </w:r>
      <w:r w:rsidR="00A56367" w:rsidRPr="00B175FE">
        <w:rPr>
          <w:b/>
          <w:i/>
        </w:rPr>
        <w:t>(</w:t>
      </w:r>
      <w:proofErr w:type="spellStart"/>
      <w:r w:rsidR="00A56367" w:rsidRPr="00B175FE">
        <w:rPr>
          <w:b/>
          <w:i/>
        </w:rPr>
        <w:t>Monthy</w:t>
      </w:r>
      <w:proofErr w:type="spellEnd"/>
      <w:r w:rsidR="00A56367" w:rsidRPr="00B175FE">
        <w:rPr>
          <w:b/>
          <w:i/>
        </w:rPr>
        <w:t xml:space="preserve"> v </w:t>
      </w:r>
      <w:proofErr w:type="spellStart"/>
      <w:r w:rsidR="00A56367" w:rsidRPr="00B175FE">
        <w:rPr>
          <w:b/>
          <w:i/>
        </w:rPr>
        <w:t>Esparon</w:t>
      </w:r>
      <w:proofErr w:type="spellEnd"/>
      <w:r w:rsidR="00A56367" w:rsidRPr="00B175FE">
        <w:rPr>
          <w:b/>
          <w:i/>
        </w:rPr>
        <w:t xml:space="preserve"> [2012] SLR 104)</w:t>
      </w:r>
      <w:r w:rsidR="00A56367" w:rsidRPr="00B175FE">
        <w:rPr>
          <w:b/>
        </w:rPr>
        <w:t>.</w:t>
      </w:r>
      <w:r w:rsidR="00A56367" w:rsidRPr="00190EF5">
        <w:t xml:space="preserve"> </w:t>
      </w:r>
    </w:p>
    <w:p w:rsidR="00A56367" w:rsidRPr="00190EF5" w:rsidRDefault="004D7994" w:rsidP="004D7994">
      <w:pPr>
        <w:pStyle w:val="JudgmentText"/>
        <w:numPr>
          <w:ilvl w:val="0"/>
          <w:numId w:val="0"/>
        </w:numPr>
      </w:pPr>
      <w:r w:rsidRPr="00190EF5">
        <w:t>[11]</w:t>
      </w:r>
      <w:r w:rsidRPr="00190EF5">
        <w:tab/>
      </w:r>
      <w:r w:rsidR="00A56367" w:rsidRPr="00190EF5">
        <w:t xml:space="preserve">Accordingly, on the basis of the Petitioner’s failure in proving one of the four </w:t>
      </w:r>
      <w:r w:rsidRPr="00190EF5">
        <w:t>elements</w:t>
      </w:r>
      <w:r w:rsidRPr="00190EF5">
        <w:tab/>
      </w:r>
      <w:r w:rsidR="00A56367" w:rsidRPr="00190EF5">
        <w:t>under section 4 (1) of the Act</w:t>
      </w:r>
      <w:r w:rsidRPr="00190EF5">
        <w:t xml:space="preserve"> required for a divorce petition to succeed</w:t>
      </w:r>
      <w:r w:rsidR="00A56367" w:rsidRPr="00190EF5">
        <w:t xml:space="preserve">, particularly the </w:t>
      </w:r>
      <w:r w:rsidRPr="00190EF5">
        <w:tab/>
      </w:r>
      <w:r w:rsidR="00A56367" w:rsidRPr="00190EF5">
        <w:t xml:space="preserve">pleaded ground that the Respondent has behaved in a way that the Petitioner cannot </w:t>
      </w:r>
      <w:r w:rsidRPr="00190EF5">
        <w:tab/>
      </w:r>
      <w:r w:rsidR="00A56367" w:rsidRPr="00190EF5">
        <w:t xml:space="preserve">reasonably be expected to live with him, this Petition is liable to be dismissed. </w:t>
      </w:r>
    </w:p>
    <w:p w:rsidR="004D7994" w:rsidRPr="00190EF5" w:rsidRDefault="004D7994" w:rsidP="00DC009F">
      <w:pPr>
        <w:pStyle w:val="JudgmentText"/>
        <w:numPr>
          <w:ilvl w:val="0"/>
          <w:numId w:val="0"/>
        </w:numPr>
        <w:spacing w:after="0"/>
      </w:pPr>
      <w:r w:rsidRPr="00190EF5">
        <w:t>[12]</w:t>
      </w:r>
      <w:r w:rsidRPr="00190EF5">
        <w:tab/>
      </w:r>
      <w:r w:rsidR="00A56367" w:rsidRPr="00190EF5">
        <w:t xml:space="preserve">Another relevant issue that arises is the absence of any evidence of attempted </w:t>
      </w:r>
      <w:r w:rsidR="00B175FE">
        <w:tab/>
      </w:r>
      <w:r w:rsidR="00A56367" w:rsidRPr="00190EF5">
        <w:t xml:space="preserve">reconciliation </w:t>
      </w:r>
      <w:r w:rsidRPr="00190EF5">
        <w:tab/>
      </w:r>
      <w:r w:rsidR="00A56367" w:rsidRPr="00190EF5">
        <w:t xml:space="preserve">between the Parties. In accordance with section 5 of the Act, the Court </w:t>
      </w:r>
      <w:r w:rsidR="00B175FE">
        <w:tab/>
      </w:r>
      <w:r w:rsidR="00A56367" w:rsidRPr="00190EF5">
        <w:t xml:space="preserve">must be satisfied on </w:t>
      </w:r>
      <w:r w:rsidRPr="00190EF5">
        <w:tab/>
      </w:r>
      <w:r w:rsidR="00A56367" w:rsidRPr="00190EF5">
        <w:t xml:space="preserve">the evidence presented that reconciliation has been explored and </w:t>
      </w:r>
      <w:r w:rsidR="00B175FE">
        <w:tab/>
      </w:r>
      <w:r w:rsidR="00A56367" w:rsidRPr="00190EF5">
        <w:t xml:space="preserve">has failed. This was emphasized in </w:t>
      </w:r>
      <w:r w:rsidR="00DC009F">
        <w:t xml:space="preserve">the case of </w:t>
      </w:r>
      <w:r w:rsidR="00DC009F" w:rsidRPr="00DC009F">
        <w:rPr>
          <w:b/>
          <w:i/>
        </w:rPr>
        <w:t>(</w:t>
      </w:r>
      <w:proofErr w:type="spellStart"/>
      <w:r w:rsidR="00A56367" w:rsidRPr="00DC009F">
        <w:rPr>
          <w:b/>
          <w:i/>
        </w:rPr>
        <w:t>Barreau</w:t>
      </w:r>
      <w:proofErr w:type="spellEnd"/>
      <w:r w:rsidR="00A56367" w:rsidRPr="00DC009F">
        <w:rPr>
          <w:b/>
          <w:i/>
        </w:rPr>
        <w:t xml:space="preserve"> v </w:t>
      </w:r>
      <w:proofErr w:type="spellStart"/>
      <w:r w:rsidR="00A56367" w:rsidRPr="00DC009F">
        <w:rPr>
          <w:b/>
          <w:i/>
        </w:rPr>
        <w:t>Barreau</w:t>
      </w:r>
      <w:proofErr w:type="spellEnd"/>
      <w:r w:rsidR="00A56367" w:rsidRPr="00DC009F">
        <w:rPr>
          <w:b/>
          <w:i/>
        </w:rPr>
        <w:t xml:space="preserve"> [1992] SLR 46</w:t>
      </w:r>
      <w:r w:rsidR="00DC009F" w:rsidRPr="00DC009F">
        <w:rPr>
          <w:b/>
          <w:i/>
        </w:rPr>
        <w:t>)</w:t>
      </w:r>
      <w:r w:rsidR="00A56367" w:rsidRPr="00190EF5">
        <w:t xml:space="preserve">, </w:t>
      </w:r>
      <w:r w:rsidR="00DC009F">
        <w:tab/>
      </w:r>
      <w:r w:rsidR="00A56367" w:rsidRPr="00190EF5">
        <w:t xml:space="preserve">wherein it was held that one of the </w:t>
      </w:r>
      <w:r w:rsidRPr="00190EF5">
        <w:tab/>
      </w:r>
      <w:r w:rsidR="00A56367" w:rsidRPr="00190EF5">
        <w:t xml:space="preserve">considerations to be borne in mind by the Court is </w:t>
      </w:r>
      <w:r w:rsidR="00DC009F">
        <w:tab/>
      </w:r>
      <w:r w:rsidR="00A56367" w:rsidRPr="00190EF5">
        <w:t xml:space="preserve">whether, if the marriage is not dissolved, </w:t>
      </w:r>
      <w:r w:rsidRPr="00190EF5">
        <w:tab/>
      </w:r>
      <w:r w:rsidR="00A56367" w:rsidRPr="00190EF5">
        <w:t xml:space="preserve">there is a prospect of reconciliation between </w:t>
      </w:r>
      <w:r w:rsidR="00DC009F">
        <w:tab/>
      </w:r>
      <w:r w:rsidR="00A56367" w:rsidRPr="00190EF5">
        <w:t xml:space="preserve">husband and wife. No evidence has been </w:t>
      </w:r>
      <w:r w:rsidRPr="00190EF5">
        <w:tab/>
      </w:r>
      <w:r w:rsidR="00A56367" w:rsidRPr="00190EF5">
        <w:t xml:space="preserve">tendered by the Petitioner to show that </w:t>
      </w:r>
      <w:r w:rsidR="00DC009F">
        <w:tab/>
      </w:r>
      <w:r w:rsidR="00A56367" w:rsidRPr="00190EF5">
        <w:t>attempts at reconciliation have been made. She gave evidence that she does not</w:t>
      </w:r>
      <w:r w:rsidR="00F51EDD">
        <w:t xml:space="preserve"> love the </w:t>
      </w:r>
      <w:r w:rsidR="00F51EDD">
        <w:tab/>
        <w:t>Respondent</w:t>
      </w:r>
      <w:r w:rsidR="00A56367" w:rsidRPr="00190EF5">
        <w:t xml:space="preserve">, and that she wants to be free </w:t>
      </w:r>
      <w:r w:rsidR="00F51EDD">
        <w:t xml:space="preserve">from the bonds of the marriage. The </w:t>
      </w:r>
      <w:r w:rsidR="00F51EDD">
        <w:tab/>
        <w:t>Respondent</w:t>
      </w:r>
      <w:r w:rsidR="00A56367" w:rsidRPr="00190EF5">
        <w:t xml:space="preserve">, on his part, indicated his willingness to reconcile with the Petitioner. He was </w:t>
      </w:r>
      <w:r w:rsidR="00DC009F">
        <w:tab/>
      </w:r>
      <w:r w:rsidR="00A56367" w:rsidRPr="00190EF5">
        <w:t xml:space="preserve">called upon his personal answers, and </w:t>
      </w:r>
      <w:proofErr w:type="spellStart"/>
      <w:r w:rsidR="00A56367" w:rsidRPr="00190EF5">
        <w:t>deponed</w:t>
      </w:r>
      <w:proofErr w:type="spellEnd"/>
      <w:r w:rsidR="00A56367" w:rsidRPr="00190EF5">
        <w:t xml:space="preserve"> that he did not want to divorce his wife, </w:t>
      </w:r>
      <w:r w:rsidR="00DC009F">
        <w:tab/>
      </w:r>
      <w:r w:rsidR="00A56367" w:rsidRPr="00190EF5">
        <w:t>the Petitioner.</w:t>
      </w:r>
    </w:p>
    <w:p w:rsidR="004D7994" w:rsidRPr="00190EF5" w:rsidRDefault="004D7994" w:rsidP="004D7994">
      <w:pPr>
        <w:pStyle w:val="JudgmentText"/>
        <w:numPr>
          <w:ilvl w:val="0"/>
          <w:numId w:val="0"/>
        </w:numPr>
        <w:spacing w:after="0"/>
      </w:pPr>
    </w:p>
    <w:p w:rsidR="004D7994" w:rsidRPr="00190EF5" w:rsidRDefault="004D7994" w:rsidP="004D7994">
      <w:pPr>
        <w:pStyle w:val="JudgmentText"/>
        <w:numPr>
          <w:ilvl w:val="0"/>
          <w:numId w:val="0"/>
        </w:numPr>
        <w:spacing w:after="0"/>
      </w:pPr>
      <w:r w:rsidRPr="00190EF5">
        <w:t>[13]</w:t>
      </w:r>
      <w:r w:rsidRPr="00190EF5">
        <w:tab/>
      </w:r>
      <w:r w:rsidR="00A56367" w:rsidRPr="00190EF5">
        <w:t xml:space="preserve">Therefore, on the basis of the lack of reconciliation efforts, this Petition is liable to be </w:t>
      </w:r>
      <w:r w:rsidRPr="00190EF5">
        <w:tab/>
      </w:r>
      <w:r w:rsidR="00A56367" w:rsidRPr="00190EF5">
        <w:t>dismissed.</w:t>
      </w:r>
    </w:p>
    <w:p w:rsidR="004D7994" w:rsidRPr="00190EF5" w:rsidRDefault="004D7994" w:rsidP="004D7994">
      <w:pPr>
        <w:pStyle w:val="JudgmentText"/>
        <w:numPr>
          <w:ilvl w:val="0"/>
          <w:numId w:val="0"/>
        </w:numPr>
        <w:spacing w:after="0"/>
      </w:pPr>
    </w:p>
    <w:p w:rsidR="00A56367" w:rsidRPr="00190EF5" w:rsidRDefault="004D7994" w:rsidP="004D7994">
      <w:pPr>
        <w:pStyle w:val="JudgmentText"/>
        <w:numPr>
          <w:ilvl w:val="0"/>
          <w:numId w:val="0"/>
        </w:numPr>
        <w:spacing w:after="0"/>
      </w:pPr>
      <w:r w:rsidRPr="00190EF5">
        <w:t>[14]</w:t>
      </w:r>
      <w:r w:rsidRPr="00190EF5">
        <w:tab/>
      </w:r>
      <w:r w:rsidR="00A56367" w:rsidRPr="00190EF5">
        <w:t xml:space="preserve">The Court is cognisant that to dismiss the Petition for divorce may have the consequent </w:t>
      </w:r>
      <w:r w:rsidRPr="00190EF5">
        <w:tab/>
      </w:r>
      <w:r w:rsidR="00A56367" w:rsidRPr="00190EF5">
        <w:t xml:space="preserve">effect of trapping the Petitioner in a potentially loveless marriage, given that none of the </w:t>
      </w:r>
      <w:r w:rsidRPr="00190EF5">
        <w:tab/>
      </w:r>
      <w:r w:rsidR="00A56367" w:rsidRPr="00190EF5">
        <w:t xml:space="preserve">four facts listed under </w:t>
      </w:r>
      <w:r w:rsidR="00A56367" w:rsidRPr="00F51EDD">
        <w:rPr>
          <w:i/>
        </w:rPr>
        <w:t>section 4 (1) of the Act</w:t>
      </w:r>
      <w:r w:rsidR="00A56367" w:rsidRPr="00190EF5">
        <w:t xml:space="preserve"> may apply to her particular circumstances. </w:t>
      </w:r>
      <w:r w:rsidRPr="00190EF5">
        <w:tab/>
      </w:r>
      <w:r w:rsidR="00A56367" w:rsidRPr="00190EF5">
        <w:t xml:space="preserve">However, the Court cannot overstep its powers and encroach on the legislative will of the </w:t>
      </w:r>
      <w:r w:rsidRPr="00190EF5">
        <w:tab/>
        <w:t>People of Seychelles</w:t>
      </w:r>
      <w:r w:rsidR="00A56367" w:rsidRPr="00190EF5">
        <w:t xml:space="preserve">. </w:t>
      </w:r>
    </w:p>
    <w:p w:rsidR="004D7994" w:rsidRPr="00190EF5" w:rsidRDefault="004D7994" w:rsidP="004D7994">
      <w:pPr>
        <w:pStyle w:val="JudgmentText"/>
        <w:numPr>
          <w:ilvl w:val="0"/>
          <w:numId w:val="0"/>
        </w:numPr>
        <w:spacing w:after="0"/>
      </w:pPr>
    </w:p>
    <w:p w:rsidR="00A56367" w:rsidRPr="00190EF5" w:rsidRDefault="004D7994" w:rsidP="004D7994">
      <w:pPr>
        <w:pStyle w:val="JudgmentText"/>
        <w:numPr>
          <w:ilvl w:val="0"/>
          <w:numId w:val="0"/>
        </w:numPr>
      </w:pPr>
      <w:r w:rsidRPr="00190EF5">
        <w:t>[15]</w:t>
      </w:r>
      <w:r w:rsidRPr="00190EF5">
        <w:tab/>
      </w:r>
      <w:r w:rsidR="00A56367" w:rsidRPr="00190EF5">
        <w:t xml:space="preserve">England and Wales, in contrast to Seychelles, offer five reasons or facts which may be </w:t>
      </w:r>
      <w:r w:rsidRPr="00190EF5">
        <w:tab/>
      </w:r>
      <w:r w:rsidR="00A56367" w:rsidRPr="00190EF5">
        <w:t xml:space="preserve">established to prove an irretrievable breakdown of marriage. In accordance with </w:t>
      </w:r>
      <w:r w:rsidR="00A56367" w:rsidRPr="00194403">
        <w:rPr>
          <w:i/>
        </w:rPr>
        <w:t xml:space="preserve">section 1 </w:t>
      </w:r>
      <w:r w:rsidRPr="00194403">
        <w:rPr>
          <w:i/>
        </w:rPr>
        <w:tab/>
      </w:r>
      <w:r w:rsidR="00A56367" w:rsidRPr="00194403">
        <w:rPr>
          <w:i/>
        </w:rPr>
        <w:t>of the Matrimonial Causes Act 1973 (Cap 18),</w:t>
      </w:r>
      <w:r w:rsidR="00A56367" w:rsidRPr="00190EF5">
        <w:t xml:space="preserve"> these are as follows: </w:t>
      </w:r>
    </w:p>
    <w:p w:rsidR="00A56367" w:rsidRPr="00194403" w:rsidRDefault="005E781B" w:rsidP="005E781B">
      <w:pPr>
        <w:pStyle w:val="JudgmentText"/>
        <w:numPr>
          <w:ilvl w:val="0"/>
          <w:numId w:val="0"/>
        </w:numPr>
        <w:tabs>
          <w:tab w:val="left" w:pos="1800"/>
          <w:tab w:val="left" w:pos="2250"/>
        </w:tabs>
        <w:ind w:left="1440"/>
        <w:rPr>
          <w:i/>
        </w:rPr>
      </w:pPr>
      <w:proofErr w:type="gramStart"/>
      <w:r w:rsidRPr="00194403">
        <w:rPr>
          <w:i/>
        </w:rPr>
        <w:t>a</w:t>
      </w:r>
      <w:proofErr w:type="gramEnd"/>
      <w:r w:rsidRPr="00194403">
        <w:rPr>
          <w:i/>
        </w:rPr>
        <w:t>.</w:t>
      </w:r>
      <w:r w:rsidRPr="00194403">
        <w:rPr>
          <w:i/>
        </w:rPr>
        <w:tab/>
      </w:r>
      <w:r w:rsidR="00A56367" w:rsidRPr="00194403">
        <w:rPr>
          <w:i/>
        </w:rPr>
        <w:t xml:space="preserve">the respondent has committed adultery and the petitioner finds it intolerable </w:t>
      </w:r>
      <w:r w:rsidR="00194403">
        <w:rPr>
          <w:i/>
        </w:rPr>
        <w:tab/>
      </w:r>
      <w:r w:rsidR="00A56367" w:rsidRPr="00194403">
        <w:rPr>
          <w:i/>
        </w:rPr>
        <w:t xml:space="preserve">to live with the respondent; </w:t>
      </w:r>
    </w:p>
    <w:p w:rsidR="00A56367" w:rsidRPr="00194403" w:rsidRDefault="005E781B" w:rsidP="005E781B">
      <w:pPr>
        <w:pStyle w:val="JudgmentText"/>
        <w:numPr>
          <w:ilvl w:val="0"/>
          <w:numId w:val="0"/>
        </w:numPr>
        <w:tabs>
          <w:tab w:val="left" w:pos="1800"/>
        </w:tabs>
        <w:ind w:left="1440"/>
        <w:rPr>
          <w:i/>
        </w:rPr>
      </w:pPr>
      <w:proofErr w:type="gramStart"/>
      <w:r w:rsidRPr="00194403">
        <w:rPr>
          <w:i/>
        </w:rPr>
        <w:t>b</w:t>
      </w:r>
      <w:proofErr w:type="gramEnd"/>
      <w:r w:rsidRPr="00194403">
        <w:rPr>
          <w:i/>
        </w:rPr>
        <w:t>.</w:t>
      </w:r>
      <w:r w:rsidRPr="00194403">
        <w:rPr>
          <w:i/>
        </w:rPr>
        <w:tab/>
      </w:r>
      <w:r w:rsidR="00A56367" w:rsidRPr="00194403">
        <w:rPr>
          <w:i/>
        </w:rPr>
        <w:t xml:space="preserve">the respondent has behaved in such a way that the petitioner cannot </w:t>
      </w:r>
      <w:r w:rsidR="00194403" w:rsidRPr="00194403">
        <w:rPr>
          <w:i/>
        </w:rPr>
        <w:tab/>
      </w:r>
      <w:r w:rsidR="00A56367" w:rsidRPr="00194403">
        <w:rPr>
          <w:i/>
        </w:rPr>
        <w:t xml:space="preserve">reasonably be expected to live with the respondent; </w:t>
      </w:r>
    </w:p>
    <w:p w:rsidR="00A56367" w:rsidRPr="00194403" w:rsidRDefault="005E781B" w:rsidP="005E781B">
      <w:pPr>
        <w:pStyle w:val="JudgmentText"/>
        <w:numPr>
          <w:ilvl w:val="0"/>
          <w:numId w:val="0"/>
        </w:numPr>
        <w:tabs>
          <w:tab w:val="left" w:pos="1800"/>
        </w:tabs>
        <w:ind w:left="1440"/>
        <w:rPr>
          <w:i/>
        </w:rPr>
      </w:pPr>
      <w:proofErr w:type="gramStart"/>
      <w:r w:rsidRPr="00194403">
        <w:rPr>
          <w:i/>
        </w:rPr>
        <w:t>c</w:t>
      </w:r>
      <w:proofErr w:type="gramEnd"/>
      <w:r w:rsidRPr="00194403">
        <w:rPr>
          <w:i/>
        </w:rPr>
        <w:t>.</w:t>
      </w:r>
      <w:r w:rsidRPr="00194403">
        <w:rPr>
          <w:i/>
        </w:rPr>
        <w:tab/>
      </w:r>
      <w:r w:rsidR="00A56367" w:rsidRPr="00194403">
        <w:rPr>
          <w:i/>
        </w:rPr>
        <w:t xml:space="preserve">the respondent has deserted the petitioner for a continuous period of at least </w:t>
      </w:r>
      <w:r w:rsidR="00194403" w:rsidRPr="00194403">
        <w:rPr>
          <w:i/>
        </w:rPr>
        <w:tab/>
      </w:r>
      <w:r w:rsidR="00A56367" w:rsidRPr="00194403">
        <w:rPr>
          <w:i/>
        </w:rPr>
        <w:t xml:space="preserve">two years; </w:t>
      </w:r>
    </w:p>
    <w:p w:rsidR="00A56367" w:rsidRPr="00194403" w:rsidRDefault="005E781B" w:rsidP="005E781B">
      <w:pPr>
        <w:pStyle w:val="JudgmentText"/>
        <w:numPr>
          <w:ilvl w:val="0"/>
          <w:numId w:val="0"/>
        </w:numPr>
        <w:tabs>
          <w:tab w:val="left" w:pos="1800"/>
        </w:tabs>
        <w:ind w:left="1440"/>
        <w:rPr>
          <w:i/>
        </w:rPr>
      </w:pPr>
      <w:proofErr w:type="gramStart"/>
      <w:r w:rsidRPr="00194403">
        <w:rPr>
          <w:i/>
        </w:rPr>
        <w:t>d</w:t>
      </w:r>
      <w:proofErr w:type="gramEnd"/>
      <w:r w:rsidRPr="00194403">
        <w:rPr>
          <w:i/>
        </w:rPr>
        <w:t>.</w:t>
      </w:r>
      <w:r w:rsidRPr="00194403">
        <w:rPr>
          <w:i/>
        </w:rPr>
        <w:tab/>
      </w:r>
      <w:r w:rsidR="00A56367" w:rsidRPr="00194403">
        <w:rPr>
          <w:i/>
        </w:rPr>
        <w:t xml:space="preserve">the parties to the marriage have lived apart for a continuous period of at least </w:t>
      </w:r>
      <w:r w:rsidR="00194403" w:rsidRPr="00194403">
        <w:rPr>
          <w:i/>
        </w:rPr>
        <w:tab/>
      </w:r>
      <w:r w:rsidR="00A56367" w:rsidRPr="00194403">
        <w:rPr>
          <w:i/>
        </w:rPr>
        <w:t xml:space="preserve">two years and the respondent consents to the divorce; and </w:t>
      </w:r>
    </w:p>
    <w:p w:rsidR="004D7994" w:rsidRPr="00194403" w:rsidRDefault="005E781B" w:rsidP="005E781B">
      <w:pPr>
        <w:pStyle w:val="JudgmentText"/>
        <w:numPr>
          <w:ilvl w:val="0"/>
          <w:numId w:val="0"/>
        </w:numPr>
        <w:tabs>
          <w:tab w:val="left" w:pos="1800"/>
        </w:tabs>
        <w:ind w:left="1440"/>
        <w:rPr>
          <w:i/>
        </w:rPr>
      </w:pPr>
      <w:proofErr w:type="gramStart"/>
      <w:r w:rsidRPr="00194403">
        <w:rPr>
          <w:i/>
        </w:rPr>
        <w:t>e</w:t>
      </w:r>
      <w:proofErr w:type="gramEnd"/>
      <w:r w:rsidRPr="00194403">
        <w:rPr>
          <w:i/>
        </w:rPr>
        <w:t>.</w:t>
      </w:r>
      <w:r w:rsidRPr="00194403">
        <w:rPr>
          <w:i/>
        </w:rPr>
        <w:tab/>
      </w:r>
      <w:r w:rsidR="00194403">
        <w:rPr>
          <w:i/>
        </w:rPr>
        <w:t xml:space="preserve">the </w:t>
      </w:r>
      <w:r w:rsidR="00A56367" w:rsidRPr="00194403">
        <w:rPr>
          <w:i/>
        </w:rPr>
        <w:t xml:space="preserve">parties to the marriage have lived apart for a continuous period of at least </w:t>
      </w:r>
      <w:r w:rsidR="00194403" w:rsidRPr="00194403">
        <w:rPr>
          <w:i/>
        </w:rPr>
        <w:tab/>
      </w:r>
      <w:r w:rsidR="00A56367" w:rsidRPr="00194403">
        <w:rPr>
          <w:i/>
        </w:rPr>
        <w:t xml:space="preserve">five years. </w:t>
      </w:r>
    </w:p>
    <w:p w:rsidR="00A56367" w:rsidRPr="00190EF5" w:rsidRDefault="004D7994" w:rsidP="004D7994">
      <w:pPr>
        <w:pStyle w:val="JudgmentText"/>
        <w:numPr>
          <w:ilvl w:val="0"/>
          <w:numId w:val="0"/>
        </w:numPr>
        <w:ind w:left="810" w:hanging="720"/>
      </w:pPr>
      <w:r w:rsidRPr="00190EF5">
        <w:t>[16]</w:t>
      </w:r>
      <w:r w:rsidRPr="00190EF5">
        <w:tab/>
      </w:r>
      <w:r w:rsidR="00A56367" w:rsidRPr="00190EF5">
        <w:t xml:space="preserve">The latter fact does not require the consent of the respondent for the divorce. However, Seychelles law does not provide for this option, which would otherwise serve to facilitate the process of divorce for those persons who fail to meet the other requirements. </w:t>
      </w:r>
    </w:p>
    <w:p w:rsidR="00A56367" w:rsidRPr="00190EF5" w:rsidRDefault="004D7994" w:rsidP="004D7994">
      <w:pPr>
        <w:pStyle w:val="JudgmentText"/>
        <w:numPr>
          <w:ilvl w:val="0"/>
          <w:numId w:val="0"/>
        </w:numPr>
      </w:pPr>
      <w:r w:rsidRPr="00190EF5">
        <w:t>[17]</w:t>
      </w:r>
      <w:r w:rsidRPr="00190EF5">
        <w:tab/>
      </w:r>
      <w:r w:rsidR="00A56367" w:rsidRPr="00190EF5">
        <w:t xml:space="preserve">Nevertheless, </w:t>
      </w:r>
      <w:r w:rsidRPr="00190EF5">
        <w:t>in this matter in final conclusion, it is the finding of this</w:t>
      </w:r>
      <w:r w:rsidR="00A56367" w:rsidRPr="00190EF5">
        <w:t xml:space="preserve"> Court that the </w:t>
      </w:r>
      <w:r w:rsidRPr="00190EF5">
        <w:tab/>
      </w:r>
      <w:r w:rsidR="00A56367" w:rsidRPr="00190EF5">
        <w:t xml:space="preserve">Petitioner has failed to prove her case for the reasons outlined above. The Petition </w:t>
      </w:r>
      <w:r w:rsidRPr="00190EF5">
        <w:t xml:space="preserve">thus </w:t>
      </w:r>
      <w:r w:rsidR="00532DCB">
        <w:tab/>
      </w:r>
      <w:r w:rsidR="00A56367" w:rsidRPr="00190EF5">
        <w:t>fails and is accordingly dismissed</w:t>
      </w:r>
      <w:r w:rsidR="0063663F">
        <w:t xml:space="preserve"> with costs to the Respondent</w:t>
      </w:r>
      <w:r w:rsidR="00A56367" w:rsidRPr="00190EF5">
        <w:t xml:space="preserve">. </w:t>
      </w:r>
    </w:p>
    <w:p w:rsidR="00A56367" w:rsidRPr="00190EF5" w:rsidRDefault="009F7F65" w:rsidP="00A56367">
      <w:pPr>
        <w:pStyle w:val="JudgmentText"/>
        <w:numPr>
          <w:ilvl w:val="0"/>
          <w:numId w:val="0"/>
        </w:numPr>
        <w:ind w:left="720"/>
      </w:pPr>
      <w:r w:rsidRPr="00190EF5">
        <w:rPr>
          <w:highlight w:val="lightGray"/>
        </w:rPr>
        <w:fldChar w:fldCharType="begin"/>
      </w:r>
      <w:r w:rsidRPr="00190EF5">
        <w:rPr>
          <w:highlight w:val="lightGray"/>
        </w:rPr>
        <w:fldChar w:fldCharType="end"/>
      </w:r>
    </w:p>
    <w:p w:rsidR="00A56367" w:rsidRPr="00190EF5" w:rsidRDefault="00A56367" w:rsidP="00A56367">
      <w:pPr>
        <w:pStyle w:val="ListParagraph"/>
        <w:widowControl/>
        <w:autoSpaceDE/>
        <w:autoSpaceDN/>
        <w:adjustRightInd/>
        <w:spacing w:after="240" w:line="360" w:lineRule="auto"/>
        <w:ind w:left="0"/>
        <w:contextualSpacing w:val="0"/>
        <w:jc w:val="both"/>
        <w:rPr>
          <w:sz w:val="24"/>
          <w:szCs w:val="24"/>
        </w:rPr>
        <w:sectPr w:rsidR="00A56367" w:rsidRPr="00190EF5" w:rsidSect="00EF2051">
          <w:footerReference w:type="default" r:id="rId9"/>
          <w:type w:val="continuous"/>
          <w:pgSz w:w="12240" w:h="15840"/>
          <w:pgMar w:top="1440" w:right="1440" w:bottom="1440" w:left="1440" w:header="720" w:footer="720" w:gutter="0"/>
          <w:cols w:space="720"/>
          <w:formProt w:val="0"/>
          <w:docGrid w:linePitch="360"/>
        </w:sectPr>
      </w:pPr>
    </w:p>
    <w:p w:rsidR="00A56367" w:rsidRPr="00190EF5" w:rsidRDefault="00A56367" w:rsidP="00A56367">
      <w:pPr>
        <w:pStyle w:val="ListParagraph"/>
        <w:widowControl/>
        <w:autoSpaceDE/>
        <w:autoSpaceDN/>
        <w:adjustRightInd/>
        <w:spacing w:after="240" w:line="360" w:lineRule="auto"/>
        <w:ind w:left="0"/>
        <w:contextualSpacing w:val="0"/>
        <w:jc w:val="both"/>
        <w:rPr>
          <w:sz w:val="24"/>
          <w:szCs w:val="24"/>
        </w:rPr>
      </w:pPr>
      <w:r w:rsidRPr="00190EF5">
        <w:rPr>
          <w:sz w:val="24"/>
          <w:szCs w:val="24"/>
        </w:rPr>
        <w:t>Signed, dated and delivered at Ile du Port on ________day of ____________ 2018.</w:t>
      </w:r>
    </w:p>
    <w:p w:rsidR="00A56367" w:rsidRPr="00190EF5" w:rsidRDefault="00A56367" w:rsidP="00A56367">
      <w:pPr>
        <w:pStyle w:val="ListParagraph"/>
        <w:widowControl/>
        <w:autoSpaceDE/>
        <w:autoSpaceDN/>
        <w:adjustRightInd/>
        <w:spacing w:line="360" w:lineRule="auto"/>
        <w:ind w:left="0"/>
        <w:contextualSpacing w:val="0"/>
        <w:jc w:val="both"/>
        <w:rPr>
          <w:sz w:val="24"/>
          <w:szCs w:val="24"/>
        </w:rPr>
        <w:sectPr w:rsidR="00A56367" w:rsidRPr="00190EF5" w:rsidSect="00EF2051">
          <w:type w:val="continuous"/>
          <w:pgSz w:w="12240" w:h="15840"/>
          <w:pgMar w:top="1440" w:right="1440" w:bottom="1440" w:left="1440" w:header="720" w:footer="720" w:gutter="0"/>
          <w:cols w:space="720"/>
          <w:docGrid w:linePitch="360"/>
        </w:sectPr>
      </w:pPr>
    </w:p>
    <w:p w:rsidR="00A56367" w:rsidRPr="00190EF5" w:rsidRDefault="00A56367" w:rsidP="00A56367">
      <w:pPr>
        <w:pStyle w:val="ListParagraph"/>
        <w:widowControl/>
        <w:autoSpaceDE/>
        <w:autoSpaceDN/>
        <w:adjustRightInd/>
        <w:spacing w:line="360" w:lineRule="auto"/>
        <w:ind w:left="0"/>
        <w:contextualSpacing w:val="0"/>
        <w:jc w:val="both"/>
        <w:rPr>
          <w:sz w:val="24"/>
          <w:szCs w:val="24"/>
        </w:rPr>
      </w:pPr>
    </w:p>
    <w:p w:rsidR="00A56367" w:rsidRPr="00190EF5" w:rsidRDefault="00A56367" w:rsidP="00A56367">
      <w:pPr>
        <w:pStyle w:val="ListParagraph"/>
        <w:widowControl/>
        <w:autoSpaceDE/>
        <w:autoSpaceDN/>
        <w:adjustRightInd/>
        <w:spacing w:after="120"/>
        <w:ind w:left="0"/>
        <w:contextualSpacing w:val="0"/>
        <w:jc w:val="both"/>
        <w:rPr>
          <w:sz w:val="24"/>
          <w:szCs w:val="24"/>
        </w:rPr>
        <w:sectPr w:rsidR="00A56367" w:rsidRPr="00190EF5" w:rsidSect="00EF2051">
          <w:type w:val="continuous"/>
          <w:pgSz w:w="12240" w:h="15840"/>
          <w:pgMar w:top="1440" w:right="1440" w:bottom="1440" w:left="1440" w:header="720" w:footer="720" w:gutter="0"/>
          <w:cols w:space="720"/>
          <w:formProt w:val="0"/>
          <w:docGrid w:linePitch="360"/>
        </w:sectPr>
      </w:pPr>
    </w:p>
    <w:p w:rsidR="00A56367" w:rsidRPr="00190EF5" w:rsidRDefault="00A56367" w:rsidP="00A56367">
      <w:pPr>
        <w:pStyle w:val="ListParagraph"/>
        <w:widowControl/>
        <w:autoSpaceDE/>
        <w:autoSpaceDN/>
        <w:adjustRightInd/>
        <w:spacing w:after="120"/>
        <w:ind w:left="0"/>
        <w:contextualSpacing w:val="0"/>
        <w:jc w:val="both"/>
        <w:rPr>
          <w:sz w:val="24"/>
          <w:szCs w:val="24"/>
        </w:rPr>
      </w:pPr>
    </w:p>
    <w:p w:rsidR="004D7994" w:rsidRPr="00190EF5" w:rsidRDefault="004D7994" w:rsidP="00A56367">
      <w:pPr>
        <w:pStyle w:val="ListParagraph"/>
        <w:widowControl/>
        <w:autoSpaceDE/>
        <w:autoSpaceDN/>
        <w:adjustRightInd/>
        <w:spacing w:after="120"/>
        <w:ind w:left="0"/>
        <w:contextualSpacing w:val="0"/>
        <w:jc w:val="both"/>
        <w:rPr>
          <w:sz w:val="24"/>
          <w:szCs w:val="24"/>
        </w:rPr>
      </w:pPr>
    </w:p>
    <w:p w:rsidR="004D7994" w:rsidRPr="00190EF5" w:rsidRDefault="004D7994" w:rsidP="00A56367">
      <w:pPr>
        <w:pStyle w:val="ListParagraph"/>
        <w:widowControl/>
        <w:autoSpaceDE/>
        <w:autoSpaceDN/>
        <w:adjustRightInd/>
        <w:spacing w:after="120"/>
        <w:ind w:left="0"/>
        <w:contextualSpacing w:val="0"/>
        <w:jc w:val="both"/>
        <w:rPr>
          <w:sz w:val="24"/>
          <w:szCs w:val="24"/>
        </w:rPr>
      </w:pPr>
    </w:p>
    <w:p w:rsidR="004D7994" w:rsidRPr="00190EF5" w:rsidRDefault="004D7994" w:rsidP="00A56367">
      <w:pPr>
        <w:pStyle w:val="ListParagraph"/>
        <w:widowControl/>
        <w:autoSpaceDE/>
        <w:autoSpaceDN/>
        <w:adjustRightInd/>
        <w:spacing w:after="120"/>
        <w:ind w:left="0"/>
        <w:contextualSpacing w:val="0"/>
        <w:jc w:val="both"/>
        <w:rPr>
          <w:sz w:val="24"/>
          <w:szCs w:val="24"/>
        </w:rPr>
      </w:pPr>
    </w:p>
    <w:p w:rsidR="00A56367" w:rsidRPr="00190EF5" w:rsidRDefault="00190EF5" w:rsidP="00A56367">
      <w:pPr>
        <w:pStyle w:val="ListParagraph"/>
        <w:widowControl/>
        <w:autoSpaceDE/>
        <w:autoSpaceDN/>
        <w:adjustRightInd/>
        <w:ind w:left="0"/>
        <w:contextualSpacing w:val="0"/>
        <w:jc w:val="both"/>
        <w:rPr>
          <w:b/>
          <w:sz w:val="24"/>
          <w:szCs w:val="24"/>
        </w:rPr>
      </w:pPr>
      <w:r w:rsidRPr="00190EF5">
        <w:rPr>
          <w:b/>
          <w:sz w:val="24"/>
          <w:szCs w:val="24"/>
        </w:rPr>
        <w:t xml:space="preserve">S. Andre </w:t>
      </w:r>
    </w:p>
    <w:p w:rsidR="00A56367" w:rsidRPr="00190EF5" w:rsidRDefault="009F7F65" w:rsidP="00A56367">
      <w:pPr>
        <w:pStyle w:val="ListParagraph"/>
        <w:widowControl/>
        <w:autoSpaceDE/>
        <w:autoSpaceDN/>
        <w:adjustRightInd/>
        <w:ind w:left="0"/>
        <w:contextualSpacing w:val="0"/>
        <w:jc w:val="both"/>
        <w:rPr>
          <w:b/>
          <w:sz w:val="24"/>
          <w:szCs w:val="24"/>
        </w:rPr>
      </w:pPr>
      <w:r w:rsidRPr="00190EF5">
        <w:rPr>
          <w:b/>
          <w:sz w:val="24"/>
          <w:szCs w:val="24"/>
        </w:rPr>
        <w:fldChar w:fldCharType="begin">
          <w:ffData>
            <w:name w:val="Dropdown7"/>
            <w:enabled/>
            <w:calcOnExit w:val="0"/>
            <w:ddList>
              <w:result w:val="1"/>
              <w:listEntry w:val="Chief Justice"/>
              <w:listEntry w:val="Judge of the Supreme Court"/>
            </w:ddList>
          </w:ffData>
        </w:fldChar>
      </w:r>
      <w:r w:rsidR="00A56367" w:rsidRPr="00190EF5">
        <w:rPr>
          <w:b/>
          <w:sz w:val="24"/>
          <w:szCs w:val="24"/>
        </w:rPr>
        <w:instrText xml:space="preserve"> FORMDROPDOWN </w:instrText>
      </w:r>
      <w:r w:rsidR="005E781B">
        <w:rPr>
          <w:b/>
          <w:sz w:val="24"/>
          <w:szCs w:val="24"/>
        </w:rPr>
      </w:r>
      <w:r w:rsidR="005E781B">
        <w:rPr>
          <w:b/>
          <w:sz w:val="24"/>
          <w:szCs w:val="24"/>
        </w:rPr>
        <w:fldChar w:fldCharType="separate"/>
      </w:r>
      <w:r w:rsidRPr="00190EF5">
        <w:rPr>
          <w:b/>
          <w:sz w:val="24"/>
          <w:szCs w:val="24"/>
        </w:rPr>
        <w:fldChar w:fldCharType="end"/>
      </w:r>
      <w:r w:rsidRPr="00190EF5">
        <w:rPr>
          <w:b/>
          <w:sz w:val="24"/>
          <w:szCs w:val="24"/>
        </w:rPr>
        <w:fldChar w:fldCharType="begin"/>
      </w:r>
      <w:r w:rsidRPr="00190EF5">
        <w:rPr>
          <w:b/>
          <w:sz w:val="24"/>
          <w:szCs w:val="24"/>
        </w:rPr>
        <w:fldChar w:fldCharType="end"/>
      </w:r>
    </w:p>
    <w:p w:rsidR="00A56367" w:rsidRPr="00190EF5" w:rsidRDefault="00A56367" w:rsidP="00A56367">
      <w:pPr>
        <w:jc w:val="both"/>
        <w:rPr>
          <w:sz w:val="24"/>
          <w:szCs w:val="24"/>
        </w:rPr>
      </w:pPr>
    </w:p>
    <w:p w:rsidR="00A56367" w:rsidRPr="00190EF5" w:rsidRDefault="00A56367" w:rsidP="00C17625">
      <w:pPr>
        <w:pStyle w:val="JudgmentText"/>
        <w:numPr>
          <w:ilvl w:val="0"/>
          <w:numId w:val="0"/>
        </w:numPr>
        <w:ind w:left="720" w:hanging="720"/>
      </w:pPr>
    </w:p>
    <w:sectPr w:rsidR="00A56367" w:rsidRPr="00190EF5" w:rsidSect="00EF2051">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3F6" w:rsidRDefault="008523F6" w:rsidP="00DB6D34">
      <w:r>
        <w:separator/>
      </w:r>
    </w:p>
  </w:endnote>
  <w:endnote w:type="continuationSeparator" w:id="0">
    <w:p w:rsidR="008523F6" w:rsidRDefault="008523F6"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6FF" w:rsidRDefault="009F7F65">
    <w:pPr>
      <w:pStyle w:val="Footer"/>
      <w:jc w:val="center"/>
    </w:pPr>
    <w:r>
      <w:fldChar w:fldCharType="begin"/>
    </w:r>
    <w:r w:rsidR="005166FF">
      <w:instrText xml:space="preserve"> PAGE   \* MERGEFORMAT </w:instrText>
    </w:r>
    <w:r>
      <w:fldChar w:fldCharType="separate"/>
    </w:r>
    <w:r w:rsidR="005E781B">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367" w:rsidRDefault="009F7F65">
    <w:pPr>
      <w:pStyle w:val="Footer"/>
      <w:jc w:val="center"/>
    </w:pPr>
    <w:r>
      <w:fldChar w:fldCharType="begin"/>
    </w:r>
    <w:r w:rsidR="00A56367">
      <w:instrText xml:space="preserve"> PAGE   \* MERGEFORMAT </w:instrText>
    </w:r>
    <w:r>
      <w:fldChar w:fldCharType="separate"/>
    </w:r>
    <w:r w:rsidR="005E781B">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3F6" w:rsidRDefault="008523F6" w:rsidP="00DB6D34">
      <w:r>
        <w:separator/>
      </w:r>
    </w:p>
  </w:footnote>
  <w:footnote w:type="continuationSeparator" w:id="0">
    <w:p w:rsidR="008523F6" w:rsidRDefault="008523F6"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0F37711F"/>
    <w:multiLevelType w:val="hybridMultilevel"/>
    <w:tmpl w:val="0B008288"/>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19504890"/>
    <w:multiLevelType w:val="hybridMultilevel"/>
    <w:tmpl w:val="41F479A6"/>
    <w:lvl w:ilvl="0" w:tplc="A920D5FC">
      <w:start w:val="1"/>
      <w:numFmt w:val="decimal"/>
      <w:lvlText w:val="[%1]"/>
      <w:lvlJc w:val="right"/>
      <w:pPr>
        <w:ind w:left="72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A1733"/>
    <w:multiLevelType w:val="hybridMultilevel"/>
    <w:tmpl w:val="70AAB7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7542D2"/>
    <w:multiLevelType w:val="multilevel"/>
    <w:tmpl w:val="1CC89892"/>
    <w:numStyleLink w:val="Judgments"/>
  </w:abstractNum>
  <w:abstractNum w:abstractNumId="5">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nsid w:val="348166B9"/>
    <w:multiLevelType w:val="hybridMultilevel"/>
    <w:tmpl w:val="0902D3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E74820"/>
    <w:multiLevelType w:val="multilevel"/>
    <w:tmpl w:val="1CC89892"/>
    <w:numStyleLink w:val="Judgments"/>
  </w:abstractNum>
  <w:abstractNum w:abstractNumId="9">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A61395"/>
    <w:multiLevelType w:val="hybridMultilevel"/>
    <w:tmpl w:val="C2E2DC40"/>
    <w:lvl w:ilvl="0" w:tplc="04090011">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7"/>
  </w:num>
  <w:num w:numId="2">
    <w:abstractNumId w:val="9"/>
  </w:num>
  <w:num w:numId="3">
    <w:abstractNumId w:val="0"/>
  </w:num>
  <w:num w:numId="4">
    <w:abstractNumId w:val="5"/>
  </w:num>
  <w:num w:numId="5">
    <w:abstractNumId w:val="8"/>
  </w:num>
  <w:num w:numId="6">
    <w:abstractNumId w:val="4"/>
  </w:num>
  <w:num w:numId="7">
    <w:abstractNumId w:val="10"/>
  </w:num>
  <w:num w:numId="8">
    <w:abstractNumId w:val="3"/>
  </w:num>
  <w:num w:numId="9">
    <w:abstractNumId w:val="2"/>
  </w:num>
  <w:num w:numId="10">
    <w:abstractNumId w:val="6"/>
  </w:num>
  <w:num w:numId="11">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TEwtzQxNDA2MDA3NjFQ0lEKTi0uzszPAykwqwUA+pahkSwAAAA="/>
  </w:docVars>
  <w:rsids>
    <w:rsidRoot w:val="00C17625"/>
    <w:rsid w:val="00000407"/>
    <w:rsid w:val="000019BE"/>
    <w:rsid w:val="00004CDF"/>
    <w:rsid w:val="00005BEF"/>
    <w:rsid w:val="00030C81"/>
    <w:rsid w:val="00037CB1"/>
    <w:rsid w:val="0004317E"/>
    <w:rsid w:val="0004799D"/>
    <w:rsid w:val="00062255"/>
    <w:rsid w:val="0006489F"/>
    <w:rsid w:val="00075573"/>
    <w:rsid w:val="00091036"/>
    <w:rsid w:val="000A10B8"/>
    <w:rsid w:val="000B7E37"/>
    <w:rsid w:val="000D1DD3"/>
    <w:rsid w:val="000D3FDC"/>
    <w:rsid w:val="000E39A5"/>
    <w:rsid w:val="000E7400"/>
    <w:rsid w:val="000F21C5"/>
    <w:rsid w:val="001008BC"/>
    <w:rsid w:val="00101D12"/>
    <w:rsid w:val="00106AC4"/>
    <w:rsid w:val="0010732D"/>
    <w:rsid w:val="00117CBF"/>
    <w:rsid w:val="00120002"/>
    <w:rsid w:val="00125602"/>
    <w:rsid w:val="00126A10"/>
    <w:rsid w:val="001376AB"/>
    <w:rsid w:val="001400AB"/>
    <w:rsid w:val="001443FB"/>
    <w:rsid w:val="00144612"/>
    <w:rsid w:val="0014598E"/>
    <w:rsid w:val="00150377"/>
    <w:rsid w:val="0016510C"/>
    <w:rsid w:val="001716D5"/>
    <w:rsid w:val="00172D48"/>
    <w:rsid w:val="00175F01"/>
    <w:rsid w:val="00180158"/>
    <w:rsid w:val="001856E3"/>
    <w:rsid w:val="00190EF5"/>
    <w:rsid w:val="00194403"/>
    <w:rsid w:val="001A6ED7"/>
    <w:rsid w:val="001D6C61"/>
    <w:rsid w:val="001E0133"/>
    <w:rsid w:val="001E3AB4"/>
    <w:rsid w:val="001E4ED8"/>
    <w:rsid w:val="001F255E"/>
    <w:rsid w:val="0020244B"/>
    <w:rsid w:val="00223DD5"/>
    <w:rsid w:val="00225016"/>
    <w:rsid w:val="00231A40"/>
    <w:rsid w:val="00231C17"/>
    <w:rsid w:val="00236AAC"/>
    <w:rsid w:val="0024353F"/>
    <w:rsid w:val="00290E14"/>
    <w:rsid w:val="002A7376"/>
    <w:rsid w:val="002B2255"/>
    <w:rsid w:val="002B512A"/>
    <w:rsid w:val="002C7560"/>
    <w:rsid w:val="002D06AA"/>
    <w:rsid w:val="002D67FC"/>
    <w:rsid w:val="002E6963"/>
    <w:rsid w:val="002F40A1"/>
    <w:rsid w:val="00301D88"/>
    <w:rsid w:val="00304E76"/>
    <w:rsid w:val="003124CA"/>
    <w:rsid w:val="003647E7"/>
    <w:rsid w:val="00377341"/>
    <w:rsid w:val="003838CC"/>
    <w:rsid w:val="003862CB"/>
    <w:rsid w:val="0038700C"/>
    <w:rsid w:val="003A198C"/>
    <w:rsid w:val="003B3479"/>
    <w:rsid w:val="003B461C"/>
    <w:rsid w:val="003B4C19"/>
    <w:rsid w:val="003C17AC"/>
    <w:rsid w:val="003D58AA"/>
    <w:rsid w:val="003D7B97"/>
    <w:rsid w:val="003E2ABC"/>
    <w:rsid w:val="003E404C"/>
    <w:rsid w:val="003F0F8D"/>
    <w:rsid w:val="004130B4"/>
    <w:rsid w:val="004156B9"/>
    <w:rsid w:val="0043660F"/>
    <w:rsid w:val="00437E3D"/>
    <w:rsid w:val="00445BFA"/>
    <w:rsid w:val="00445EE6"/>
    <w:rsid w:val="00452BB6"/>
    <w:rsid w:val="0045512B"/>
    <w:rsid w:val="0046133B"/>
    <w:rsid w:val="00464531"/>
    <w:rsid w:val="00476AC4"/>
    <w:rsid w:val="004B1AA9"/>
    <w:rsid w:val="004B22D0"/>
    <w:rsid w:val="004C3D70"/>
    <w:rsid w:val="004C3D80"/>
    <w:rsid w:val="004D11AB"/>
    <w:rsid w:val="004D7994"/>
    <w:rsid w:val="004F3823"/>
    <w:rsid w:val="005166FF"/>
    <w:rsid w:val="00520157"/>
    <w:rsid w:val="005207C8"/>
    <w:rsid w:val="005258A4"/>
    <w:rsid w:val="00530663"/>
    <w:rsid w:val="00532DCB"/>
    <w:rsid w:val="0055036F"/>
    <w:rsid w:val="005514D6"/>
    <w:rsid w:val="00552704"/>
    <w:rsid w:val="00572AB3"/>
    <w:rsid w:val="005836AC"/>
    <w:rsid w:val="00584583"/>
    <w:rsid w:val="00594FAC"/>
    <w:rsid w:val="005C3BFB"/>
    <w:rsid w:val="005E5CF4"/>
    <w:rsid w:val="005E6584"/>
    <w:rsid w:val="005E781B"/>
    <w:rsid w:val="005F51BA"/>
    <w:rsid w:val="00606587"/>
    <w:rsid w:val="00606EEA"/>
    <w:rsid w:val="006174DB"/>
    <w:rsid w:val="00622BDC"/>
    <w:rsid w:val="0063663F"/>
    <w:rsid w:val="00637194"/>
    <w:rsid w:val="0064023C"/>
    <w:rsid w:val="0065745F"/>
    <w:rsid w:val="006578C2"/>
    <w:rsid w:val="00662053"/>
    <w:rsid w:val="00666D33"/>
    <w:rsid w:val="006A15E1"/>
    <w:rsid w:val="006A58E4"/>
    <w:rsid w:val="006D36C9"/>
    <w:rsid w:val="006F419F"/>
    <w:rsid w:val="006F439B"/>
    <w:rsid w:val="007175A6"/>
    <w:rsid w:val="0073083E"/>
    <w:rsid w:val="00741231"/>
    <w:rsid w:val="00744508"/>
    <w:rsid w:val="0077082A"/>
    <w:rsid w:val="007715E2"/>
    <w:rsid w:val="007874A8"/>
    <w:rsid w:val="0079457D"/>
    <w:rsid w:val="007A47DC"/>
    <w:rsid w:val="007B6178"/>
    <w:rsid w:val="007C2809"/>
    <w:rsid w:val="007C75D9"/>
    <w:rsid w:val="007D416E"/>
    <w:rsid w:val="00803A92"/>
    <w:rsid w:val="00807411"/>
    <w:rsid w:val="00814147"/>
    <w:rsid w:val="00814CF5"/>
    <w:rsid w:val="00816425"/>
    <w:rsid w:val="00821758"/>
    <w:rsid w:val="00822D1A"/>
    <w:rsid w:val="00823079"/>
    <w:rsid w:val="0083298A"/>
    <w:rsid w:val="00841387"/>
    <w:rsid w:val="00842D70"/>
    <w:rsid w:val="008472B3"/>
    <w:rsid w:val="008478D6"/>
    <w:rsid w:val="008523F6"/>
    <w:rsid w:val="008655E6"/>
    <w:rsid w:val="00883106"/>
    <w:rsid w:val="008965A6"/>
    <w:rsid w:val="008A2ABD"/>
    <w:rsid w:val="008A5208"/>
    <w:rsid w:val="008C0FD6"/>
    <w:rsid w:val="008C1315"/>
    <w:rsid w:val="008C2536"/>
    <w:rsid w:val="008D33D5"/>
    <w:rsid w:val="008E103F"/>
    <w:rsid w:val="008E1DB1"/>
    <w:rsid w:val="008E512C"/>
    <w:rsid w:val="008E7321"/>
    <w:rsid w:val="008E7613"/>
    <w:rsid w:val="008E7749"/>
    <w:rsid w:val="008E7F92"/>
    <w:rsid w:val="008F0077"/>
    <w:rsid w:val="008F0C10"/>
    <w:rsid w:val="008F38F7"/>
    <w:rsid w:val="00902D3C"/>
    <w:rsid w:val="00905552"/>
    <w:rsid w:val="00926D09"/>
    <w:rsid w:val="009336BA"/>
    <w:rsid w:val="00937FB4"/>
    <w:rsid w:val="0094087C"/>
    <w:rsid w:val="00944FF3"/>
    <w:rsid w:val="00951EC0"/>
    <w:rsid w:val="0096041D"/>
    <w:rsid w:val="00977F88"/>
    <w:rsid w:val="00981287"/>
    <w:rsid w:val="00981C30"/>
    <w:rsid w:val="00983045"/>
    <w:rsid w:val="009B6F6A"/>
    <w:rsid w:val="009C4949"/>
    <w:rsid w:val="009C7F5C"/>
    <w:rsid w:val="009E05E5"/>
    <w:rsid w:val="009F1B68"/>
    <w:rsid w:val="009F4DC4"/>
    <w:rsid w:val="009F7F65"/>
    <w:rsid w:val="00A11166"/>
    <w:rsid w:val="00A14038"/>
    <w:rsid w:val="00A36B9C"/>
    <w:rsid w:val="00A42850"/>
    <w:rsid w:val="00A53837"/>
    <w:rsid w:val="00A56367"/>
    <w:rsid w:val="00A6275A"/>
    <w:rsid w:val="00A65340"/>
    <w:rsid w:val="00A72B40"/>
    <w:rsid w:val="00A75D59"/>
    <w:rsid w:val="00A80E4E"/>
    <w:rsid w:val="00A92E1C"/>
    <w:rsid w:val="00A97D69"/>
    <w:rsid w:val="00AC3885"/>
    <w:rsid w:val="00AD75CD"/>
    <w:rsid w:val="00B05D6E"/>
    <w:rsid w:val="00B119B1"/>
    <w:rsid w:val="00B14612"/>
    <w:rsid w:val="00B16E4D"/>
    <w:rsid w:val="00B175FE"/>
    <w:rsid w:val="00B23E73"/>
    <w:rsid w:val="00B4124C"/>
    <w:rsid w:val="00B45AFC"/>
    <w:rsid w:val="00B4625E"/>
    <w:rsid w:val="00B75AE2"/>
    <w:rsid w:val="00B839EE"/>
    <w:rsid w:val="00B9148E"/>
    <w:rsid w:val="00B94805"/>
    <w:rsid w:val="00BA6027"/>
    <w:rsid w:val="00BB7127"/>
    <w:rsid w:val="00BC1D95"/>
    <w:rsid w:val="00BC73D2"/>
    <w:rsid w:val="00BD4287"/>
    <w:rsid w:val="00BD60D5"/>
    <w:rsid w:val="00BE1D00"/>
    <w:rsid w:val="00BE3628"/>
    <w:rsid w:val="00BE424C"/>
    <w:rsid w:val="00BF5CC9"/>
    <w:rsid w:val="00C036A5"/>
    <w:rsid w:val="00C065A3"/>
    <w:rsid w:val="00C14327"/>
    <w:rsid w:val="00C17625"/>
    <w:rsid w:val="00C210A6"/>
    <w:rsid w:val="00C22967"/>
    <w:rsid w:val="00C35333"/>
    <w:rsid w:val="00C55FDF"/>
    <w:rsid w:val="00C5739F"/>
    <w:rsid w:val="00C87FCA"/>
    <w:rsid w:val="00CA1B0C"/>
    <w:rsid w:val="00CA7795"/>
    <w:rsid w:val="00CA7F40"/>
    <w:rsid w:val="00CB3873"/>
    <w:rsid w:val="00CB3C7E"/>
    <w:rsid w:val="00CD5753"/>
    <w:rsid w:val="00D03314"/>
    <w:rsid w:val="00D06A0F"/>
    <w:rsid w:val="00D07BC0"/>
    <w:rsid w:val="00D24C89"/>
    <w:rsid w:val="00D353FB"/>
    <w:rsid w:val="00D375BB"/>
    <w:rsid w:val="00D37600"/>
    <w:rsid w:val="00D53907"/>
    <w:rsid w:val="00D82047"/>
    <w:rsid w:val="00DB6D34"/>
    <w:rsid w:val="00DC009F"/>
    <w:rsid w:val="00DD4E02"/>
    <w:rsid w:val="00DE08C1"/>
    <w:rsid w:val="00DF2970"/>
    <w:rsid w:val="00DF303A"/>
    <w:rsid w:val="00E01543"/>
    <w:rsid w:val="00E0467F"/>
    <w:rsid w:val="00E0505F"/>
    <w:rsid w:val="00E30B60"/>
    <w:rsid w:val="00E33F35"/>
    <w:rsid w:val="00E35862"/>
    <w:rsid w:val="00E41E94"/>
    <w:rsid w:val="00E41ED4"/>
    <w:rsid w:val="00E55C69"/>
    <w:rsid w:val="00E57D4D"/>
    <w:rsid w:val="00E6492F"/>
    <w:rsid w:val="00E65691"/>
    <w:rsid w:val="00E91FA1"/>
    <w:rsid w:val="00E944E2"/>
    <w:rsid w:val="00EA6F17"/>
    <w:rsid w:val="00EC12D0"/>
    <w:rsid w:val="00EC2355"/>
    <w:rsid w:val="00EC4526"/>
    <w:rsid w:val="00EC6290"/>
    <w:rsid w:val="00ED748C"/>
    <w:rsid w:val="00EF2051"/>
    <w:rsid w:val="00EF6F79"/>
    <w:rsid w:val="00F00A19"/>
    <w:rsid w:val="00F0209D"/>
    <w:rsid w:val="00F51EDD"/>
    <w:rsid w:val="00F804CC"/>
    <w:rsid w:val="00F82A83"/>
    <w:rsid w:val="00FB0AFB"/>
    <w:rsid w:val="00FB2453"/>
    <w:rsid w:val="00FB39BA"/>
    <w:rsid w:val="00FC61E3"/>
    <w:rsid w:val="00FD51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AF322-8E4D-4A0C-9819-1B7D50D6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46453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46453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46453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unhideWhenUsed/>
    <w:rsid w:val="00DB6D34"/>
    <w:pPr>
      <w:tabs>
        <w:tab w:val="center" w:pos="4680"/>
        <w:tab w:val="right" w:pos="9360"/>
      </w:tabs>
    </w:pPr>
  </w:style>
  <w:style w:type="character" w:customStyle="1" w:styleId="FooterChar">
    <w:name w:val="Footer Char"/>
    <w:basedOn w:val="DefaultParagraphFont"/>
    <w:link w:val="Footer"/>
    <w:uiPriority w:val="99"/>
    <w:semiHidden/>
    <w:rsid w:val="0046453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46453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464531"/>
    <w:pPr>
      <w:spacing w:after="240"/>
      <w:ind w:left="1440" w:right="720"/>
      <w:jc w:val="both"/>
    </w:pPr>
    <w:rPr>
      <w:sz w:val="24"/>
      <w:szCs w:val="24"/>
    </w:rPr>
  </w:style>
  <w:style w:type="paragraph" w:styleId="NoSpacing">
    <w:name w:val="No Spacing"/>
    <w:uiPriority w:val="1"/>
    <w:qFormat/>
    <w:rsid w:val="0004317E"/>
    <w:rPr>
      <w:rFonts w:asciiTheme="minorHAnsi" w:eastAsiaTheme="minorHAnsi" w:hAnsiTheme="minorHAnsi" w:cstheme="minorBidi"/>
      <w:sz w:val="22"/>
      <w:szCs w:val="22"/>
    </w:rPr>
  </w:style>
  <w:style w:type="paragraph" w:customStyle="1" w:styleId="rtejustify">
    <w:name w:val="rtejustify"/>
    <w:basedOn w:val="Normal"/>
    <w:rsid w:val="0004317E"/>
    <w:pPr>
      <w:widowControl/>
      <w:autoSpaceDE/>
      <w:autoSpaceDN/>
      <w:adjustRightInd/>
      <w:spacing w:before="100" w:beforeAutospacing="1" w:after="100" w:afterAutospacing="1"/>
    </w:pPr>
    <w:rPr>
      <w:rFonts w:eastAsia="Times New Roman"/>
      <w:sz w:val="24"/>
      <w:szCs w:val="24"/>
      <w:lang w:val="en-US"/>
    </w:rPr>
  </w:style>
  <w:style w:type="character" w:styleId="CommentReference">
    <w:name w:val="annotation reference"/>
    <w:basedOn w:val="DefaultParagraphFont"/>
    <w:uiPriority w:val="99"/>
    <w:semiHidden/>
    <w:unhideWhenUsed/>
    <w:rsid w:val="005166FF"/>
    <w:rPr>
      <w:sz w:val="16"/>
      <w:szCs w:val="16"/>
    </w:rPr>
  </w:style>
  <w:style w:type="paragraph" w:styleId="CommentText">
    <w:name w:val="annotation text"/>
    <w:basedOn w:val="Normal"/>
    <w:link w:val="CommentTextChar"/>
    <w:uiPriority w:val="99"/>
    <w:semiHidden/>
    <w:unhideWhenUsed/>
    <w:rsid w:val="005166FF"/>
  </w:style>
  <w:style w:type="character" w:customStyle="1" w:styleId="CommentTextChar">
    <w:name w:val="Comment Text Char"/>
    <w:basedOn w:val="DefaultParagraphFont"/>
    <w:link w:val="CommentText"/>
    <w:uiPriority w:val="99"/>
    <w:semiHidden/>
    <w:rsid w:val="005166FF"/>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Civil%20Side%20-%20civil%20appeal%20(C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BDAF8-49F2-45C4-AD01-6AE518B30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civil appeal (CA)</Template>
  <TotalTime>3</TotalTime>
  <Pages>5</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 govinden</dc:creator>
  <cp:lastModifiedBy>Michelle</cp:lastModifiedBy>
  <cp:revision>4</cp:revision>
  <cp:lastPrinted>2018-05-29T05:28:00Z</cp:lastPrinted>
  <dcterms:created xsi:type="dcterms:W3CDTF">2018-07-13T10:32:00Z</dcterms:created>
  <dcterms:modified xsi:type="dcterms:W3CDTF">2018-12-12T07:17:00Z</dcterms:modified>
</cp:coreProperties>
</file>