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bookmarkStart w:id="0" w:name="_GoBack"/>
      <w:bookmarkEnd w:id="0"/>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0F15CC">
        <w:rPr>
          <w:b/>
          <w:sz w:val="28"/>
          <w:szCs w:val="28"/>
        </w:rPr>
      </w:r>
      <w:r w:rsidR="000F15CC">
        <w:rPr>
          <w:b/>
          <w:sz w:val="28"/>
          <w:szCs w:val="28"/>
        </w:rPr>
        <w:fldChar w:fldCharType="separate"/>
      </w:r>
      <w:r w:rsidR="006D0171">
        <w:rPr>
          <w:b/>
          <w:sz w:val="28"/>
          <w:szCs w:val="28"/>
        </w:rPr>
        <w:fldChar w:fldCharType="end"/>
      </w:r>
      <w:bookmarkEnd w:id="1"/>
      <w:r w:rsidR="005F5FB0">
        <w:rPr>
          <w:b/>
          <w:sz w:val="28"/>
          <w:szCs w:val="28"/>
        </w:rPr>
        <w:t xml:space="preserve"> </w:t>
      </w:r>
      <w:r w:rsidR="00C759FB">
        <w:rPr>
          <w:b/>
          <w:sz w:val="28"/>
          <w:szCs w:val="28"/>
        </w:rPr>
        <w:t>56</w:t>
      </w:r>
      <w:r w:rsidRPr="00B75AE2">
        <w:rPr>
          <w:b/>
          <w:sz w:val="28"/>
          <w:szCs w:val="28"/>
        </w:rPr>
        <w:t>/</w:t>
      </w:r>
      <w:r w:rsidR="00C87FCA" w:rsidRPr="00B75AE2">
        <w:rPr>
          <w:b/>
          <w:sz w:val="28"/>
          <w:szCs w:val="28"/>
        </w:rPr>
        <w:t>20</w:t>
      </w:r>
      <w:r w:rsidR="00C759FB">
        <w:rPr>
          <w:b/>
          <w:sz w:val="28"/>
          <w:szCs w:val="28"/>
        </w:rPr>
        <w:t>17</w:t>
      </w:r>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C759FB">
        <w:rPr>
          <w:b/>
          <w:sz w:val="24"/>
          <w:szCs w:val="24"/>
        </w:rPr>
        <w:t>8</w:t>
      </w:r>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C47F5D">
        <w:rPr>
          <w:b/>
          <w:sz w:val="24"/>
          <w:szCs w:val="24"/>
        </w:rPr>
        <w:t>512</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C759FB" w:rsidP="003862CB">
      <w:pPr>
        <w:jc w:val="center"/>
        <w:rPr>
          <w:b/>
          <w:sz w:val="24"/>
          <w:szCs w:val="24"/>
        </w:rPr>
      </w:pPr>
      <w:r>
        <w:rPr>
          <w:b/>
          <w:sz w:val="24"/>
          <w:szCs w:val="24"/>
        </w:rPr>
        <w:t>ANISSA PAYET</w:t>
      </w:r>
    </w:p>
    <w:bookmarkStart w:id="2" w:name="Dropdown13"/>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0F15CC">
        <w:rPr>
          <w:sz w:val="24"/>
          <w:szCs w:val="24"/>
        </w:rPr>
      </w:r>
      <w:r w:rsidR="000F15CC">
        <w:rPr>
          <w:sz w:val="24"/>
          <w:szCs w:val="24"/>
        </w:rPr>
        <w:fldChar w:fldCharType="separate"/>
      </w:r>
      <w:r>
        <w:rPr>
          <w:sz w:val="24"/>
          <w:szCs w:val="24"/>
        </w:rPr>
        <w:fldChar w:fldCharType="end"/>
      </w:r>
      <w:bookmarkEnd w:id="2"/>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8F43FD">
      <w:pPr>
        <w:spacing w:before="120"/>
        <w:ind w:left="-1440" w:firstLine="144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C759FB" w:rsidP="003862CB">
      <w:pPr>
        <w:jc w:val="center"/>
        <w:rPr>
          <w:sz w:val="24"/>
          <w:szCs w:val="24"/>
        </w:rPr>
      </w:pPr>
      <w:r>
        <w:rPr>
          <w:b/>
          <w:sz w:val="24"/>
          <w:szCs w:val="24"/>
        </w:rPr>
        <w:t>MR ALEX MONTHY</w:t>
      </w:r>
    </w:p>
    <w:bookmarkStart w:id="3"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0F15CC">
        <w:rPr>
          <w:sz w:val="24"/>
          <w:szCs w:val="24"/>
        </w:rPr>
      </w:r>
      <w:r w:rsidR="000F15CC">
        <w:rPr>
          <w:sz w:val="24"/>
          <w:szCs w:val="24"/>
        </w:rPr>
        <w:fldChar w:fldCharType="separate"/>
      </w:r>
      <w:r>
        <w:rPr>
          <w:sz w:val="24"/>
          <w:szCs w:val="24"/>
        </w:rPr>
        <w:fldChar w:fldCharType="end"/>
      </w:r>
      <w:bookmarkEnd w:id="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4"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4"/>
      <w:r w:rsidR="003A1808">
        <w:rPr>
          <w:sz w:val="24"/>
          <w:szCs w:val="24"/>
        </w:rPr>
        <w:t xml:space="preserve">  28</w:t>
      </w:r>
      <w:r w:rsidR="003A1808" w:rsidRPr="003A1808">
        <w:rPr>
          <w:sz w:val="24"/>
          <w:szCs w:val="24"/>
          <w:vertAlign w:val="superscript"/>
        </w:rPr>
        <w:t>th</w:t>
      </w:r>
      <w:r w:rsidR="003A1808">
        <w:rPr>
          <w:sz w:val="24"/>
          <w:szCs w:val="24"/>
        </w:rPr>
        <w:t xml:space="preserve"> May 2018</w:t>
      </w:r>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F3D07">
        <w:rPr>
          <w:sz w:val="24"/>
          <w:szCs w:val="24"/>
        </w:rPr>
        <w:t xml:space="preserve"> </w:t>
      </w:r>
      <w:r w:rsidR="006F3D07">
        <w:rPr>
          <w:sz w:val="24"/>
          <w:szCs w:val="24"/>
        </w:rPr>
        <w:tab/>
      </w:r>
      <w:r w:rsidR="00C759FB">
        <w:rPr>
          <w:sz w:val="24"/>
          <w:szCs w:val="24"/>
        </w:rPr>
        <w:t xml:space="preserve">Mr </w:t>
      </w:r>
      <w:proofErr w:type="spellStart"/>
      <w:r w:rsidR="00C759FB">
        <w:rPr>
          <w:sz w:val="24"/>
          <w:szCs w:val="24"/>
        </w:rPr>
        <w:t>Derjacques</w:t>
      </w:r>
      <w:proofErr w:type="spellEnd"/>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5"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0F15CC">
        <w:rPr>
          <w:sz w:val="24"/>
          <w:szCs w:val="24"/>
        </w:rPr>
      </w:r>
      <w:r w:rsidR="000F15CC">
        <w:rPr>
          <w:sz w:val="24"/>
          <w:szCs w:val="24"/>
        </w:rPr>
        <w:fldChar w:fldCharType="separate"/>
      </w:r>
      <w:r w:rsidR="006D0171">
        <w:rPr>
          <w:sz w:val="24"/>
          <w:szCs w:val="24"/>
        </w:rPr>
        <w:fldChar w:fldCharType="end"/>
      </w:r>
      <w:bookmarkEnd w:id="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6"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7" w:name="Text29"/>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7"/>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sidR="003A1808">
        <w:rPr>
          <w:sz w:val="24"/>
          <w:szCs w:val="24"/>
        </w:rPr>
        <w:t xml:space="preserve"> </w:t>
      </w:r>
      <w:r w:rsidR="00C759FB">
        <w:rPr>
          <w:sz w:val="24"/>
          <w:szCs w:val="24"/>
        </w:rPr>
        <w:t>Mr Elizabeth f</w:t>
      </w:r>
      <w:r>
        <w:rPr>
          <w:sz w:val="24"/>
          <w:szCs w:val="24"/>
        </w:rPr>
        <w:t xml:space="preserve">or </w:t>
      </w:r>
      <w:bookmarkStart w:id="8"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0F15CC">
        <w:rPr>
          <w:sz w:val="24"/>
          <w:szCs w:val="24"/>
        </w:rPr>
      </w:r>
      <w:r w:rsidR="000F15CC">
        <w:rPr>
          <w:sz w:val="24"/>
          <w:szCs w:val="24"/>
        </w:rPr>
        <w:fldChar w:fldCharType="separate"/>
      </w:r>
      <w:r w:rsidR="006D0171">
        <w:rPr>
          <w:sz w:val="24"/>
          <w:szCs w:val="24"/>
        </w:rPr>
        <w:fldChar w:fldCharType="end"/>
      </w:r>
      <w:bookmarkEnd w:id="8"/>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9"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0"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10"/>
      <w:r w:rsidR="003A1808">
        <w:rPr>
          <w:sz w:val="24"/>
          <w:szCs w:val="24"/>
        </w:rPr>
        <w:t xml:space="preserve">  </w:t>
      </w:r>
      <w:r w:rsidR="00302A65">
        <w:rPr>
          <w:sz w:val="24"/>
          <w:szCs w:val="24"/>
        </w:rPr>
        <w:t>1</w:t>
      </w:r>
      <w:r w:rsidR="00302A65" w:rsidRPr="00302A65">
        <w:rPr>
          <w:sz w:val="24"/>
          <w:szCs w:val="24"/>
          <w:vertAlign w:val="superscript"/>
        </w:rPr>
        <w:t>st</w:t>
      </w:r>
      <w:r w:rsidR="00302A65">
        <w:rPr>
          <w:sz w:val="24"/>
          <w:szCs w:val="24"/>
        </w:rPr>
        <w:t xml:space="preserve"> June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End w:id="11"/>
    <w:p w:rsidR="00C87FCA" w:rsidRDefault="00C759F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RULING"/>
              <w:listEntry w:val="JUDGMENT"/>
              <w:listEntry w:val="ORDER"/>
              <w:listEntry w:val="JUDGMENT BY CONSENT"/>
            </w:ddList>
          </w:ffData>
        </w:fldChar>
      </w:r>
      <w:bookmarkStart w:id="12" w:name="Dropdown8"/>
      <w:r>
        <w:rPr>
          <w:b/>
          <w:sz w:val="24"/>
          <w:szCs w:val="24"/>
        </w:rPr>
        <w:instrText xml:space="preserve"> FORMDROPDOWN </w:instrText>
      </w:r>
      <w:r w:rsidR="000F15CC">
        <w:rPr>
          <w:b/>
          <w:sz w:val="24"/>
          <w:szCs w:val="24"/>
        </w:rPr>
      </w:r>
      <w:r w:rsidR="000F15CC">
        <w:rPr>
          <w:b/>
          <w:sz w:val="24"/>
          <w:szCs w:val="24"/>
        </w:rPr>
        <w:fldChar w:fldCharType="separate"/>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759FB"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Nunkoo J"/>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Vidot J"/>
              <w:listEntry w:val="Pillay, J"/>
              <w:listEntry w:val="Egonda-Ntende CJ"/>
            </w:ddList>
          </w:ffData>
        </w:fldChar>
      </w:r>
      <w:bookmarkStart w:id="13" w:name="Dropdown9"/>
      <w:r>
        <w:rPr>
          <w:b/>
          <w:sz w:val="24"/>
          <w:szCs w:val="24"/>
        </w:rPr>
        <w:instrText xml:space="preserve"> FORMDROPDOWN </w:instrText>
      </w:r>
      <w:r w:rsidR="000F15CC">
        <w:rPr>
          <w:b/>
          <w:sz w:val="24"/>
          <w:szCs w:val="24"/>
        </w:rPr>
      </w:r>
      <w:r w:rsidR="000F15CC">
        <w:rPr>
          <w:b/>
          <w:sz w:val="24"/>
          <w:szCs w:val="24"/>
        </w:rPr>
        <w:fldChar w:fldCharType="separate"/>
      </w:r>
      <w:r>
        <w:rPr>
          <w:b/>
          <w:sz w:val="24"/>
          <w:szCs w:val="24"/>
        </w:rPr>
        <w:fldChar w:fldCharType="end"/>
      </w:r>
      <w:bookmarkEnd w:id="1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02A65" w:rsidRPr="00302A65" w:rsidRDefault="000F15CC" w:rsidP="000F15CC">
      <w:pPr>
        <w:pStyle w:val="JudgmentText"/>
        <w:numPr>
          <w:ilvl w:val="0"/>
          <w:numId w:val="0"/>
        </w:numPr>
        <w:ind w:left="720" w:hanging="720"/>
        <w:rPr>
          <w:i/>
        </w:rPr>
      </w:pPr>
      <w:r w:rsidRPr="00302A65">
        <w:lastRenderedPageBreak/>
        <w:t>[1]</w:t>
      </w:r>
      <w:r w:rsidRPr="00302A65">
        <w:tab/>
      </w:r>
      <w:r w:rsidR="00302A65" w:rsidRPr="00302A65">
        <w:t xml:space="preserve">This a plaint from a lady who is claiming the sum of SCR 932,000.00 from the </w:t>
      </w:r>
      <w:r w:rsidR="00302A65">
        <w:t>Defendant</w:t>
      </w:r>
      <w:r w:rsidR="00302A65" w:rsidRPr="00302A65">
        <w:t>, who was her boyfriend in a recent past.</w:t>
      </w:r>
    </w:p>
    <w:p w:rsidR="00302A65" w:rsidRPr="00302A65" w:rsidRDefault="000F15CC" w:rsidP="000F15CC">
      <w:pPr>
        <w:pStyle w:val="JudgmentText"/>
        <w:numPr>
          <w:ilvl w:val="0"/>
          <w:numId w:val="0"/>
        </w:numPr>
        <w:ind w:left="720" w:hanging="720"/>
        <w:rPr>
          <w:i/>
        </w:rPr>
      </w:pPr>
      <w:r w:rsidRPr="00302A65">
        <w:t>[2]</w:t>
      </w:r>
      <w:r w:rsidRPr="00302A65">
        <w:tab/>
      </w:r>
      <w:r w:rsidR="00302A65" w:rsidRPr="00302A65">
        <w:t xml:space="preserve">She is alleging that the </w:t>
      </w:r>
      <w:r w:rsidR="00302A65">
        <w:t>Defendant</w:t>
      </w:r>
      <w:r w:rsidR="00302A65" w:rsidRPr="00302A65">
        <w:t xml:space="preserve"> had borrowed a sum of SCR 712,000.00 from her for the purchase of a motorboat, and a further sum of SCR 120,000.00 for the purchaser of a vehicle-vehicle registration number </w:t>
      </w:r>
      <w:proofErr w:type="spellStart"/>
      <w:r w:rsidR="00302A65" w:rsidRPr="00302A65">
        <w:t>S</w:t>
      </w:r>
      <w:proofErr w:type="spellEnd"/>
      <w:r w:rsidR="00302A65" w:rsidRPr="00302A65">
        <w:t xml:space="preserve"> 24515.</w:t>
      </w:r>
    </w:p>
    <w:p w:rsidR="00302A65" w:rsidRPr="00302A65" w:rsidRDefault="000F15CC" w:rsidP="000F15CC">
      <w:pPr>
        <w:pStyle w:val="JudgmentText"/>
        <w:numPr>
          <w:ilvl w:val="0"/>
          <w:numId w:val="0"/>
        </w:numPr>
        <w:ind w:left="720" w:hanging="720"/>
        <w:rPr>
          <w:i/>
        </w:rPr>
      </w:pPr>
      <w:r w:rsidRPr="00302A65">
        <w:lastRenderedPageBreak/>
        <w:t>[3]</w:t>
      </w:r>
      <w:r w:rsidRPr="00302A65">
        <w:tab/>
      </w:r>
      <w:r w:rsidR="00302A65">
        <w:t>Plaintiff</w:t>
      </w:r>
      <w:r w:rsidR="00302A65" w:rsidRPr="00302A65">
        <w:t xml:space="preserve"> avers that it was agreed </w:t>
      </w:r>
      <w:r w:rsidR="00F566F3">
        <w:t xml:space="preserve">between herself and defendant </w:t>
      </w:r>
      <w:r w:rsidR="00302A65" w:rsidRPr="00302A65">
        <w:t xml:space="preserve">that </w:t>
      </w:r>
      <w:r w:rsidR="00F566F3">
        <w:t xml:space="preserve">the latter would transfer and </w:t>
      </w:r>
      <w:proofErr w:type="spellStart"/>
      <w:r w:rsidR="00F566F3">
        <w:t>delivere</w:t>
      </w:r>
      <w:proofErr w:type="spellEnd"/>
      <w:r w:rsidR="00F566F3">
        <w:t xml:space="preserve"> the </w:t>
      </w:r>
      <w:proofErr w:type="gramStart"/>
      <w:r w:rsidR="00F566F3">
        <w:t xml:space="preserve">vehicle </w:t>
      </w:r>
      <w:r w:rsidR="00302A65" w:rsidRPr="00302A65">
        <w:t xml:space="preserve"> to</w:t>
      </w:r>
      <w:proofErr w:type="gramEnd"/>
      <w:r w:rsidR="00302A65" w:rsidRPr="00302A65">
        <w:t xml:space="preserve"> her in lieu of that sum.</w:t>
      </w:r>
    </w:p>
    <w:p w:rsidR="00302A65" w:rsidRPr="00302A65" w:rsidRDefault="000F15CC" w:rsidP="000F15CC">
      <w:pPr>
        <w:pStyle w:val="JudgmentText"/>
        <w:numPr>
          <w:ilvl w:val="0"/>
          <w:numId w:val="0"/>
        </w:numPr>
        <w:ind w:left="720" w:hanging="720"/>
        <w:rPr>
          <w:i/>
        </w:rPr>
      </w:pPr>
      <w:r w:rsidRPr="00302A65">
        <w:t>[4]</w:t>
      </w:r>
      <w:r w:rsidRPr="00302A65">
        <w:tab/>
      </w:r>
      <w:r w:rsidR="00302A65" w:rsidRPr="00302A65">
        <w:t xml:space="preserve">The </w:t>
      </w:r>
      <w:r w:rsidR="00302A65">
        <w:t>Plaintiff</w:t>
      </w:r>
      <w:r w:rsidR="00302A65" w:rsidRPr="00302A65">
        <w:t xml:space="preserve"> is therefore claiming the sum of SCR 932,000.00; SCR 832,000.00 being total of debts that is </w:t>
      </w:r>
      <w:r w:rsidR="00F566F3">
        <w:t>SCR</w:t>
      </w:r>
      <w:r w:rsidR="00302A65" w:rsidRPr="00302A65">
        <w:t xml:space="preserve"> 732,000 plus 120,000- and SCR 100,000.00 as moral damages.</w:t>
      </w:r>
    </w:p>
    <w:p w:rsidR="00302A65" w:rsidRPr="00302A65" w:rsidRDefault="000F15CC" w:rsidP="000F15CC">
      <w:pPr>
        <w:pStyle w:val="JudgmentText"/>
        <w:numPr>
          <w:ilvl w:val="0"/>
          <w:numId w:val="0"/>
        </w:numPr>
        <w:ind w:left="720" w:hanging="720"/>
        <w:rPr>
          <w:i/>
        </w:rPr>
      </w:pPr>
      <w:r w:rsidRPr="00302A65">
        <w:t>[5]</w:t>
      </w:r>
      <w:r w:rsidRPr="00302A65">
        <w:tab/>
      </w:r>
      <w:r w:rsidR="00302A65" w:rsidRPr="00302A65">
        <w:t>There is no written agreement</w:t>
      </w:r>
      <w:r w:rsidR="00F566F3">
        <w:t xml:space="preserve"> to support her claim except for the recording of electronic conversations on which she is relying.</w:t>
      </w:r>
    </w:p>
    <w:p w:rsidR="00302A65" w:rsidRPr="00302A65" w:rsidRDefault="000F15CC" w:rsidP="000F15CC">
      <w:pPr>
        <w:pStyle w:val="JudgmentText"/>
        <w:numPr>
          <w:ilvl w:val="0"/>
          <w:numId w:val="0"/>
        </w:numPr>
        <w:ind w:left="720" w:hanging="720"/>
        <w:rPr>
          <w:i/>
        </w:rPr>
      </w:pPr>
      <w:r w:rsidRPr="00302A65">
        <w:t>[6]</w:t>
      </w:r>
      <w:r w:rsidRPr="00302A65">
        <w:tab/>
      </w:r>
      <w:r w:rsidR="00302A65" w:rsidRPr="00302A65">
        <w:t xml:space="preserve">The </w:t>
      </w:r>
      <w:r w:rsidR="00302A65">
        <w:t>Defendant</w:t>
      </w:r>
      <w:r w:rsidR="00302A65" w:rsidRPr="00302A65">
        <w:t xml:space="preserve"> has raised the following objections in </w:t>
      </w:r>
      <w:proofErr w:type="spellStart"/>
      <w:r w:rsidR="00302A65" w:rsidRPr="00302A65">
        <w:t>limine</w:t>
      </w:r>
      <w:proofErr w:type="spellEnd"/>
      <w:r w:rsidR="00302A65" w:rsidRPr="00302A65">
        <w:t xml:space="preserve"> based on article 1341.</w:t>
      </w:r>
    </w:p>
    <w:p w:rsidR="00302A65" w:rsidRPr="000F15CC" w:rsidRDefault="000F15CC" w:rsidP="000F15CC">
      <w:pPr>
        <w:widowControl/>
        <w:autoSpaceDE/>
        <w:autoSpaceDN/>
        <w:adjustRightInd/>
        <w:spacing w:after="100" w:afterAutospacing="1" w:line="360" w:lineRule="auto"/>
        <w:ind w:left="720" w:hanging="360"/>
        <w:jc w:val="both"/>
        <w:rPr>
          <w:b/>
          <w:i/>
          <w:sz w:val="24"/>
          <w:szCs w:val="24"/>
        </w:rPr>
      </w:pPr>
      <w:r w:rsidRPr="00302A65">
        <w:rPr>
          <w:rFonts w:eastAsia="Times New Roman"/>
          <w:b/>
          <w:i/>
          <w:sz w:val="24"/>
          <w:szCs w:val="24"/>
        </w:rPr>
        <w:t>1.</w:t>
      </w:r>
      <w:r w:rsidRPr="00302A65">
        <w:rPr>
          <w:rFonts w:eastAsia="Times New Roman"/>
          <w:b/>
          <w:i/>
          <w:sz w:val="24"/>
          <w:szCs w:val="24"/>
        </w:rPr>
        <w:tab/>
      </w:r>
      <w:r w:rsidR="00302A65" w:rsidRPr="000F15CC">
        <w:rPr>
          <w:b/>
          <w:i/>
          <w:sz w:val="24"/>
          <w:szCs w:val="24"/>
        </w:rPr>
        <w:t>The Plaintiff cannot give oral evidence to prove a matter the value of which exceeds SR 5000.00 without a document drawn up by a notary or under private signature.</w:t>
      </w:r>
    </w:p>
    <w:p w:rsidR="00302A65" w:rsidRPr="00302A65" w:rsidRDefault="000F15CC" w:rsidP="000F15CC">
      <w:pPr>
        <w:pStyle w:val="JudgmentText"/>
        <w:numPr>
          <w:ilvl w:val="0"/>
          <w:numId w:val="0"/>
        </w:numPr>
        <w:ind w:left="720" w:hanging="720"/>
        <w:rPr>
          <w:i/>
        </w:rPr>
      </w:pPr>
      <w:r w:rsidRPr="00302A65">
        <w:t>[7]</w:t>
      </w:r>
      <w:r w:rsidRPr="00302A65">
        <w:tab/>
      </w:r>
      <w:r w:rsidR="00302A65" w:rsidRPr="00302A65">
        <w:t>Section 1341 reads as follows:</w:t>
      </w:r>
    </w:p>
    <w:p w:rsidR="00302A65" w:rsidRPr="00302A65" w:rsidRDefault="00302A65" w:rsidP="00302A65">
      <w:pPr>
        <w:pStyle w:val="JudgmentText"/>
        <w:numPr>
          <w:ilvl w:val="0"/>
          <w:numId w:val="0"/>
        </w:numPr>
        <w:spacing w:after="100" w:afterAutospacing="1"/>
        <w:ind w:left="810"/>
        <w:rPr>
          <w:i/>
        </w:rPr>
      </w:pPr>
      <w:r w:rsidRPr="00302A65">
        <w:rPr>
          <w:i/>
        </w:rPr>
        <w:t>Any matter the value of which exceeds 5000 rupees shall require a document drawn up by a notary or under private signature, even for a voluntary deposit, and no oral evidence shall be admissible against and beyond such document nor in respect of what is alleged to have been said prior to or at or since the time when such document nor in respect of what is alleged to have been said prior to or at or since the time when such document was drawn up, even if the matter relates to a sum of less than 5000 rupees.</w:t>
      </w:r>
    </w:p>
    <w:p w:rsidR="00302A65" w:rsidRPr="00302A65" w:rsidRDefault="000F15CC" w:rsidP="000F15CC">
      <w:pPr>
        <w:pStyle w:val="JudgmentText"/>
        <w:numPr>
          <w:ilvl w:val="0"/>
          <w:numId w:val="0"/>
        </w:numPr>
        <w:spacing w:after="100" w:afterAutospacing="1"/>
        <w:ind w:left="810" w:hanging="720"/>
      </w:pPr>
      <w:r w:rsidRPr="00302A65">
        <w:t>[8]</w:t>
      </w:r>
      <w:r w:rsidRPr="00302A65">
        <w:tab/>
      </w:r>
      <w:r w:rsidR="00302A65" w:rsidRPr="00302A65">
        <w:t xml:space="preserve">Learned Counsel for the </w:t>
      </w:r>
      <w:r w:rsidR="00302A65">
        <w:t>Defendant</w:t>
      </w:r>
      <w:r w:rsidR="00302A65" w:rsidRPr="00302A65">
        <w:t xml:space="preserve"> has also referred the court to the exceptions under section 1347, which reads as follows:</w:t>
      </w:r>
    </w:p>
    <w:p w:rsidR="00302A65" w:rsidRPr="00302A65" w:rsidRDefault="00302A65" w:rsidP="00302A65">
      <w:pPr>
        <w:pStyle w:val="JudgmentText"/>
        <w:numPr>
          <w:ilvl w:val="0"/>
          <w:numId w:val="0"/>
        </w:numPr>
        <w:spacing w:after="100" w:afterAutospacing="1"/>
        <w:ind w:left="810"/>
        <w:rPr>
          <w:i/>
        </w:rPr>
      </w:pPr>
      <w:r w:rsidRPr="00302A65">
        <w:rPr>
          <w:i/>
        </w:rPr>
        <w:t>The aforementioned section shall not apply if there is writing providing initial proof.</w:t>
      </w:r>
    </w:p>
    <w:p w:rsidR="00302A65" w:rsidRPr="00302A65" w:rsidRDefault="00302A65" w:rsidP="00302A65">
      <w:pPr>
        <w:pStyle w:val="JudgmentText"/>
        <w:numPr>
          <w:ilvl w:val="0"/>
          <w:numId w:val="0"/>
        </w:numPr>
        <w:spacing w:after="100" w:afterAutospacing="1"/>
        <w:ind w:left="810"/>
        <w:rPr>
          <w:i/>
        </w:rPr>
      </w:pPr>
      <w:r w:rsidRPr="00302A65">
        <w:rPr>
          <w:i/>
        </w:rPr>
        <w:t>This term describes everything which emanates from a person against whom the claim is made or from a person whom he represents and which renders the facts allegedly likely.</w:t>
      </w:r>
    </w:p>
    <w:p w:rsidR="00302A65" w:rsidRPr="00302A65" w:rsidRDefault="000F15CC" w:rsidP="000F15CC">
      <w:pPr>
        <w:pStyle w:val="JudgmentText"/>
        <w:numPr>
          <w:ilvl w:val="0"/>
          <w:numId w:val="0"/>
        </w:numPr>
        <w:ind w:left="720" w:hanging="720"/>
        <w:rPr>
          <w:i/>
        </w:rPr>
      </w:pPr>
      <w:r w:rsidRPr="00302A65">
        <w:t>[9]</w:t>
      </w:r>
      <w:r w:rsidRPr="00302A65">
        <w:tab/>
      </w:r>
      <w:r w:rsidR="00302A65" w:rsidRPr="00302A65">
        <w:t>It is not disputed that the value exceeds 5000 rupees.</w:t>
      </w:r>
    </w:p>
    <w:p w:rsidR="00302A65" w:rsidRPr="00302A65" w:rsidRDefault="000F15CC" w:rsidP="000F15CC">
      <w:pPr>
        <w:pStyle w:val="JudgmentText"/>
        <w:numPr>
          <w:ilvl w:val="0"/>
          <w:numId w:val="0"/>
        </w:numPr>
        <w:ind w:left="720" w:hanging="720"/>
        <w:rPr>
          <w:i/>
        </w:rPr>
      </w:pPr>
      <w:r w:rsidRPr="00302A65">
        <w:t>[10]</w:t>
      </w:r>
      <w:r w:rsidRPr="00302A65">
        <w:tab/>
      </w:r>
      <w:r w:rsidR="00302A65" w:rsidRPr="00302A65">
        <w:t xml:space="preserve">Learned counsel forcefully argued that the </w:t>
      </w:r>
      <w:r w:rsidR="00302A65">
        <w:t>Plaintiff</w:t>
      </w:r>
      <w:r w:rsidR="00302A65" w:rsidRPr="00302A65">
        <w:t xml:space="preserve"> cannot proceed with her claim as it is above </w:t>
      </w:r>
      <w:proofErr w:type="spellStart"/>
      <w:r w:rsidR="00302A65" w:rsidRPr="00302A65">
        <w:t>Rs</w:t>
      </w:r>
      <w:proofErr w:type="spellEnd"/>
      <w:r w:rsidR="00C67859">
        <w:t xml:space="preserve"> </w:t>
      </w:r>
      <w:r w:rsidR="00302A65" w:rsidRPr="00302A65">
        <w:t>5000.00.</w:t>
      </w:r>
    </w:p>
    <w:p w:rsidR="00302A65" w:rsidRPr="00302A65" w:rsidRDefault="000F15CC" w:rsidP="000F15CC">
      <w:pPr>
        <w:pStyle w:val="JudgmentText"/>
        <w:numPr>
          <w:ilvl w:val="0"/>
          <w:numId w:val="0"/>
        </w:numPr>
        <w:ind w:left="720" w:hanging="720"/>
        <w:rPr>
          <w:i/>
        </w:rPr>
      </w:pPr>
      <w:r w:rsidRPr="00302A65">
        <w:lastRenderedPageBreak/>
        <w:t>[11]</w:t>
      </w:r>
      <w:r w:rsidRPr="00302A65">
        <w:tab/>
      </w:r>
      <w:r w:rsidR="00302A65" w:rsidRPr="00302A65">
        <w:t xml:space="preserve">As the </w:t>
      </w:r>
      <w:r w:rsidR="00302A65">
        <w:t>Plaintiff</w:t>
      </w:r>
      <w:r w:rsidR="00302A65" w:rsidRPr="00302A65">
        <w:t xml:space="preserve"> is relying on</w:t>
      </w:r>
      <w:r w:rsidR="00C67859">
        <w:t xml:space="preserve"> the reproduction of </w:t>
      </w:r>
      <w:proofErr w:type="gramStart"/>
      <w:r w:rsidR="00C67859">
        <w:t xml:space="preserve">an </w:t>
      </w:r>
      <w:r w:rsidR="00302A65" w:rsidRPr="00302A65">
        <w:t xml:space="preserve"> electronic</w:t>
      </w:r>
      <w:proofErr w:type="gramEnd"/>
      <w:r w:rsidR="00302A65" w:rsidRPr="00302A65">
        <w:t xml:space="preserve"> </w:t>
      </w:r>
      <w:r w:rsidR="00C67859">
        <w:t xml:space="preserve">material </w:t>
      </w:r>
      <w:r w:rsidR="00302A65" w:rsidRPr="00302A65">
        <w:t xml:space="preserve"> Learned counsel has in his submission invoked section 15 of the Evidence Act and which reads as follows:</w:t>
      </w:r>
    </w:p>
    <w:p w:rsidR="00302A65" w:rsidRPr="00C67859" w:rsidRDefault="00302A65" w:rsidP="00302A65">
      <w:pPr>
        <w:pStyle w:val="JudgmentText"/>
        <w:numPr>
          <w:ilvl w:val="0"/>
          <w:numId w:val="0"/>
        </w:numPr>
        <w:ind w:left="720"/>
        <w:rPr>
          <w:i/>
        </w:rPr>
      </w:pPr>
      <w:r w:rsidRPr="00C67859">
        <w:rPr>
          <w:i/>
        </w:rPr>
        <w:t>Section 15: Documentary evidence from computer records.</w:t>
      </w:r>
    </w:p>
    <w:p w:rsidR="00302A65" w:rsidRPr="00C67859" w:rsidRDefault="00302A65" w:rsidP="00302A65">
      <w:pPr>
        <w:pStyle w:val="JudgmentText"/>
        <w:numPr>
          <w:ilvl w:val="0"/>
          <w:numId w:val="0"/>
        </w:numPr>
        <w:ind w:left="720"/>
        <w:rPr>
          <w:i/>
        </w:rPr>
      </w:pPr>
      <w:r w:rsidRPr="00C67859">
        <w:rPr>
          <w:i/>
        </w:rPr>
        <w:t>15 (1) In any trial, a statement contained in a document produced by a computer shall be admitted as evidence of any fact therein of which direct oral evidence would be admissible, if it is shown that</w:t>
      </w:r>
    </w:p>
    <w:p w:rsidR="00302A65" w:rsidRPr="000F15CC" w:rsidRDefault="000F15CC" w:rsidP="000F15CC">
      <w:pPr>
        <w:widowControl/>
        <w:autoSpaceDE/>
        <w:autoSpaceDN/>
        <w:adjustRightInd/>
        <w:spacing w:after="100" w:afterAutospacing="1" w:line="360" w:lineRule="auto"/>
        <w:ind w:left="720" w:hanging="360"/>
        <w:jc w:val="both"/>
        <w:rPr>
          <w:i/>
          <w:sz w:val="24"/>
          <w:szCs w:val="24"/>
        </w:rPr>
      </w:pPr>
      <w:r w:rsidRPr="00C67859">
        <w:rPr>
          <w:rFonts w:eastAsia="Times New Roman"/>
          <w:i/>
          <w:sz w:val="24"/>
          <w:szCs w:val="24"/>
        </w:rPr>
        <w:t>(a)</w:t>
      </w:r>
      <w:r w:rsidRPr="00C67859">
        <w:rPr>
          <w:rFonts w:eastAsia="Times New Roman"/>
          <w:i/>
          <w:sz w:val="24"/>
          <w:szCs w:val="24"/>
        </w:rPr>
        <w:tab/>
      </w:r>
      <w:r w:rsidR="00302A65" w:rsidRPr="000F15CC">
        <w:rPr>
          <w:i/>
          <w:sz w:val="24"/>
          <w:szCs w:val="24"/>
        </w:rPr>
        <w:t xml:space="preserve">The computer was used to store, process or retrieve information for the purposes of any activities carried on by </w:t>
      </w:r>
      <w:proofErr w:type="spellStart"/>
      <w:r w:rsidR="00302A65" w:rsidRPr="000F15CC">
        <w:rPr>
          <w:i/>
          <w:sz w:val="24"/>
          <w:szCs w:val="24"/>
        </w:rPr>
        <w:t>any body</w:t>
      </w:r>
      <w:proofErr w:type="spellEnd"/>
      <w:r w:rsidR="00302A65" w:rsidRPr="000F15CC">
        <w:rPr>
          <w:i/>
          <w:sz w:val="24"/>
          <w:szCs w:val="24"/>
        </w:rPr>
        <w:t xml:space="preserve"> or person;</w:t>
      </w:r>
    </w:p>
    <w:p w:rsidR="00302A65" w:rsidRPr="000F15CC" w:rsidRDefault="000F15CC" w:rsidP="000F15CC">
      <w:pPr>
        <w:widowControl/>
        <w:autoSpaceDE/>
        <w:autoSpaceDN/>
        <w:adjustRightInd/>
        <w:spacing w:after="100" w:afterAutospacing="1" w:line="360" w:lineRule="auto"/>
        <w:ind w:left="720" w:hanging="360"/>
        <w:jc w:val="both"/>
        <w:rPr>
          <w:i/>
          <w:sz w:val="24"/>
          <w:szCs w:val="24"/>
        </w:rPr>
      </w:pPr>
      <w:r w:rsidRPr="00C67859">
        <w:rPr>
          <w:rFonts w:eastAsia="Times New Roman"/>
          <w:i/>
          <w:sz w:val="24"/>
          <w:szCs w:val="24"/>
        </w:rPr>
        <w:t>(b)</w:t>
      </w:r>
      <w:r w:rsidRPr="00C67859">
        <w:rPr>
          <w:rFonts w:eastAsia="Times New Roman"/>
          <w:i/>
          <w:sz w:val="24"/>
          <w:szCs w:val="24"/>
        </w:rPr>
        <w:tab/>
      </w:r>
      <w:r w:rsidR="00302A65" w:rsidRPr="000F15CC">
        <w:rPr>
          <w:i/>
          <w:sz w:val="24"/>
          <w:szCs w:val="24"/>
        </w:rPr>
        <w:t xml:space="preserve">The information contained in the statement reproduces or is derived from information supplied to the computer in the course of these activities; and </w:t>
      </w:r>
    </w:p>
    <w:p w:rsidR="00302A65" w:rsidRPr="000F15CC" w:rsidRDefault="000F15CC" w:rsidP="000F15CC">
      <w:pPr>
        <w:widowControl/>
        <w:autoSpaceDE/>
        <w:autoSpaceDN/>
        <w:adjustRightInd/>
        <w:spacing w:after="100" w:afterAutospacing="1" w:line="360" w:lineRule="auto"/>
        <w:ind w:left="720" w:hanging="360"/>
        <w:jc w:val="both"/>
        <w:rPr>
          <w:i/>
          <w:sz w:val="24"/>
          <w:szCs w:val="24"/>
        </w:rPr>
      </w:pPr>
      <w:r w:rsidRPr="00C67859">
        <w:rPr>
          <w:rFonts w:eastAsia="Times New Roman"/>
          <w:i/>
          <w:sz w:val="24"/>
          <w:szCs w:val="24"/>
        </w:rPr>
        <w:t>(c)</w:t>
      </w:r>
      <w:r w:rsidRPr="00C67859">
        <w:rPr>
          <w:rFonts w:eastAsia="Times New Roman"/>
          <w:i/>
          <w:sz w:val="24"/>
          <w:szCs w:val="24"/>
        </w:rPr>
        <w:tab/>
      </w:r>
      <w:r w:rsidR="00302A65" w:rsidRPr="000F15CC">
        <w:rPr>
          <w:i/>
          <w:sz w:val="24"/>
          <w:szCs w:val="24"/>
        </w:rPr>
        <w:t>While the computer is also used in the course of those activities</w:t>
      </w:r>
    </w:p>
    <w:p w:rsidR="00302A65" w:rsidRPr="00C67859" w:rsidRDefault="00302A65" w:rsidP="00302A65">
      <w:pPr>
        <w:pStyle w:val="ListParagraph"/>
        <w:spacing w:after="100" w:afterAutospacing="1" w:line="360" w:lineRule="auto"/>
        <w:jc w:val="both"/>
        <w:rPr>
          <w:i/>
          <w:sz w:val="24"/>
          <w:szCs w:val="24"/>
        </w:rPr>
      </w:pPr>
    </w:p>
    <w:p w:rsidR="00302A65" w:rsidRPr="000F15CC" w:rsidRDefault="000F15CC" w:rsidP="000F15CC">
      <w:pPr>
        <w:widowControl/>
        <w:autoSpaceDE/>
        <w:autoSpaceDN/>
        <w:adjustRightInd/>
        <w:spacing w:after="100" w:afterAutospacing="1" w:line="360" w:lineRule="auto"/>
        <w:ind w:left="1440" w:hanging="720"/>
        <w:jc w:val="both"/>
        <w:rPr>
          <w:i/>
          <w:sz w:val="24"/>
          <w:szCs w:val="24"/>
        </w:rPr>
      </w:pPr>
      <w:r w:rsidRPr="00C67859">
        <w:rPr>
          <w:rFonts w:eastAsia="Times New Roman"/>
          <w:i/>
          <w:sz w:val="24"/>
          <w:szCs w:val="24"/>
        </w:rPr>
        <w:t>(</w:t>
      </w:r>
      <w:proofErr w:type="spellStart"/>
      <w:r w:rsidRPr="00C67859">
        <w:rPr>
          <w:rFonts w:eastAsia="Times New Roman"/>
          <w:i/>
          <w:sz w:val="24"/>
          <w:szCs w:val="24"/>
        </w:rPr>
        <w:t>i</w:t>
      </w:r>
      <w:proofErr w:type="spellEnd"/>
      <w:r w:rsidRPr="00C67859">
        <w:rPr>
          <w:rFonts w:eastAsia="Times New Roman"/>
          <w:i/>
          <w:sz w:val="24"/>
          <w:szCs w:val="24"/>
        </w:rPr>
        <w:t>)</w:t>
      </w:r>
      <w:r w:rsidRPr="00C67859">
        <w:rPr>
          <w:rFonts w:eastAsia="Times New Roman"/>
          <w:i/>
          <w:sz w:val="24"/>
          <w:szCs w:val="24"/>
        </w:rPr>
        <w:tab/>
      </w:r>
      <w:r w:rsidR="00302A65" w:rsidRPr="000F15CC">
        <w:rPr>
          <w:i/>
          <w:sz w:val="24"/>
          <w:szCs w:val="24"/>
        </w:rPr>
        <w:t>Appropriate measure were in force for preventing unauthorized interference with the computer; and</w:t>
      </w:r>
    </w:p>
    <w:p w:rsidR="00302A65" w:rsidRPr="000F15CC" w:rsidRDefault="000F15CC" w:rsidP="000F15CC">
      <w:pPr>
        <w:widowControl/>
        <w:autoSpaceDE/>
        <w:autoSpaceDN/>
        <w:adjustRightInd/>
        <w:spacing w:after="100" w:afterAutospacing="1" w:line="360" w:lineRule="auto"/>
        <w:ind w:left="1440" w:hanging="720"/>
        <w:jc w:val="both"/>
        <w:rPr>
          <w:sz w:val="24"/>
          <w:szCs w:val="24"/>
        </w:rPr>
      </w:pPr>
      <w:r w:rsidRPr="00302A65">
        <w:rPr>
          <w:rFonts w:eastAsia="Times New Roman"/>
          <w:sz w:val="24"/>
          <w:szCs w:val="24"/>
        </w:rPr>
        <w:t>(ii)</w:t>
      </w:r>
      <w:r w:rsidRPr="00302A65">
        <w:rPr>
          <w:rFonts w:eastAsia="Times New Roman"/>
          <w:sz w:val="24"/>
          <w:szCs w:val="24"/>
        </w:rPr>
        <w:tab/>
      </w:r>
      <w:r w:rsidR="00302A65" w:rsidRPr="000F15CC">
        <w:rPr>
          <w:i/>
          <w:sz w:val="24"/>
          <w:szCs w:val="24"/>
        </w:rPr>
        <w:t>The computer was operating properly or, if not, that any respect in which it was not operating properly or was out of operation, was not such as to affect the production of the document or the accuracy of its contents.</w:t>
      </w:r>
    </w:p>
    <w:p w:rsidR="00302A65" w:rsidRPr="00302A65" w:rsidRDefault="000F15CC" w:rsidP="000F15CC">
      <w:pPr>
        <w:pStyle w:val="JudgmentText"/>
        <w:numPr>
          <w:ilvl w:val="0"/>
          <w:numId w:val="0"/>
        </w:numPr>
        <w:ind w:left="720" w:hanging="720"/>
        <w:rPr>
          <w:i/>
        </w:rPr>
      </w:pPr>
      <w:r w:rsidRPr="00302A65">
        <w:t>[12]</w:t>
      </w:r>
      <w:r w:rsidRPr="00302A65">
        <w:tab/>
      </w:r>
      <w:r w:rsidR="00302A65" w:rsidRPr="00302A65">
        <w:t xml:space="preserve">Learned counsel for the </w:t>
      </w:r>
      <w:r w:rsidR="00302A65">
        <w:t>Defendant</w:t>
      </w:r>
      <w:r w:rsidR="00C67859">
        <w:t xml:space="preserve"> has stressed that h</w:t>
      </w:r>
      <w:r w:rsidR="00302A65" w:rsidRPr="00302A65">
        <w:t>is ob</w:t>
      </w:r>
      <w:r w:rsidR="00C67859">
        <w:t>j</w:t>
      </w:r>
      <w:r w:rsidR="00302A65" w:rsidRPr="00302A65">
        <w:t xml:space="preserve">ection was </w:t>
      </w:r>
      <w:r w:rsidR="00C67859">
        <w:t xml:space="preserve">spontaneous or timely, </w:t>
      </w:r>
      <w:r w:rsidR="00302A65" w:rsidRPr="00302A65">
        <w:t xml:space="preserve">just at the right time, that </w:t>
      </w:r>
      <w:proofErr w:type="gramStart"/>
      <w:r w:rsidR="00302A65" w:rsidRPr="00302A65">
        <w:t>is ,</w:t>
      </w:r>
      <w:proofErr w:type="gramEnd"/>
      <w:r w:rsidR="00302A65" w:rsidRPr="00302A65">
        <w:t xml:space="preserve"> it was made as soon as the </w:t>
      </w:r>
      <w:r w:rsidR="00302A65">
        <w:t>Plaintiff</w:t>
      </w:r>
      <w:r w:rsidR="00302A65" w:rsidRPr="00302A65">
        <w:t xml:space="preserve">  showed that she was relying on oral evidence. </w:t>
      </w:r>
    </w:p>
    <w:p w:rsidR="00302A65" w:rsidRPr="00302A65" w:rsidRDefault="000F15CC" w:rsidP="000F15CC">
      <w:pPr>
        <w:pStyle w:val="JudgmentText"/>
        <w:numPr>
          <w:ilvl w:val="0"/>
          <w:numId w:val="0"/>
        </w:numPr>
        <w:ind w:left="720" w:hanging="720"/>
        <w:rPr>
          <w:i/>
        </w:rPr>
      </w:pPr>
      <w:r w:rsidRPr="00302A65">
        <w:t>[13]</w:t>
      </w:r>
      <w:r w:rsidRPr="00302A65">
        <w:tab/>
      </w:r>
      <w:proofErr w:type="gramStart"/>
      <w:r w:rsidR="00302A65" w:rsidRPr="00302A65">
        <w:t>He  also</w:t>
      </w:r>
      <w:proofErr w:type="gramEnd"/>
      <w:r w:rsidR="00302A65" w:rsidRPr="00302A65">
        <w:t xml:space="preserve"> submitted that the </w:t>
      </w:r>
      <w:r w:rsidR="00302A65">
        <w:t>Defendant</w:t>
      </w:r>
      <w:r w:rsidR="00302A65" w:rsidRPr="00302A65">
        <w:t xml:space="preserve"> had never texted to the </w:t>
      </w:r>
      <w:r w:rsidR="00302A65">
        <w:t>Plaintiff</w:t>
      </w:r>
      <w:r w:rsidR="00302A65" w:rsidRPr="00302A65">
        <w:t xml:space="preserve">  to accepting that there was a debt and therefore there was no writing emanating from him as such. He further referred to the conditions that must be fulfilled in regard to hearsay evidence in accord with the Civil Evidence Act 1995.</w:t>
      </w:r>
    </w:p>
    <w:p w:rsidR="00302A65" w:rsidRPr="00C67859" w:rsidRDefault="000F15CC" w:rsidP="000F15CC">
      <w:pPr>
        <w:pStyle w:val="JudgmentText"/>
        <w:numPr>
          <w:ilvl w:val="0"/>
          <w:numId w:val="0"/>
        </w:numPr>
        <w:ind w:left="720" w:hanging="720"/>
        <w:rPr>
          <w:i/>
        </w:rPr>
      </w:pPr>
      <w:r w:rsidRPr="00C67859">
        <w:t>[14]</w:t>
      </w:r>
      <w:r w:rsidRPr="00C67859">
        <w:tab/>
      </w:r>
      <w:r w:rsidR="00302A65" w:rsidRPr="00302A65">
        <w:t xml:space="preserve">Learned Counsel for the </w:t>
      </w:r>
      <w:r w:rsidR="00302A65">
        <w:t>Plaintiff</w:t>
      </w:r>
      <w:r w:rsidR="00302A65" w:rsidRPr="00302A65">
        <w:t xml:space="preserve"> submitted that he has sufficiently made it clear </w:t>
      </w:r>
      <w:r w:rsidR="00C67859">
        <w:t xml:space="preserve">that </w:t>
      </w:r>
      <w:proofErr w:type="gramStart"/>
      <w:r w:rsidR="00C67859">
        <w:t xml:space="preserve">on </w:t>
      </w:r>
      <w:r w:rsidR="00302A65" w:rsidRPr="00302A65">
        <w:t xml:space="preserve"> the</w:t>
      </w:r>
      <w:proofErr w:type="gramEnd"/>
      <w:r w:rsidR="00302A65" w:rsidRPr="00302A65">
        <w:t xml:space="preserve"> list of documents upon which he is relying includes CD recording of agreement inter </w:t>
      </w:r>
      <w:proofErr w:type="spellStart"/>
      <w:r w:rsidR="00302A65" w:rsidRPr="00302A65">
        <w:t>partes</w:t>
      </w:r>
      <w:proofErr w:type="spellEnd"/>
      <w:r w:rsidR="00302A65" w:rsidRPr="00302A65">
        <w:t xml:space="preserve">; that he had attached the list to his plaint and indeed in the answer to request for further and better particulars, dated 10 September 2017, </w:t>
      </w:r>
      <w:r w:rsidR="00C67859">
        <w:t xml:space="preserve">or para </w:t>
      </w:r>
      <w:r w:rsidR="00302A65" w:rsidRPr="00302A65">
        <w:t xml:space="preserve"> item 10 it reads</w:t>
      </w:r>
      <w:r w:rsidR="00302A65" w:rsidRPr="00C67859">
        <w:rPr>
          <w:i/>
        </w:rPr>
        <w:t>: Verbal agreement. Recordings. Supporting documents.</w:t>
      </w:r>
    </w:p>
    <w:p w:rsidR="00302A65" w:rsidRPr="00302A65" w:rsidRDefault="000F15CC" w:rsidP="000F15CC">
      <w:pPr>
        <w:pStyle w:val="JudgmentText"/>
        <w:numPr>
          <w:ilvl w:val="0"/>
          <w:numId w:val="0"/>
        </w:numPr>
        <w:ind w:left="720" w:hanging="720"/>
        <w:rPr>
          <w:i/>
        </w:rPr>
      </w:pPr>
      <w:r w:rsidRPr="00302A65">
        <w:t>[15]</w:t>
      </w:r>
      <w:r w:rsidRPr="00302A65">
        <w:tab/>
      </w:r>
      <w:r w:rsidR="00302A65" w:rsidRPr="00302A65">
        <w:t xml:space="preserve">He has submitted that he has nearly 20 pages of text recording that could be backed by CD and downloaded from a </w:t>
      </w:r>
      <w:proofErr w:type="spellStart"/>
      <w:r w:rsidR="00302A65" w:rsidRPr="00302A65">
        <w:t>pendrive</w:t>
      </w:r>
      <w:proofErr w:type="spellEnd"/>
      <w:r w:rsidR="00302A65" w:rsidRPr="00302A65">
        <w:t>.</w:t>
      </w:r>
      <w:r w:rsidR="00302A65">
        <w:t xml:space="preserve"> </w:t>
      </w:r>
      <w:r w:rsidR="00302A65" w:rsidRPr="00302A65">
        <w:t>He submitted that all that can be viewed on a computer and can also be printed.</w:t>
      </w:r>
    </w:p>
    <w:p w:rsidR="00302A65" w:rsidRPr="00302A65" w:rsidRDefault="000F15CC" w:rsidP="000F15CC">
      <w:pPr>
        <w:pStyle w:val="JudgmentText"/>
        <w:numPr>
          <w:ilvl w:val="0"/>
          <w:numId w:val="0"/>
        </w:numPr>
        <w:ind w:left="720" w:hanging="720"/>
        <w:rPr>
          <w:i/>
        </w:rPr>
      </w:pPr>
      <w:r w:rsidRPr="00302A65">
        <w:t>[16]</w:t>
      </w:r>
      <w:r w:rsidRPr="00302A65">
        <w:tab/>
      </w:r>
      <w:r w:rsidR="00302A65" w:rsidRPr="00302A65">
        <w:t xml:space="preserve">The question to de be determined by this court is whether the recordings and information on the CD and the </w:t>
      </w:r>
      <w:proofErr w:type="spellStart"/>
      <w:r w:rsidR="00302A65" w:rsidRPr="00302A65">
        <w:t>pendrive</w:t>
      </w:r>
      <w:proofErr w:type="spellEnd"/>
      <w:r w:rsidR="00302A65" w:rsidRPr="00302A65">
        <w:t>, capable of being printed, amounts to a beginning of proof in writing.</w:t>
      </w:r>
    </w:p>
    <w:p w:rsidR="00302A65" w:rsidRPr="00302A65" w:rsidRDefault="000F15CC" w:rsidP="000F15CC">
      <w:pPr>
        <w:pStyle w:val="JudgmentText"/>
        <w:numPr>
          <w:ilvl w:val="0"/>
          <w:numId w:val="0"/>
        </w:numPr>
        <w:ind w:left="720" w:hanging="720"/>
        <w:rPr>
          <w:i/>
        </w:rPr>
      </w:pPr>
      <w:r w:rsidRPr="00302A65">
        <w:t>[17]</w:t>
      </w:r>
      <w:r w:rsidRPr="00302A65">
        <w:tab/>
      </w:r>
      <w:r w:rsidR="00302A65" w:rsidRPr="00302A65">
        <w:t xml:space="preserve">The Electronic Transactions Act for example has given a wide definition </w:t>
      </w:r>
      <w:r w:rsidR="00302A65" w:rsidRPr="00302A65">
        <w:rPr>
          <w:i/>
        </w:rPr>
        <w:t>for electronic record</w:t>
      </w:r>
      <w:r w:rsidR="00302A65" w:rsidRPr="00302A65">
        <w:t xml:space="preserve"> which means data, text, images, sound, codes and databases; </w:t>
      </w:r>
    </w:p>
    <w:p w:rsidR="00302A65" w:rsidRPr="00302A65" w:rsidRDefault="00302A65" w:rsidP="00302A65">
      <w:pPr>
        <w:spacing w:after="100" w:afterAutospacing="1" w:line="360" w:lineRule="auto"/>
        <w:ind w:left="720" w:firstLine="60"/>
        <w:jc w:val="both"/>
        <w:rPr>
          <w:sz w:val="24"/>
          <w:szCs w:val="24"/>
        </w:rPr>
      </w:pPr>
      <w:r w:rsidRPr="00302A65">
        <w:rPr>
          <w:sz w:val="24"/>
          <w:szCs w:val="24"/>
        </w:rPr>
        <w:t>Reference has been made by both counsel to Section 15 of the Evidence Act above. I find it very instructive to refer to the definition of document under that section in the interpretation section.</w:t>
      </w:r>
    </w:p>
    <w:p w:rsidR="00302A65" w:rsidRPr="00302A65" w:rsidRDefault="000F15CC" w:rsidP="000F15CC">
      <w:pPr>
        <w:pStyle w:val="JudgmentText"/>
        <w:numPr>
          <w:ilvl w:val="0"/>
          <w:numId w:val="0"/>
        </w:numPr>
        <w:ind w:left="720" w:hanging="720"/>
        <w:rPr>
          <w:i/>
        </w:rPr>
      </w:pPr>
      <w:r w:rsidRPr="00302A65">
        <w:t>[18]</w:t>
      </w:r>
      <w:r w:rsidRPr="00302A65">
        <w:tab/>
      </w:r>
      <w:r w:rsidR="00302A65" w:rsidRPr="00302A65">
        <w:t xml:space="preserve">We must look at the meaning of the term </w:t>
      </w:r>
      <w:proofErr w:type="gramStart"/>
      <w:r w:rsidR="00302A65" w:rsidRPr="00302A65">
        <w:t>“ document</w:t>
      </w:r>
      <w:proofErr w:type="gramEnd"/>
      <w:r w:rsidR="00302A65" w:rsidRPr="00302A65">
        <w:t>”  as provided  in the interpretation section, which I reproduce here:  “document” includes</w:t>
      </w:r>
    </w:p>
    <w:p w:rsidR="00302A65" w:rsidRPr="000F15CC" w:rsidRDefault="000F15CC" w:rsidP="000F15CC">
      <w:pPr>
        <w:widowControl/>
        <w:autoSpaceDE/>
        <w:autoSpaceDN/>
        <w:adjustRightInd/>
        <w:spacing w:after="100" w:afterAutospacing="1" w:line="360" w:lineRule="auto"/>
        <w:ind w:left="1800" w:hanging="360"/>
        <w:jc w:val="both"/>
        <w:rPr>
          <w:sz w:val="24"/>
          <w:szCs w:val="24"/>
        </w:rPr>
      </w:pPr>
      <w:r w:rsidRPr="00302A65">
        <w:rPr>
          <w:rFonts w:eastAsia="Times New Roman"/>
          <w:sz w:val="24"/>
          <w:szCs w:val="24"/>
        </w:rPr>
        <w:t>(a)</w:t>
      </w:r>
      <w:r w:rsidRPr="00302A65">
        <w:rPr>
          <w:rFonts w:eastAsia="Times New Roman"/>
          <w:sz w:val="24"/>
          <w:szCs w:val="24"/>
        </w:rPr>
        <w:tab/>
      </w:r>
      <w:r w:rsidR="00302A65" w:rsidRPr="000F15CC">
        <w:rPr>
          <w:sz w:val="24"/>
          <w:szCs w:val="24"/>
        </w:rPr>
        <w:t>A map, plan, graph or drawing;</w:t>
      </w:r>
    </w:p>
    <w:p w:rsidR="00302A65" w:rsidRPr="000F15CC" w:rsidRDefault="000F15CC" w:rsidP="000F15CC">
      <w:pPr>
        <w:widowControl/>
        <w:autoSpaceDE/>
        <w:autoSpaceDN/>
        <w:adjustRightInd/>
        <w:spacing w:after="100" w:afterAutospacing="1" w:line="360" w:lineRule="auto"/>
        <w:ind w:left="1800" w:hanging="360"/>
        <w:jc w:val="both"/>
        <w:rPr>
          <w:sz w:val="24"/>
          <w:szCs w:val="24"/>
        </w:rPr>
      </w:pPr>
      <w:r w:rsidRPr="00302A65">
        <w:rPr>
          <w:rFonts w:eastAsia="Times New Roman"/>
          <w:sz w:val="24"/>
          <w:szCs w:val="24"/>
        </w:rPr>
        <w:t>(b)</w:t>
      </w:r>
      <w:r w:rsidRPr="00302A65">
        <w:rPr>
          <w:rFonts w:eastAsia="Times New Roman"/>
          <w:sz w:val="24"/>
          <w:szCs w:val="24"/>
        </w:rPr>
        <w:tab/>
      </w:r>
      <w:r w:rsidR="00302A65" w:rsidRPr="000F15CC">
        <w:rPr>
          <w:sz w:val="24"/>
          <w:szCs w:val="24"/>
        </w:rPr>
        <w:t>A photograph</w:t>
      </w:r>
    </w:p>
    <w:p w:rsidR="00302A65" w:rsidRPr="000F15CC" w:rsidRDefault="000F15CC" w:rsidP="000F15CC">
      <w:pPr>
        <w:widowControl/>
        <w:autoSpaceDE/>
        <w:autoSpaceDN/>
        <w:adjustRightInd/>
        <w:spacing w:after="100" w:afterAutospacing="1" w:line="360" w:lineRule="auto"/>
        <w:ind w:left="1800" w:hanging="360"/>
        <w:jc w:val="both"/>
        <w:rPr>
          <w:b/>
          <w:sz w:val="24"/>
          <w:szCs w:val="24"/>
        </w:rPr>
      </w:pPr>
      <w:r w:rsidRPr="00302A65">
        <w:rPr>
          <w:rFonts w:eastAsia="Times New Roman"/>
          <w:b/>
          <w:sz w:val="24"/>
          <w:szCs w:val="24"/>
        </w:rPr>
        <w:t>(c)</w:t>
      </w:r>
      <w:r w:rsidRPr="00302A65">
        <w:rPr>
          <w:rFonts w:eastAsia="Times New Roman"/>
          <w:b/>
          <w:sz w:val="24"/>
          <w:szCs w:val="24"/>
        </w:rPr>
        <w:tab/>
      </w:r>
      <w:r w:rsidR="00302A65" w:rsidRPr="000F15CC">
        <w:rPr>
          <w:b/>
          <w:sz w:val="24"/>
          <w:szCs w:val="24"/>
        </w:rPr>
        <w:t>A disc, tape, sound track or other device in which sounds or other data ( not being visual images) are embodied so as to be capable with or without the aid of some other equipment, of being reproduced therefrom; and</w:t>
      </w:r>
    </w:p>
    <w:p w:rsidR="00302A65" w:rsidRPr="00302A65" w:rsidRDefault="000F15CC" w:rsidP="000F15CC">
      <w:pPr>
        <w:pStyle w:val="JudgmentText"/>
        <w:numPr>
          <w:ilvl w:val="0"/>
          <w:numId w:val="0"/>
        </w:numPr>
        <w:ind w:left="720" w:hanging="720"/>
        <w:rPr>
          <w:i/>
        </w:rPr>
      </w:pPr>
      <w:r w:rsidRPr="00302A65">
        <w:t>[19]</w:t>
      </w:r>
      <w:r w:rsidRPr="00302A65">
        <w:tab/>
      </w:r>
      <w:r w:rsidR="00302A65" w:rsidRPr="00302A65">
        <w:t>An electric record, for example has been defined in the Electronic Transaction Act as</w:t>
      </w:r>
      <w:r w:rsidR="00302A65">
        <w:t xml:space="preserve"> </w:t>
      </w:r>
      <w:r w:rsidR="00302A65" w:rsidRPr="00302A65">
        <w:t>meaning data, record, data generated image, or sound store, received or sent in electronic form. Electronic form means any information generated, sent, sent received or stored, in any computer storage media such as magnetic,</w:t>
      </w:r>
      <w:r w:rsidR="00302A65">
        <w:t xml:space="preserve"> </w:t>
      </w:r>
      <w:r w:rsidR="00302A65" w:rsidRPr="00302A65">
        <w:t>optical, computer memory, or other similar devices.</w:t>
      </w:r>
    </w:p>
    <w:p w:rsidR="00302A65" w:rsidRPr="00302A65" w:rsidRDefault="000F15CC" w:rsidP="000F15CC">
      <w:pPr>
        <w:pStyle w:val="JudgmentText"/>
        <w:numPr>
          <w:ilvl w:val="0"/>
          <w:numId w:val="0"/>
        </w:numPr>
        <w:ind w:left="720" w:hanging="720"/>
        <w:rPr>
          <w:i/>
        </w:rPr>
      </w:pPr>
      <w:r w:rsidRPr="00302A65">
        <w:t>[20]</w:t>
      </w:r>
      <w:r w:rsidRPr="00302A65">
        <w:tab/>
      </w:r>
      <w:r w:rsidR="00302A65" w:rsidRPr="00302A65">
        <w:t>A reading of Article 1347 does refer to a wide meaning of writing; it refers to every writing. Certainly computer generated writing was not in existence. It is certain that in the early days it was the handwritten material that was before the court. And that constituted the writing, amounting to the beginning of proof in writing. But a time came when typewriters came into existence and the classical handwriting gave way to the typed material. And the courts had t</w:t>
      </w:r>
      <w:r w:rsidR="006814FF">
        <w:t>o give way and make room for tha</w:t>
      </w:r>
      <w:r w:rsidR="00302A65" w:rsidRPr="00302A65">
        <w:t xml:space="preserve">t innovation. The following passage is very instructive both from the point of view of the new material which was the </w:t>
      </w:r>
      <w:r w:rsidR="006814FF">
        <w:t>“</w:t>
      </w:r>
      <w:proofErr w:type="spellStart"/>
      <w:r w:rsidR="00302A65" w:rsidRPr="00302A65">
        <w:t>dactylographie</w:t>
      </w:r>
      <w:proofErr w:type="spellEnd"/>
      <w:r w:rsidR="006814FF">
        <w:t>”</w:t>
      </w:r>
      <w:r w:rsidR="00302A65" w:rsidRPr="00302A65">
        <w:t xml:space="preserve">, </w:t>
      </w:r>
      <w:proofErr w:type="gramStart"/>
      <w:r w:rsidR="00302A65" w:rsidRPr="00302A65">
        <w:t xml:space="preserve">which  </w:t>
      </w:r>
      <w:r w:rsidR="006814FF">
        <w:t>made</w:t>
      </w:r>
      <w:proofErr w:type="gramEnd"/>
      <w:r w:rsidR="006814FF">
        <w:t xml:space="preserve"> its entry in  the court and </w:t>
      </w:r>
      <w:r w:rsidR="00302A65" w:rsidRPr="00302A65">
        <w:t xml:space="preserve"> became established, and also the evidential requirement that it refers to. </w:t>
      </w:r>
    </w:p>
    <w:p w:rsidR="00302A65" w:rsidRPr="00302A65" w:rsidRDefault="00302A65" w:rsidP="00302A65">
      <w:pPr>
        <w:spacing w:after="100" w:afterAutospacing="1" w:line="360" w:lineRule="auto"/>
        <w:ind w:left="720" w:firstLine="60"/>
        <w:jc w:val="both"/>
        <w:rPr>
          <w:i/>
          <w:sz w:val="24"/>
          <w:szCs w:val="24"/>
        </w:rPr>
      </w:pPr>
      <w:proofErr w:type="spellStart"/>
      <w:r w:rsidRPr="00302A65">
        <w:rPr>
          <w:i/>
          <w:sz w:val="24"/>
          <w:szCs w:val="24"/>
        </w:rPr>
        <w:t>Acte</w:t>
      </w:r>
      <w:proofErr w:type="spellEnd"/>
      <w:r w:rsidRPr="00302A65">
        <w:rPr>
          <w:i/>
          <w:sz w:val="24"/>
          <w:szCs w:val="24"/>
        </w:rPr>
        <w:t xml:space="preserve"> </w:t>
      </w:r>
      <w:proofErr w:type="spellStart"/>
      <w:r w:rsidRPr="00302A65">
        <w:rPr>
          <w:i/>
          <w:sz w:val="24"/>
          <w:szCs w:val="24"/>
        </w:rPr>
        <w:t>nonsigne</w:t>
      </w:r>
      <w:proofErr w:type="spellEnd"/>
      <w:r w:rsidRPr="00302A65">
        <w:rPr>
          <w:i/>
          <w:sz w:val="24"/>
          <w:szCs w:val="24"/>
        </w:rPr>
        <w:t xml:space="preserve">: un </w:t>
      </w:r>
      <w:proofErr w:type="spellStart"/>
      <w:r w:rsidRPr="00302A65">
        <w:rPr>
          <w:i/>
          <w:sz w:val="24"/>
          <w:szCs w:val="24"/>
        </w:rPr>
        <w:t>texte</w:t>
      </w:r>
      <w:proofErr w:type="spellEnd"/>
      <w:r w:rsidRPr="00302A65">
        <w:rPr>
          <w:i/>
          <w:sz w:val="24"/>
          <w:szCs w:val="24"/>
        </w:rPr>
        <w:t xml:space="preserve"> </w:t>
      </w:r>
      <w:proofErr w:type="spellStart"/>
      <w:r w:rsidRPr="00302A65">
        <w:rPr>
          <w:i/>
          <w:sz w:val="24"/>
          <w:szCs w:val="24"/>
        </w:rPr>
        <w:t>dactylographie</w:t>
      </w:r>
      <w:proofErr w:type="spellEnd"/>
      <w:r w:rsidRPr="00302A65">
        <w:rPr>
          <w:i/>
          <w:sz w:val="24"/>
          <w:szCs w:val="24"/>
        </w:rPr>
        <w:t xml:space="preserve"> </w:t>
      </w:r>
      <w:proofErr w:type="spellStart"/>
      <w:r w:rsidRPr="00302A65">
        <w:rPr>
          <w:i/>
          <w:sz w:val="24"/>
          <w:szCs w:val="24"/>
        </w:rPr>
        <w:t>peut</w:t>
      </w:r>
      <w:proofErr w:type="spellEnd"/>
      <w:r w:rsidRPr="00302A65">
        <w:rPr>
          <w:i/>
          <w:sz w:val="24"/>
          <w:szCs w:val="24"/>
        </w:rPr>
        <w:t xml:space="preserve"> </w:t>
      </w:r>
      <w:proofErr w:type="spellStart"/>
      <w:r w:rsidRPr="00302A65">
        <w:rPr>
          <w:i/>
          <w:sz w:val="24"/>
          <w:szCs w:val="24"/>
        </w:rPr>
        <w:t>constituer</w:t>
      </w:r>
      <w:proofErr w:type="spellEnd"/>
      <w:r w:rsidRPr="00302A65">
        <w:rPr>
          <w:i/>
          <w:sz w:val="24"/>
          <w:szCs w:val="24"/>
        </w:rPr>
        <w:t xml:space="preserve"> un commencement de prevue par </w:t>
      </w:r>
      <w:proofErr w:type="spellStart"/>
      <w:r w:rsidRPr="00302A65">
        <w:rPr>
          <w:i/>
          <w:sz w:val="24"/>
          <w:szCs w:val="24"/>
        </w:rPr>
        <w:t>ecrit</w:t>
      </w:r>
      <w:proofErr w:type="spellEnd"/>
      <w:r w:rsidRPr="00302A65">
        <w:rPr>
          <w:i/>
          <w:sz w:val="24"/>
          <w:szCs w:val="24"/>
        </w:rPr>
        <w:t xml:space="preserve">, </w:t>
      </w:r>
      <w:proofErr w:type="spellStart"/>
      <w:r w:rsidRPr="00302A65">
        <w:rPr>
          <w:i/>
          <w:sz w:val="24"/>
          <w:szCs w:val="24"/>
        </w:rPr>
        <w:t>bien</w:t>
      </w:r>
      <w:proofErr w:type="spellEnd"/>
      <w:r w:rsidRPr="00302A65">
        <w:rPr>
          <w:i/>
          <w:sz w:val="24"/>
          <w:szCs w:val="24"/>
        </w:rPr>
        <w:t xml:space="preserve"> </w:t>
      </w:r>
      <w:proofErr w:type="spellStart"/>
      <w:r w:rsidRPr="00302A65">
        <w:rPr>
          <w:i/>
          <w:sz w:val="24"/>
          <w:szCs w:val="24"/>
        </w:rPr>
        <w:t>que</w:t>
      </w:r>
      <w:proofErr w:type="spellEnd"/>
      <w:r w:rsidRPr="00302A65">
        <w:rPr>
          <w:i/>
          <w:sz w:val="24"/>
          <w:szCs w:val="24"/>
        </w:rPr>
        <w:t xml:space="preserve"> </w:t>
      </w:r>
      <w:proofErr w:type="spellStart"/>
      <w:r w:rsidRPr="00302A65">
        <w:rPr>
          <w:i/>
          <w:sz w:val="24"/>
          <w:szCs w:val="24"/>
        </w:rPr>
        <w:t>nonsigne</w:t>
      </w:r>
      <w:proofErr w:type="spellEnd"/>
      <w:r w:rsidRPr="00302A65">
        <w:rPr>
          <w:i/>
          <w:sz w:val="24"/>
          <w:szCs w:val="24"/>
        </w:rPr>
        <w:t xml:space="preserve">, des </w:t>
      </w:r>
      <w:proofErr w:type="spellStart"/>
      <w:r w:rsidRPr="00302A65">
        <w:rPr>
          <w:i/>
          <w:sz w:val="24"/>
          <w:szCs w:val="24"/>
        </w:rPr>
        <w:t>lors</w:t>
      </w:r>
      <w:proofErr w:type="spellEnd"/>
      <w:r w:rsidRPr="00302A65">
        <w:rPr>
          <w:i/>
          <w:sz w:val="24"/>
          <w:szCs w:val="24"/>
        </w:rPr>
        <w:t xml:space="preserve"> </w:t>
      </w:r>
      <w:proofErr w:type="spellStart"/>
      <w:r w:rsidRPr="00302A65">
        <w:rPr>
          <w:i/>
          <w:sz w:val="24"/>
          <w:szCs w:val="24"/>
        </w:rPr>
        <w:t>que</w:t>
      </w:r>
      <w:proofErr w:type="spellEnd"/>
      <w:r w:rsidRPr="00302A65">
        <w:rPr>
          <w:i/>
          <w:sz w:val="24"/>
          <w:szCs w:val="24"/>
        </w:rPr>
        <w:t xml:space="preserve"> la </w:t>
      </w:r>
      <w:proofErr w:type="spellStart"/>
      <w:r w:rsidRPr="00302A65">
        <w:rPr>
          <w:i/>
          <w:sz w:val="24"/>
          <w:szCs w:val="24"/>
        </w:rPr>
        <w:t>partie</w:t>
      </w:r>
      <w:proofErr w:type="spellEnd"/>
      <w:r w:rsidRPr="00302A65">
        <w:rPr>
          <w:i/>
          <w:sz w:val="24"/>
          <w:szCs w:val="24"/>
        </w:rPr>
        <w:t xml:space="preserve"> a </w:t>
      </w:r>
      <w:proofErr w:type="spellStart"/>
      <w:r w:rsidRPr="00302A65">
        <w:rPr>
          <w:i/>
          <w:sz w:val="24"/>
          <w:szCs w:val="24"/>
        </w:rPr>
        <w:t>laquelle</w:t>
      </w:r>
      <w:proofErr w:type="spellEnd"/>
      <w:r w:rsidRPr="00302A65">
        <w:rPr>
          <w:i/>
          <w:sz w:val="24"/>
          <w:szCs w:val="24"/>
        </w:rPr>
        <w:t xml:space="preserve"> on </w:t>
      </w:r>
      <w:proofErr w:type="spellStart"/>
      <w:r w:rsidRPr="00302A65">
        <w:rPr>
          <w:i/>
          <w:sz w:val="24"/>
          <w:szCs w:val="24"/>
        </w:rPr>
        <w:t>l”oppose</w:t>
      </w:r>
      <w:proofErr w:type="spellEnd"/>
      <w:r w:rsidRPr="00302A65">
        <w:rPr>
          <w:i/>
          <w:sz w:val="24"/>
          <w:szCs w:val="24"/>
        </w:rPr>
        <w:t xml:space="preserve"> </w:t>
      </w:r>
      <w:proofErr w:type="spellStart"/>
      <w:r w:rsidRPr="00302A65">
        <w:rPr>
          <w:i/>
          <w:sz w:val="24"/>
          <w:szCs w:val="24"/>
        </w:rPr>
        <w:t>reconnait</w:t>
      </w:r>
      <w:proofErr w:type="spellEnd"/>
      <w:r w:rsidRPr="00302A65">
        <w:rPr>
          <w:i/>
          <w:sz w:val="24"/>
          <w:szCs w:val="24"/>
        </w:rPr>
        <w:t xml:space="preserve"> </w:t>
      </w:r>
      <w:proofErr w:type="spellStart"/>
      <w:r w:rsidRPr="00302A65">
        <w:rPr>
          <w:i/>
          <w:sz w:val="24"/>
          <w:szCs w:val="24"/>
        </w:rPr>
        <w:t>qu’elle</w:t>
      </w:r>
      <w:proofErr w:type="spellEnd"/>
      <w:r w:rsidRPr="00302A65">
        <w:rPr>
          <w:i/>
          <w:sz w:val="24"/>
          <w:szCs w:val="24"/>
        </w:rPr>
        <w:t xml:space="preserve"> </w:t>
      </w:r>
      <w:proofErr w:type="spellStart"/>
      <w:r w:rsidRPr="00302A65">
        <w:rPr>
          <w:i/>
          <w:sz w:val="24"/>
          <w:szCs w:val="24"/>
        </w:rPr>
        <w:t>l”a</w:t>
      </w:r>
      <w:proofErr w:type="spellEnd"/>
      <w:r w:rsidRPr="00302A65">
        <w:rPr>
          <w:i/>
          <w:sz w:val="24"/>
          <w:szCs w:val="24"/>
        </w:rPr>
        <w:t xml:space="preserve"> </w:t>
      </w:r>
      <w:proofErr w:type="spellStart"/>
      <w:r w:rsidRPr="00302A65">
        <w:rPr>
          <w:i/>
          <w:sz w:val="24"/>
          <w:szCs w:val="24"/>
        </w:rPr>
        <w:t>elle</w:t>
      </w:r>
      <w:proofErr w:type="spellEnd"/>
      <w:r w:rsidRPr="00302A65">
        <w:rPr>
          <w:i/>
          <w:sz w:val="24"/>
          <w:szCs w:val="24"/>
        </w:rPr>
        <w:t xml:space="preserve"> meme </w:t>
      </w:r>
      <w:proofErr w:type="spellStart"/>
      <w:r w:rsidRPr="00302A65">
        <w:rPr>
          <w:i/>
          <w:sz w:val="24"/>
          <w:szCs w:val="24"/>
        </w:rPr>
        <w:t>dactylographie</w:t>
      </w:r>
      <w:proofErr w:type="spellEnd"/>
      <w:r w:rsidRPr="00302A65">
        <w:rPr>
          <w:i/>
          <w:sz w:val="24"/>
          <w:szCs w:val="24"/>
        </w:rPr>
        <w:t xml:space="preserve"> et </w:t>
      </w:r>
      <w:proofErr w:type="spellStart"/>
      <w:r w:rsidRPr="00302A65">
        <w:rPr>
          <w:i/>
          <w:sz w:val="24"/>
          <w:szCs w:val="24"/>
        </w:rPr>
        <w:t>qu’il</w:t>
      </w:r>
      <w:proofErr w:type="spellEnd"/>
      <w:r w:rsidRPr="00302A65">
        <w:rPr>
          <w:i/>
          <w:sz w:val="24"/>
          <w:szCs w:val="24"/>
        </w:rPr>
        <w:t xml:space="preserve"> </w:t>
      </w:r>
      <w:proofErr w:type="spellStart"/>
      <w:r w:rsidRPr="00302A65">
        <w:rPr>
          <w:i/>
          <w:sz w:val="24"/>
          <w:szCs w:val="24"/>
        </w:rPr>
        <w:t>est</w:t>
      </w:r>
      <w:proofErr w:type="spellEnd"/>
      <w:r w:rsidRPr="00302A65">
        <w:rPr>
          <w:i/>
          <w:sz w:val="24"/>
          <w:szCs w:val="24"/>
        </w:rPr>
        <w:t xml:space="preserve"> son oeuvre </w:t>
      </w:r>
      <w:proofErr w:type="spellStart"/>
      <w:r w:rsidRPr="00302A65">
        <w:rPr>
          <w:i/>
          <w:sz w:val="24"/>
          <w:szCs w:val="24"/>
        </w:rPr>
        <w:t>materielle</w:t>
      </w:r>
      <w:proofErr w:type="spellEnd"/>
      <w:r w:rsidRPr="00302A65">
        <w:rPr>
          <w:i/>
          <w:sz w:val="24"/>
          <w:szCs w:val="24"/>
        </w:rPr>
        <w:t xml:space="preserve"> et </w:t>
      </w:r>
      <w:proofErr w:type="spellStart"/>
      <w:r w:rsidRPr="00302A65">
        <w:rPr>
          <w:i/>
          <w:sz w:val="24"/>
          <w:szCs w:val="24"/>
        </w:rPr>
        <w:t>intellectuelle</w:t>
      </w:r>
      <w:proofErr w:type="spellEnd"/>
      <w:r w:rsidRPr="00302A65">
        <w:rPr>
          <w:i/>
          <w:sz w:val="24"/>
          <w:szCs w:val="24"/>
        </w:rPr>
        <w:t xml:space="preserve"> Civ.ier.jan.1961.Null. Civ.no 41. (</w:t>
      </w:r>
      <w:proofErr w:type="gramStart"/>
      <w:r w:rsidRPr="00302A65">
        <w:rPr>
          <w:i/>
          <w:sz w:val="24"/>
          <w:szCs w:val="24"/>
        </w:rPr>
        <w:t>reproduced</w:t>
      </w:r>
      <w:proofErr w:type="gramEnd"/>
      <w:r w:rsidRPr="00302A65">
        <w:rPr>
          <w:i/>
          <w:sz w:val="24"/>
          <w:szCs w:val="24"/>
        </w:rPr>
        <w:t xml:space="preserve"> from para 27 of judgment of SCCA in Nathalie v Sarah Louise </w:t>
      </w:r>
      <w:proofErr w:type="spellStart"/>
      <w:r w:rsidRPr="00302A65">
        <w:rPr>
          <w:i/>
          <w:sz w:val="24"/>
          <w:szCs w:val="24"/>
        </w:rPr>
        <w:t>WAlsh</w:t>
      </w:r>
      <w:proofErr w:type="spellEnd"/>
      <w:r w:rsidRPr="00302A65">
        <w:rPr>
          <w:i/>
          <w:sz w:val="24"/>
          <w:szCs w:val="24"/>
        </w:rPr>
        <w:t xml:space="preserve"> 2012).</w:t>
      </w:r>
    </w:p>
    <w:p w:rsidR="00302A65" w:rsidRPr="00302A65" w:rsidRDefault="000F15CC" w:rsidP="000F15CC">
      <w:pPr>
        <w:pStyle w:val="JudgmentText"/>
        <w:numPr>
          <w:ilvl w:val="0"/>
          <w:numId w:val="0"/>
        </w:numPr>
        <w:ind w:left="720" w:hanging="720"/>
        <w:rPr>
          <w:i/>
        </w:rPr>
      </w:pPr>
      <w:r w:rsidRPr="00302A65">
        <w:t>[21]</w:t>
      </w:r>
      <w:r w:rsidRPr="00302A65">
        <w:tab/>
      </w:r>
      <w:r w:rsidR="00302A65" w:rsidRPr="00302A65">
        <w:t>I presume it would appear foolish to imagine that objections could have been made on the ground that the typed material was different from handwriting. From handwriting to typed material the transition must have been very smooth.</w:t>
      </w:r>
    </w:p>
    <w:p w:rsidR="00302A65" w:rsidRPr="00302A65" w:rsidRDefault="000F15CC" w:rsidP="000F15CC">
      <w:pPr>
        <w:pStyle w:val="JudgmentText"/>
        <w:numPr>
          <w:ilvl w:val="0"/>
          <w:numId w:val="0"/>
        </w:numPr>
        <w:ind w:left="720" w:hanging="720"/>
        <w:rPr>
          <w:i/>
        </w:rPr>
      </w:pPr>
      <w:r w:rsidRPr="00302A65">
        <w:t>[22]</w:t>
      </w:r>
      <w:r w:rsidRPr="00302A65">
        <w:tab/>
      </w:r>
      <w:r w:rsidR="00302A65" w:rsidRPr="00302A65">
        <w:t>Electronic gadgetry has now become part of our daily life and culture.</w:t>
      </w:r>
    </w:p>
    <w:p w:rsidR="00302A65" w:rsidRPr="00302A65" w:rsidRDefault="000F15CC" w:rsidP="000F15CC">
      <w:pPr>
        <w:pStyle w:val="JudgmentText"/>
        <w:numPr>
          <w:ilvl w:val="0"/>
          <w:numId w:val="0"/>
        </w:numPr>
        <w:ind w:left="720" w:hanging="720"/>
        <w:rPr>
          <w:i/>
        </w:rPr>
      </w:pPr>
      <w:r w:rsidRPr="00302A65">
        <w:t>[23]</w:t>
      </w:r>
      <w:r w:rsidRPr="00302A65">
        <w:tab/>
      </w:r>
      <w:r w:rsidR="00302A65" w:rsidRPr="00302A65">
        <w:t>Legislators and policy makers have rightly amended the law and given to the various electronic gadgets devices, information storages system and new electronic tools the evidential role that they have.  Section 15 of the Evidence Act and the Electronic Transactions Act go in that direction. New methods of bringing evidence to the court have been recognized in the legal system of Seychelles. It would be lagging behind if the exceptions to article 1347 would not be extended to include these electronic recordings and data.</w:t>
      </w:r>
    </w:p>
    <w:p w:rsidR="00302A65" w:rsidRPr="00302A65" w:rsidRDefault="000F15CC" w:rsidP="000F15CC">
      <w:pPr>
        <w:pStyle w:val="JudgmentText"/>
        <w:numPr>
          <w:ilvl w:val="0"/>
          <w:numId w:val="0"/>
        </w:numPr>
        <w:ind w:left="720" w:hanging="720"/>
        <w:rPr>
          <w:i/>
        </w:rPr>
      </w:pPr>
      <w:r w:rsidRPr="00302A65">
        <w:t>[24]</w:t>
      </w:r>
      <w:r w:rsidRPr="00302A65">
        <w:tab/>
      </w:r>
      <w:r w:rsidR="00302A65" w:rsidRPr="00302A65">
        <w:t xml:space="preserve">I have no difficulty in holding that the documents referred to by Learned counsel for the </w:t>
      </w:r>
      <w:r w:rsidR="00302A65">
        <w:t>Plaintiff</w:t>
      </w:r>
      <w:r w:rsidR="00302A65" w:rsidRPr="00302A65">
        <w:t xml:space="preserve"> is admissible as a beginning of proof in writing in as much as the conte</w:t>
      </w:r>
      <w:r w:rsidR="00CB6800">
        <w:t xml:space="preserve">nts of the CD and the </w:t>
      </w:r>
      <w:proofErr w:type="spellStart"/>
      <w:r w:rsidR="00CB6800">
        <w:t>pendrive</w:t>
      </w:r>
      <w:proofErr w:type="spellEnd"/>
      <w:r w:rsidR="00CB6800">
        <w:t xml:space="preserve"> </w:t>
      </w:r>
      <w:r w:rsidR="00302A65" w:rsidRPr="00302A65">
        <w:t xml:space="preserve">can be printed and produced in court. Learned Counsel for the </w:t>
      </w:r>
      <w:r w:rsidR="00302A65">
        <w:t>Plaintiff</w:t>
      </w:r>
      <w:r w:rsidR="00302A65" w:rsidRPr="00302A65">
        <w:t xml:space="preserve"> has rightly remarked that times have changed.</w:t>
      </w:r>
      <w:r w:rsidR="00302A65">
        <w:t xml:space="preserve"> </w:t>
      </w:r>
      <w:r w:rsidR="00302A65" w:rsidRPr="00302A65">
        <w:t>Electronic communications and recordings are now admissible as evidence.</w:t>
      </w:r>
    </w:p>
    <w:p w:rsidR="00302A65" w:rsidRPr="00302A65" w:rsidRDefault="000F15CC" w:rsidP="000F15CC">
      <w:pPr>
        <w:pStyle w:val="JudgmentText"/>
        <w:numPr>
          <w:ilvl w:val="0"/>
          <w:numId w:val="0"/>
        </w:numPr>
        <w:ind w:left="720" w:hanging="720"/>
        <w:rPr>
          <w:i/>
        </w:rPr>
      </w:pPr>
      <w:r w:rsidRPr="00302A65">
        <w:t>[25]</w:t>
      </w:r>
      <w:r w:rsidRPr="00302A65">
        <w:tab/>
      </w:r>
      <w:r w:rsidR="00302A65" w:rsidRPr="00302A65">
        <w:t>I have one more point to make. I would like to refer to the following paragraph from COOPOOSAMY V DUBOIL (SLR) 2012.</w:t>
      </w:r>
    </w:p>
    <w:p w:rsidR="00302A65" w:rsidRPr="006814FF" w:rsidRDefault="000F15CC" w:rsidP="000F15CC">
      <w:pPr>
        <w:pStyle w:val="JudgmentText"/>
        <w:numPr>
          <w:ilvl w:val="0"/>
          <w:numId w:val="0"/>
        </w:numPr>
        <w:ind w:left="720" w:hanging="720"/>
        <w:rPr>
          <w:i/>
        </w:rPr>
      </w:pPr>
      <w:r w:rsidRPr="006814FF">
        <w:t>[26]</w:t>
      </w:r>
      <w:r w:rsidRPr="006814FF">
        <w:tab/>
      </w:r>
      <w:r w:rsidR="00302A65" w:rsidRPr="00302A65">
        <w:t xml:space="preserve">Four instances of where this exception applies are then given in the Code. To further temper the strict </w:t>
      </w:r>
      <w:r w:rsidR="00302A65">
        <w:t xml:space="preserve">applicability </w:t>
      </w:r>
      <w:r w:rsidR="00302A65" w:rsidRPr="00302A65">
        <w:t xml:space="preserve">of article 1341 </w:t>
      </w:r>
      <w:r w:rsidR="00CB6800">
        <w:t>and its</w:t>
      </w:r>
      <w:r w:rsidR="00302A65" w:rsidRPr="00302A65">
        <w:t xml:space="preserve"> unjust consequences to certain parties in some circumstances, jurisprudence has provided further exceptions. Further the Court of Cassation of France has stated that the exceptions provided in Article 1348 of the Code are not exhaustive and that where that where it is impossible to secure written proof it is certainly possible to bring proof of obligation by either by or</w:t>
      </w:r>
      <w:r w:rsidR="00CB6800">
        <w:t xml:space="preserve">al evidence or by presumptions. </w:t>
      </w:r>
      <w:proofErr w:type="gramStart"/>
      <w:r w:rsidR="00CB6800">
        <w:t>( Cass</w:t>
      </w:r>
      <w:proofErr w:type="gramEnd"/>
      <w:r w:rsidR="00CB6800">
        <w:t xml:space="preserve"> 17 </w:t>
      </w:r>
      <w:proofErr w:type="spellStart"/>
      <w:r w:rsidR="00CB6800">
        <w:t>déc</w:t>
      </w:r>
      <w:proofErr w:type="spellEnd"/>
      <w:r w:rsidR="00CB6800">
        <w:t xml:space="preserve"> 1982, Pas 1983 I P 1982-1983 col 2451; Cass 6 </w:t>
      </w:r>
      <w:proofErr w:type="spellStart"/>
      <w:r w:rsidR="00CB6800">
        <w:t>dec</w:t>
      </w:r>
      <w:proofErr w:type="spellEnd"/>
      <w:r w:rsidR="00CB6800">
        <w:t xml:space="preserve"> 1988. See also De Page t III 3e </w:t>
      </w:r>
      <w:proofErr w:type="spellStart"/>
      <w:proofErr w:type="gramStart"/>
      <w:r w:rsidR="00CB6800">
        <w:t>ed</w:t>
      </w:r>
      <w:proofErr w:type="spellEnd"/>
      <w:proofErr w:type="gramEnd"/>
      <w:r w:rsidR="00CB6800">
        <w:t xml:space="preserve"> no 904). O</w:t>
      </w:r>
      <w:r w:rsidR="00302A65" w:rsidRPr="00302A65">
        <w:t>ne of these</w:t>
      </w:r>
      <w:r w:rsidR="00302A65">
        <w:t xml:space="preserve"> </w:t>
      </w:r>
      <w:r w:rsidR="00302A65" w:rsidRPr="00302A65">
        <w:t xml:space="preserve">exceptions has been the moral impossibility to provide such proof arising from the relationship between the parties. Not all relationships even between close family members give rise to this exception. There must also exist close ties as a result of the family relationship (lien de </w:t>
      </w:r>
      <w:proofErr w:type="spellStart"/>
      <w:r w:rsidR="00302A65" w:rsidRPr="00302A65">
        <w:t>famille</w:t>
      </w:r>
      <w:proofErr w:type="spellEnd"/>
      <w:r w:rsidR="00302A65" w:rsidRPr="00302A65">
        <w:t xml:space="preserve">) friendship, or trust. In this respect the court is vested with immense </w:t>
      </w:r>
      <w:proofErr w:type="gramStart"/>
      <w:r w:rsidR="00302A65" w:rsidRPr="00302A65">
        <w:t>power  and</w:t>
      </w:r>
      <w:proofErr w:type="gramEnd"/>
      <w:r w:rsidR="00302A65" w:rsidRPr="00302A65">
        <w:t xml:space="preserve"> discretion  to appreciate each case on its own facts to determine whether there is such a moral responsibility in any particular relatio</w:t>
      </w:r>
      <w:r w:rsidR="00CB6800">
        <w:t xml:space="preserve">nship to bring a written proof ( see </w:t>
      </w:r>
      <w:proofErr w:type="spellStart"/>
      <w:r w:rsidR="00CB6800">
        <w:t>Civ</w:t>
      </w:r>
      <w:proofErr w:type="spellEnd"/>
      <w:r w:rsidR="00CB6800">
        <w:t xml:space="preserve"> 1re, 28 </w:t>
      </w:r>
      <w:proofErr w:type="spellStart"/>
      <w:r w:rsidR="00CB6800">
        <w:t>fevr</w:t>
      </w:r>
      <w:proofErr w:type="spellEnd"/>
      <w:r w:rsidR="00CB6800">
        <w:t xml:space="preserve">. 1995, </w:t>
      </w:r>
      <w:proofErr w:type="spellStart"/>
      <w:r w:rsidR="00CB6800">
        <w:t>Defrenois</w:t>
      </w:r>
      <w:proofErr w:type="spellEnd"/>
      <w:r w:rsidR="00CB6800">
        <w:t xml:space="preserve"> 1995.1043, obs. </w:t>
      </w:r>
      <w:proofErr w:type="spellStart"/>
      <w:r w:rsidR="00CB6800">
        <w:t>Mazeaud</w:t>
      </w:r>
      <w:proofErr w:type="spellEnd"/>
      <w:r w:rsidR="00CB6800">
        <w:t xml:space="preserve">). In Seychelles we have followed this approach and it has become our law (Victor v The Estate of André Edmond (1983) SLR 203, Renaud v </w:t>
      </w:r>
      <w:proofErr w:type="spellStart"/>
      <w:r w:rsidR="00CB6800">
        <w:t>Dogley</w:t>
      </w:r>
      <w:proofErr w:type="spellEnd"/>
      <w:r w:rsidR="00CB6800">
        <w:t xml:space="preserve"> (1983-1987) SCAR II 202, </w:t>
      </w:r>
      <w:proofErr w:type="spellStart"/>
      <w:r w:rsidR="00CB6800">
        <w:t>Aniella</w:t>
      </w:r>
      <w:proofErr w:type="spellEnd"/>
      <w:r w:rsidR="00CB6800">
        <w:t xml:space="preserve"> </w:t>
      </w:r>
      <w:proofErr w:type="spellStart"/>
      <w:r w:rsidR="00CB6800">
        <w:t>Vidot</w:t>
      </w:r>
      <w:proofErr w:type="spellEnd"/>
      <w:r w:rsidR="00CB6800">
        <w:t xml:space="preserve"> v Jerome </w:t>
      </w:r>
      <w:proofErr w:type="spellStart"/>
      <w:r w:rsidR="00CB6800">
        <w:t>Padayachy</w:t>
      </w:r>
      <w:proofErr w:type="spellEnd"/>
      <w:r w:rsidR="00CB6800">
        <w:t xml:space="preserve"> (1991) SLR 279, </w:t>
      </w:r>
      <w:proofErr w:type="spellStart"/>
      <w:r w:rsidR="00CB6800">
        <w:t>Esparon</w:t>
      </w:r>
      <w:proofErr w:type="spellEnd"/>
      <w:r w:rsidR="00CB6800">
        <w:t xml:space="preserve"> v </w:t>
      </w:r>
      <w:proofErr w:type="spellStart"/>
      <w:r w:rsidR="00CB6800">
        <w:t>Esparon</w:t>
      </w:r>
      <w:proofErr w:type="spellEnd"/>
      <w:r w:rsidR="00CB6800">
        <w:t xml:space="preserve"> (1991) SLR 59, Port </w:t>
      </w:r>
      <w:proofErr w:type="spellStart"/>
      <w:r w:rsidR="00CB6800">
        <w:t>Glaud</w:t>
      </w:r>
      <w:proofErr w:type="spellEnd"/>
      <w:r w:rsidR="00CB6800">
        <w:t xml:space="preserve"> Development v Larue (1983-1987</w:t>
      </w:r>
      <w:r w:rsidR="00CB6800">
        <w:rPr>
          <w:lang w:val="en-US"/>
        </w:rPr>
        <w:t>) SCAR II 152).</w:t>
      </w:r>
    </w:p>
    <w:p w:rsidR="006814FF" w:rsidRPr="006814FF" w:rsidRDefault="000F15CC" w:rsidP="000F15CC">
      <w:pPr>
        <w:pStyle w:val="JudgmentText"/>
        <w:numPr>
          <w:ilvl w:val="0"/>
          <w:numId w:val="0"/>
        </w:numPr>
        <w:spacing w:after="0"/>
        <w:ind w:left="810" w:hanging="720"/>
        <w:rPr>
          <w:rStyle w:val="solext2"/>
        </w:rPr>
      </w:pPr>
      <w:r w:rsidRPr="006814FF">
        <w:rPr>
          <w:rStyle w:val="solext2"/>
        </w:rPr>
        <w:t>[27]</w:t>
      </w:r>
      <w:r w:rsidRPr="006814FF">
        <w:rPr>
          <w:rStyle w:val="solext2"/>
        </w:rPr>
        <w:tab/>
      </w:r>
      <w:r w:rsidR="006814FF">
        <w:rPr>
          <w:rStyle w:val="solext2"/>
          <w:color w:val="000000"/>
        </w:rPr>
        <w:t xml:space="preserve">I am inclined to reproduce here the following excerpt from the judgment of my sister Judge Robinson JA, from the case </w:t>
      </w:r>
      <w:r w:rsidR="006814FF" w:rsidRPr="006814FF">
        <w:rPr>
          <w:rStyle w:val="solext2"/>
          <w:b/>
          <w:i/>
          <w:color w:val="000000"/>
        </w:rPr>
        <w:t>of Natalie Sarah Louise Walsh</w:t>
      </w:r>
      <w:r w:rsidR="006814FF">
        <w:rPr>
          <w:rStyle w:val="solext2"/>
          <w:color w:val="000000"/>
        </w:rPr>
        <w:t xml:space="preserve"> on the principles relating to the admissibility of initial proof in writing.</w:t>
      </w:r>
    </w:p>
    <w:p w:rsidR="006814FF" w:rsidRPr="00DB20B7" w:rsidRDefault="000F15CC" w:rsidP="000F15CC">
      <w:pPr>
        <w:pStyle w:val="JudgmentText"/>
        <w:numPr>
          <w:ilvl w:val="0"/>
          <w:numId w:val="0"/>
        </w:numPr>
        <w:spacing w:after="0"/>
        <w:ind w:left="810" w:hanging="720"/>
      </w:pPr>
      <w:r w:rsidRPr="00DB20B7">
        <w:t>[28]</w:t>
      </w:r>
      <w:r w:rsidRPr="00DB20B7">
        <w:tab/>
      </w:r>
      <w:r w:rsidR="006814FF" w:rsidRPr="006814FF">
        <w:rPr>
          <w:rStyle w:val="solext2"/>
          <w:color w:val="000000"/>
        </w:rPr>
        <w:t>In</w:t>
      </w:r>
      <w:r w:rsidR="006814FF" w:rsidRPr="006814FF">
        <w:rPr>
          <w:color w:val="000000"/>
        </w:rPr>
        <w:t xml:space="preserve"> the case of </w:t>
      </w:r>
      <w:r w:rsidR="006814FF" w:rsidRPr="006814FF">
        <w:rPr>
          <w:i/>
          <w:color w:val="000000"/>
        </w:rPr>
        <w:t xml:space="preserve">Robertson v </w:t>
      </w:r>
      <w:r w:rsidR="006814FF" w:rsidRPr="006814FF">
        <w:rPr>
          <w:i/>
          <w:iCs/>
          <w:color w:val="000000"/>
        </w:rPr>
        <w:t xml:space="preserve">Quinlan </w:t>
      </w:r>
      <w:r w:rsidR="006814FF" w:rsidRPr="006814FF">
        <w:rPr>
          <w:iCs/>
          <w:color w:val="000000"/>
          <w:u w:val="single"/>
        </w:rPr>
        <w:t xml:space="preserve">1934 </w:t>
      </w:r>
      <w:proofErr w:type="spellStart"/>
      <w:r w:rsidR="006814FF" w:rsidRPr="006814FF">
        <w:rPr>
          <w:iCs/>
          <w:color w:val="000000"/>
          <w:u w:val="single"/>
        </w:rPr>
        <w:t>CanLII</w:t>
      </w:r>
      <w:proofErr w:type="spellEnd"/>
      <w:r w:rsidR="006814FF" w:rsidRPr="006814FF">
        <w:rPr>
          <w:iCs/>
          <w:color w:val="000000"/>
          <w:u w:val="single"/>
        </w:rPr>
        <w:t xml:space="preserve"> 77 (SCC</w:t>
      </w:r>
      <w:r w:rsidR="006814FF" w:rsidRPr="006814FF">
        <w:rPr>
          <w:iCs/>
          <w:color w:val="000000"/>
        </w:rPr>
        <w:t>) (Supreme Court of Canada),</w:t>
      </w:r>
      <w:r w:rsidR="006814FF" w:rsidRPr="006814FF">
        <w:rPr>
          <w:i/>
          <w:iCs/>
          <w:color w:val="000000"/>
        </w:rPr>
        <w:t xml:space="preserve"> </w:t>
      </w:r>
      <w:r w:rsidR="006814FF" w:rsidRPr="006814FF">
        <w:rPr>
          <w:iCs/>
          <w:color w:val="000000"/>
        </w:rPr>
        <w:t xml:space="preserve">which is an appeal from the judgment of the Court of King’s Bench, appeal side, which affirmed the judgment of the Superior Court, and maintained the respondent’s action, Cannon J. </w:t>
      </w:r>
      <w:r w:rsidR="006814FF" w:rsidRPr="006814FF">
        <w:rPr>
          <w:color w:val="000000"/>
        </w:rPr>
        <w:t xml:space="preserve">made the following comment </w:t>
      </w:r>
      <w:r w:rsidR="006814FF" w:rsidRPr="006814FF">
        <w:rPr>
          <w:rStyle w:val="solext2"/>
          <w:color w:val="000000"/>
        </w:rPr>
        <w:t>in</w:t>
      </w:r>
      <w:r w:rsidR="006814FF" w:rsidRPr="006814FF">
        <w:rPr>
          <w:color w:val="000000"/>
        </w:rPr>
        <w:t xml:space="preserve"> regard to the commencement of proof </w:t>
      </w:r>
      <w:r w:rsidR="006814FF" w:rsidRPr="006814FF">
        <w:rPr>
          <w:rStyle w:val="solext2"/>
          <w:color w:val="000000"/>
        </w:rPr>
        <w:t>in</w:t>
      </w:r>
      <w:r w:rsidR="006814FF" w:rsidRPr="006814FF">
        <w:rPr>
          <w:color w:val="000000"/>
        </w:rPr>
        <w:t xml:space="preserve"> </w:t>
      </w:r>
      <w:r w:rsidR="006814FF" w:rsidRPr="006814FF">
        <w:rPr>
          <w:rStyle w:val="solext3"/>
          <w:color w:val="000000"/>
        </w:rPr>
        <w:t>writing (initial proof in writing)</w:t>
      </w:r>
      <w:r w:rsidR="006814FF" w:rsidRPr="006814FF">
        <w:rPr>
          <w:color w:val="000000"/>
        </w:rPr>
        <w:t xml:space="preserve"> ―</w:t>
      </w:r>
    </w:p>
    <w:p w:rsidR="006814FF" w:rsidRPr="00DB20B7" w:rsidRDefault="006814FF" w:rsidP="006814FF">
      <w:pPr>
        <w:pStyle w:val="paragnum"/>
        <w:spacing w:before="0" w:beforeAutospacing="0" w:after="0" w:afterAutospacing="0" w:line="360" w:lineRule="auto"/>
        <w:ind w:left="720"/>
        <w:jc w:val="both"/>
      </w:pPr>
    </w:p>
    <w:p w:rsidR="006814FF" w:rsidRPr="00DB20B7" w:rsidRDefault="006814FF" w:rsidP="006814FF">
      <w:pPr>
        <w:pStyle w:val="citationenretrait"/>
        <w:spacing w:before="0" w:beforeAutospacing="0" w:after="0" w:afterAutospacing="0" w:line="360" w:lineRule="auto"/>
        <w:ind w:left="1440" w:right="1440"/>
        <w:jc w:val="both"/>
      </w:pPr>
      <w:r w:rsidRPr="00153F5F">
        <w:rPr>
          <w:lang w:val="fr-FR"/>
        </w:rPr>
        <w:t xml:space="preserve">″Il n’est pas nécessaire que l’écrit établisse un des éléments du fait à prouver; il peut être simplement le point de départ d’un raisonnement pour le juge. </w:t>
      </w:r>
      <w:r w:rsidRPr="00DB20B7">
        <w:t xml:space="preserve">25 Revue </w:t>
      </w:r>
      <w:proofErr w:type="spellStart"/>
      <w:r w:rsidRPr="00DB20B7">
        <w:t>Trimestrielle</w:t>
      </w:r>
      <w:proofErr w:type="spellEnd"/>
      <w:r w:rsidRPr="00DB20B7">
        <w:t xml:space="preserve"> de </w:t>
      </w:r>
      <w:proofErr w:type="spellStart"/>
      <w:r w:rsidRPr="00DB20B7">
        <w:t>Droit</w:t>
      </w:r>
      <w:proofErr w:type="spellEnd"/>
      <w:r w:rsidRPr="00DB20B7">
        <w:t xml:space="preserve"> Civil (1926) p. 410. </w:t>
      </w:r>
    </w:p>
    <w:p w:rsidR="006814FF" w:rsidRPr="00DB20B7" w:rsidRDefault="006814FF" w:rsidP="006814FF">
      <w:pPr>
        <w:pStyle w:val="citationenretrait"/>
        <w:spacing w:before="0" w:beforeAutospacing="0" w:after="0" w:afterAutospacing="0" w:line="360" w:lineRule="auto"/>
        <w:ind w:left="1440" w:right="1440"/>
        <w:jc w:val="both"/>
      </w:pPr>
    </w:p>
    <w:p w:rsidR="006814FF" w:rsidRDefault="006814FF" w:rsidP="006814FF">
      <w:pPr>
        <w:pStyle w:val="citationenretrait"/>
        <w:spacing w:before="0" w:beforeAutospacing="0" w:after="0" w:afterAutospacing="0" w:line="360" w:lineRule="auto"/>
        <w:ind w:left="1440" w:right="1440"/>
        <w:jc w:val="both"/>
        <w:rPr>
          <w:lang w:val="fr-FR"/>
        </w:rPr>
      </w:pPr>
      <w:r w:rsidRPr="00153F5F">
        <w:rPr>
          <w:b/>
          <w:iCs/>
          <w:color w:val="000000"/>
          <w:u w:val="single"/>
          <w:lang w:val="fr-FR"/>
        </w:rPr>
        <w:t>Il ressort des décisions jurisprudentielles (nous dissent Planiol &amp; Ripert, 7 Droit Civil, n</w:t>
      </w:r>
      <w:r w:rsidRPr="00153F5F">
        <w:rPr>
          <w:b/>
          <w:iCs/>
          <w:color w:val="000000"/>
          <w:u w:val="single"/>
          <w:vertAlign w:val="superscript"/>
          <w:lang w:val="fr-FR"/>
        </w:rPr>
        <w:t xml:space="preserve">o </w:t>
      </w:r>
      <w:r w:rsidRPr="00153F5F">
        <w:rPr>
          <w:b/>
          <w:iCs/>
          <w:color w:val="000000"/>
          <w:u w:val="single"/>
          <w:lang w:val="fr-FR"/>
        </w:rPr>
        <w:t xml:space="preserve">1534) que le fait établi par le commencement de preuve doit rendre à première vue le fait allégué vraisemblable, que la vraisemblance n'est pas l'apparence de la vérité, mais ce qui est probable, mais qu’il ne suffit pas que le fait allégué soit rendu seulement possible. </w:t>
      </w:r>
      <w:r w:rsidRPr="008A00E5">
        <w:rPr>
          <w:b/>
          <w:iCs/>
          <w:color w:val="000000"/>
          <w:u w:val="single"/>
        </w:rPr>
        <w:t>[</w:t>
      </w:r>
      <w:r w:rsidRPr="008A00E5">
        <w:rPr>
          <w:b/>
          <w:u w:val="single"/>
        </w:rPr>
        <w:t xml:space="preserve">Colmar, 12 </w:t>
      </w:r>
      <w:proofErr w:type="spellStart"/>
      <w:proofErr w:type="gramStart"/>
      <w:r w:rsidRPr="008A00E5">
        <w:rPr>
          <w:b/>
          <w:u w:val="single"/>
        </w:rPr>
        <w:t>nov</w:t>
      </w:r>
      <w:proofErr w:type="gramEnd"/>
      <w:r w:rsidRPr="008A00E5">
        <w:rPr>
          <w:b/>
          <w:u w:val="single"/>
        </w:rPr>
        <w:t>.</w:t>
      </w:r>
      <w:proofErr w:type="spellEnd"/>
      <w:r w:rsidRPr="008A00E5">
        <w:rPr>
          <w:b/>
          <w:u w:val="single"/>
        </w:rPr>
        <w:t xml:space="preserve"> 1948. D 1949. </w:t>
      </w:r>
      <w:r w:rsidRPr="00153F5F">
        <w:rPr>
          <w:b/>
          <w:u w:val="single"/>
          <w:lang w:val="fr-FR"/>
        </w:rPr>
        <w:t>72.]</w:t>
      </w:r>
      <w:r w:rsidRPr="009B613C">
        <w:rPr>
          <w:lang w:val="fr-FR"/>
        </w:rPr>
        <w:t>.</w:t>
      </w:r>
      <w:r w:rsidRPr="00153F5F">
        <w:rPr>
          <w:lang w:val="fr-FR"/>
        </w:rPr>
        <w:t xml:space="preserve"> </w:t>
      </w:r>
    </w:p>
    <w:p w:rsidR="006814FF" w:rsidRDefault="006814FF" w:rsidP="006814FF">
      <w:pPr>
        <w:pStyle w:val="citationenretrait"/>
        <w:spacing w:before="0" w:beforeAutospacing="0" w:after="0" w:afterAutospacing="0" w:line="360" w:lineRule="auto"/>
        <w:ind w:left="1440" w:right="1440"/>
        <w:jc w:val="both"/>
        <w:rPr>
          <w:iCs/>
          <w:color w:val="000000"/>
          <w:lang w:val="fr-FR"/>
        </w:rPr>
      </w:pPr>
    </w:p>
    <w:p w:rsidR="006814FF" w:rsidRPr="00153F5F" w:rsidRDefault="006814FF" w:rsidP="006814FF">
      <w:pPr>
        <w:pStyle w:val="citationenretrait"/>
        <w:spacing w:before="0" w:beforeAutospacing="0" w:after="0" w:afterAutospacing="0" w:line="360" w:lineRule="auto"/>
        <w:ind w:left="1440" w:right="1440"/>
        <w:jc w:val="both"/>
        <w:rPr>
          <w:color w:val="000000"/>
          <w:lang w:val="fr-FR"/>
        </w:rPr>
      </w:pPr>
      <w:r w:rsidRPr="00153F5F">
        <w:rPr>
          <w:iCs/>
          <w:color w:val="000000"/>
          <w:lang w:val="fr-FR"/>
        </w:rPr>
        <w:t>Le juge ne se contente pas de prendre en considération le fait établi et le fait allégué; mais il examine tout le procès en se basant sur ces circonstances extrinsèques.″</w:t>
      </w:r>
      <w:r w:rsidRPr="00153F5F">
        <w:rPr>
          <w:color w:val="000000"/>
          <w:lang w:val="fr-FR"/>
        </w:rPr>
        <w:t>.</w:t>
      </w:r>
    </w:p>
    <w:p w:rsidR="00AA6B0E" w:rsidRPr="00F566F3" w:rsidRDefault="000F15CC" w:rsidP="000F15CC">
      <w:pPr>
        <w:pStyle w:val="JudgmentText"/>
        <w:numPr>
          <w:ilvl w:val="0"/>
          <w:numId w:val="0"/>
        </w:numPr>
        <w:ind w:left="720" w:hanging="720"/>
        <w:rPr>
          <w:i/>
        </w:rPr>
      </w:pPr>
      <w:r w:rsidRPr="00F566F3">
        <w:t>[29]</w:t>
      </w:r>
      <w:r w:rsidRPr="00F566F3">
        <w:tab/>
      </w:r>
      <w:r w:rsidR="00302A65" w:rsidRPr="00302A65">
        <w:t xml:space="preserve">Upon the basis of the observations and reasoning contained in the </w:t>
      </w:r>
      <w:r w:rsidR="00F566F3">
        <w:t xml:space="preserve">case of </w:t>
      </w:r>
      <w:proofErr w:type="spellStart"/>
      <w:r w:rsidR="00F566F3" w:rsidRPr="00F566F3">
        <w:rPr>
          <w:b/>
          <w:i/>
        </w:rPr>
        <w:t>Cooposamy</w:t>
      </w:r>
      <w:proofErr w:type="spellEnd"/>
      <w:r w:rsidR="00F566F3" w:rsidRPr="00F566F3">
        <w:rPr>
          <w:b/>
          <w:i/>
        </w:rPr>
        <w:t xml:space="preserve"> V </w:t>
      </w:r>
      <w:proofErr w:type="spellStart"/>
      <w:r w:rsidR="00F566F3" w:rsidRPr="00F566F3">
        <w:rPr>
          <w:b/>
          <w:i/>
        </w:rPr>
        <w:t>Duboil</w:t>
      </w:r>
      <w:proofErr w:type="spellEnd"/>
      <w:r w:rsidR="00F566F3">
        <w:t xml:space="preserve"> quoted </w:t>
      </w:r>
      <w:r w:rsidR="00302A65" w:rsidRPr="00302A65">
        <w:t>above</w:t>
      </w:r>
      <w:proofErr w:type="gramStart"/>
      <w:r w:rsidR="00F566F3">
        <w:t xml:space="preserve">, </w:t>
      </w:r>
      <w:r w:rsidR="00302A65" w:rsidRPr="00302A65">
        <w:t xml:space="preserve"> paragraph</w:t>
      </w:r>
      <w:proofErr w:type="gramEnd"/>
      <w:r w:rsidR="00302A65" w:rsidRPr="00302A65">
        <w:t xml:space="preserve"> I have no hesitation to hold that the relationship between the </w:t>
      </w:r>
      <w:r w:rsidR="00302A65">
        <w:t>Defendant</w:t>
      </w:r>
      <w:r w:rsidR="00302A65" w:rsidRPr="00302A65">
        <w:t xml:space="preserve"> and the </w:t>
      </w:r>
      <w:r w:rsidR="00302A65">
        <w:t>Plaintiff</w:t>
      </w:r>
      <w:r w:rsidR="00302A65" w:rsidRPr="00302A65">
        <w:t xml:space="preserve"> was such that the need for writing could not have been contemplated and oral evidence can therefore be admissible.</w:t>
      </w:r>
      <w:r w:rsidR="00F566F3">
        <w:t xml:space="preserve"> This constitutes an additional reason for me to allow oral evidence to be adduced in this case.</w:t>
      </w:r>
    </w:p>
    <w:p w:rsidR="00F566F3" w:rsidRPr="006814FF" w:rsidRDefault="000F15CC" w:rsidP="000F15CC">
      <w:pPr>
        <w:pStyle w:val="JudgmentText"/>
        <w:numPr>
          <w:ilvl w:val="0"/>
          <w:numId w:val="0"/>
        </w:numPr>
        <w:ind w:left="720" w:hanging="720"/>
        <w:rPr>
          <w:i/>
        </w:rPr>
      </w:pPr>
      <w:r w:rsidRPr="006814FF">
        <w:t>[30]</w:t>
      </w:r>
      <w:r w:rsidRPr="006814FF">
        <w:tab/>
      </w:r>
      <w:r w:rsidR="00F566F3">
        <w:t xml:space="preserve">As for </w:t>
      </w:r>
      <w:r w:rsidR="00C67859">
        <w:t>the contentions made under the Civil Evidence Act I do not find them relevant in the light of my findings.</w:t>
      </w:r>
    </w:p>
    <w:p w:rsidR="00E6492F" w:rsidRPr="00304376" w:rsidRDefault="006D0171" w:rsidP="00E33F35">
      <w:pPr>
        <w:pStyle w:val="ListParagraph"/>
        <w:widowControl/>
        <w:autoSpaceDE/>
        <w:autoSpaceDN/>
        <w:adjustRightInd/>
        <w:spacing w:after="240" w:line="360" w:lineRule="auto"/>
        <w:ind w:left="0"/>
        <w:contextualSpacing w:val="0"/>
        <w:jc w:val="both"/>
        <w:rPr>
          <w:i/>
          <w:sz w:val="24"/>
          <w:szCs w:val="24"/>
        </w:rPr>
      </w:pPr>
      <w:r w:rsidRPr="00304376">
        <w:rPr>
          <w:i/>
          <w:sz w:val="24"/>
          <w:szCs w:val="24"/>
          <w:highlight w:val="lightGray"/>
        </w:rPr>
        <w:fldChar w:fldCharType="begin"/>
      </w:r>
      <w:r w:rsidR="007C2809" w:rsidRPr="00304376">
        <w:rPr>
          <w:i/>
          <w:sz w:val="24"/>
          <w:szCs w:val="24"/>
          <w:highlight w:val="lightGray"/>
        </w:rPr>
        <w:instrText xml:space="preserve">  </w:instrText>
      </w:r>
      <w:r w:rsidRPr="00304376">
        <w:rPr>
          <w:i/>
          <w:sz w:val="24"/>
          <w:szCs w:val="24"/>
          <w:highlight w:val="lightGray"/>
        </w:rPr>
        <w:fldChar w:fldCharType="end"/>
      </w:r>
    </w:p>
    <w:p w:rsidR="00EF2051" w:rsidRPr="00304376" w:rsidRDefault="00EF2051" w:rsidP="001E4ED8">
      <w:pPr>
        <w:pStyle w:val="ListParagraph"/>
        <w:widowControl/>
        <w:autoSpaceDE/>
        <w:autoSpaceDN/>
        <w:adjustRightInd/>
        <w:spacing w:after="240" w:line="360" w:lineRule="auto"/>
        <w:ind w:left="0"/>
        <w:contextualSpacing w:val="0"/>
        <w:jc w:val="both"/>
        <w:rPr>
          <w:i/>
          <w:sz w:val="24"/>
          <w:szCs w:val="24"/>
        </w:rPr>
        <w:sectPr w:rsidR="00EF2051" w:rsidRPr="00304376" w:rsidSect="00EF2051">
          <w:type w:val="continuous"/>
          <w:pgSz w:w="12240" w:h="15840"/>
          <w:pgMar w:top="1440" w:right="1440" w:bottom="1440" w:left="1440" w:header="720" w:footer="720" w:gutter="0"/>
          <w:cols w:space="720"/>
          <w:formProt w:val="0"/>
          <w:docGrid w:linePitch="360"/>
        </w:sectPr>
      </w:pPr>
    </w:p>
    <w:p w:rsidR="001E4ED8" w:rsidRPr="00AA6B0E" w:rsidRDefault="001E4ED8" w:rsidP="001E4ED8">
      <w:pPr>
        <w:pStyle w:val="ListParagraph"/>
        <w:widowControl/>
        <w:autoSpaceDE/>
        <w:autoSpaceDN/>
        <w:adjustRightInd/>
        <w:spacing w:after="240" w:line="360" w:lineRule="auto"/>
        <w:ind w:left="0"/>
        <w:contextualSpacing w:val="0"/>
        <w:jc w:val="both"/>
        <w:rPr>
          <w:sz w:val="24"/>
          <w:szCs w:val="24"/>
        </w:rPr>
      </w:pPr>
      <w:r w:rsidRPr="00AA6B0E">
        <w:rPr>
          <w:sz w:val="24"/>
          <w:szCs w:val="24"/>
        </w:rPr>
        <w:t xml:space="preserve">Signed, </w:t>
      </w:r>
      <w:r w:rsidR="00E33F35" w:rsidRPr="00AA6B0E">
        <w:rPr>
          <w:sz w:val="24"/>
          <w:szCs w:val="24"/>
        </w:rPr>
        <w:t xml:space="preserve">dated and delivered at Ile du Port </w:t>
      </w:r>
      <w:r w:rsidRPr="00AA6B0E">
        <w:rPr>
          <w:sz w:val="24"/>
          <w:szCs w:val="24"/>
        </w:rPr>
        <w:t xml:space="preserve">on </w:t>
      </w:r>
      <w:bookmarkStart w:id="14" w:name="Text19"/>
      <w:r w:rsidR="003A1808">
        <w:rPr>
          <w:sz w:val="24"/>
          <w:szCs w:val="24"/>
        </w:rPr>
        <w:t>1</w:t>
      </w:r>
      <w:r w:rsidR="003A1808" w:rsidRPr="003A1808">
        <w:rPr>
          <w:sz w:val="24"/>
          <w:szCs w:val="24"/>
          <w:vertAlign w:val="superscript"/>
        </w:rPr>
        <w:t>st</w:t>
      </w:r>
      <w:r w:rsidR="003A1808">
        <w:rPr>
          <w:sz w:val="24"/>
          <w:szCs w:val="24"/>
        </w:rPr>
        <w:t xml:space="preserve"> June</w:t>
      </w:r>
      <w:r w:rsidR="00C759FB" w:rsidRPr="00AA6B0E">
        <w:rPr>
          <w:sz w:val="24"/>
          <w:szCs w:val="24"/>
        </w:rPr>
        <w:t xml:space="preserve"> 2018.</w:t>
      </w:r>
      <w:r w:rsidR="006D0171" w:rsidRPr="00AA6B0E">
        <w:rPr>
          <w:sz w:val="24"/>
          <w:szCs w:val="24"/>
        </w:rPr>
        <w:fldChar w:fldCharType="begin">
          <w:ffData>
            <w:name w:val="Text19"/>
            <w:enabled/>
            <w:calcOnExit w:val="0"/>
            <w:textInput>
              <w:type w:val="date"/>
              <w:format w:val="d MMMM yyyy"/>
            </w:textInput>
          </w:ffData>
        </w:fldChar>
      </w:r>
      <w:r w:rsidR="00101D12" w:rsidRPr="00AA6B0E">
        <w:rPr>
          <w:sz w:val="24"/>
          <w:szCs w:val="24"/>
        </w:rPr>
        <w:instrText xml:space="preserve"> FORMTEXT </w:instrText>
      </w:r>
      <w:r w:rsidR="006D0171" w:rsidRPr="00AA6B0E">
        <w:rPr>
          <w:sz w:val="24"/>
          <w:szCs w:val="24"/>
        </w:rPr>
      </w:r>
      <w:r w:rsidR="006D0171" w:rsidRPr="00AA6B0E">
        <w:rPr>
          <w:sz w:val="24"/>
          <w:szCs w:val="24"/>
        </w:rPr>
        <w:fldChar w:fldCharType="separate"/>
      </w:r>
      <w:r w:rsidR="00101D12" w:rsidRPr="00AA6B0E">
        <w:rPr>
          <w:noProof/>
          <w:sz w:val="24"/>
          <w:szCs w:val="24"/>
        </w:rPr>
        <w:t> </w:t>
      </w:r>
      <w:r w:rsidR="00101D12" w:rsidRPr="00AA6B0E">
        <w:rPr>
          <w:noProof/>
          <w:sz w:val="24"/>
          <w:szCs w:val="24"/>
        </w:rPr>
        <w:t> </w:t>
      </w:r>
      <w:r w:rsidR="00101D12" w:rsidRPr="00AA6B0E">
        <w:rPr>
          <w:noProof/>
          <w:sz w:val="24"/>
          <w:szCs w:val="24"/>
        </w:rPr>
        <w:t> </w:t>
      </w:r>
      <w:r w:rsidR="00101D12" w:rsidRPr="00AA6B0E">
        <w:rPr>
          <w:noProof/>
          <w:sz w:val="24"/>
          <w:szCs w:val="24"/>
        </w:rPr>
        <w:t> </w:t>
      </w:r>
      <w:r w:rsidR="00101D12" w:rsidRPr="00AA6B0E">
        <w:rPr>
          <w:noProof/>
          <w:sz w:val="24"/>
          <w:szCs w:val="24"/>
        </w:rPr>
        <w:t> </w:t>
      </w:r>
      <w:r w:rsidR="006D0171" w:rsidRPr="00AA6B0E">
        <w:rPr>
          <w:sz w:val="24"/>
          <w:szCs w:val="24"/>
        </w:rPr>
        <w:fldChar w:fldCharType="end"/>
      </w:r>
      <w:bookmarkEnd w:id="14"/>
    </w:p>
    <w:p w:rsidR="005C5493" w:rsidRPr="00304376" w:rsidRDefault="005C5493" w:rsidP="0006489F">
      <w:pPr>
        <w:pStyle w:val="ListParagraph"/>
        <w:widowControl/>
        <w:autoSpaceDE/>
        <w:autoSpaceDN/>
        <w:adjustRightInd/>
        <w:spacing w:line="360" w:lineRule="auto"/>
        <w:ind w:left="0"/>
        <w:contextualSpacing w:val="0"/>
        <w:jc w:val="both"/>
        <w:rPr>
          <w:i/>
          <w:sz w:val="24"/>
          <w:szCs w:val="24"/>
        </w:rPr>
        <w:sectPr w:rsidR="005C5493" w:rsidRPr="00304376" w:rsidSect="00EF2051">
          <w:type w:val="continuous"/>
          <w:pgSz w:w="12240" w:h="15840"/>
          <w:pgMar w:top="1440" w:right="1440" w:bottom="1440" w:left="1440" w:header="720" w:footer="720" w:gutter="0"/>
          <w:cols w:space="720"/>
          <w:docGrid w:linePitch="360"/>
        </w:sectPr>
      </w:pPr>
    </w:p>
    <w:p w:rsidR="0006489F" w:rsidRPr="00304376" w:rsidRDefault="0006489F" w:rsidP="0006489F">
      <w:pPr>
        <w:pStyle w:val="ListParagraph"/>
        <w:widowControl/>
        <w:autoSpaceDE/>
        <w:autoSpaceDN/>
        <w:adjustRightInd/>
        <w:spacing w:line="360" w:lineRule="auto"/>
        <w:ind w:left="0"/>
        <w:contextualSpacing w:val="0"/>
        <w:jc w:val="both"/>
        <w:rPr>
          <w:i/>
          <w:sz w:val="24"/>
          <w:szCs w:val="24"/>
        </w:rPr>
      </w:pPr>
    </w:p>
    <w:p w:rsidR="005C5493" w:rsidRPr="00304376" w:rsidRDefault="005C5493" w:rsidP="0006489F">
      <w:pPr>
        <w:pStyle w:val="ListParagraph"/>
        <w:widowControl/>
        <w:autoSpaceDE/>
        <w:autoSpaceDN/>
        <w:adjustRightInd/>
        <w:spacing w:after="120"/>
        <w:ind w:left="0"/>
        <w:contextualSpacing w:val="0"/>
        <w:jc w:val="both"/>
        <w:rPr>
          <w:i/>
          <w:sz w:val="24"/>
          <w:szCs w:val="24"/>
        </w:rPr>
        <w:sectPr w:rsidR="005C5493" w:rsidRPr="00304376" w:rsidSect="00EF2051">
          <w:type w:val="continuous"/>
          <w:pgSz w:w="12240" w:h="15840"/>
          <w:pgMar w:top="1440" w:right="1440" w:bottom="1440" w:left="1440" w:header="720" w:footer="720" w:gutter="0"/>
          <w:cols w:space="720"/>
          <w:formProt w:val="0"/>
          <w:docGrid w:linePitch="360"/>
        </w:sectPr>
      </w:pPr>
    </w:p>
    <w:p w:rsidR="00E33F35" w:rsidRPr="00304376" w:rsidRDefault="00E33F35" w:rsidP="0006489F">
      <w:pPr>
        <w:pStyle w:val="ListParagraph"/>
        <w:widowControl/>
        <w:autoSpaceDE/>
        <w:autoSpaceDN/>
        <w:adjustRightInd/>
        <w:spacing w:after="120"/>
        <w:ind w:left="0"/>
        <w:contextualSpacing w:val="0"/>
        <w:jc w:val="both"/>
        <w:rPr>
          <w:i/>
          <w:sz w:val="24"/>
          <w:szCs w:val="24"/>
        </w:rPr>
      </w:pPr>
    </w:p>
    <w:p w:rsidR="00E33F35" w:rsidRPr="00AA6B0E" w:rsidRDefault="00C759FB" w:rsidP="0006489F">
      <w:pPr>
        <w:pStyle w:val="ListParagraph"/>
        <w:widowControl/>
        <w:autoSpaceDE/>
        <w:autoSpaceDN/>
        <w:adjustRightInd/>
        <w:ind w:left="0"/>
        <w:contextualSpacing w:val="0"/>
        <w:jc w:val="both"/>
        <w:rPr>
          <w:sz w:val="24"/>
          <w:szCs w:val="24"/>
        </w:rPr>
      </w:pPr>
      <w:r w:rsidRPr="00AA6B0E">
        <w:rPr>
          <w:sz w:val="24"/>
          <w:szCs w:val="24"/>
        </w:rPr>
        <w:fldChar w:fldCharType="begin">
          <w:ffData>
            <w:name w:val="Dropdown6"/>
            <w:enabled/>
            <w:calcOnExit w:val="0"/>
            <w:ddList>
              <w:listEntry w:val="S Nunkoo"/>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M. Vidot"/>
              <w:listEntry w:val="L. Pillay, J"/>
              <w:listEntry w:val="F M S Egonda-Ntende"/>
            </w:ddList>
          </w:ffData>
        </w:fldChar>
      </w:r>
      <w:bookmarkStart w:id="15" w:name="Dropdown6"/>
      <w:r w:rsidRPr="00AA6B0E">
        <w:rPr>
          <w:sz w:val="24"/>
          <w:szCs w:val="24"/>
        </w:rPr>
        <w:instrText xml:space="preserve"> FORMDROPDOWN </w:instrText>
      </w:r>
      <w:r w:rsidR="000F15CC">
        <w:rPr>
          <w:sz w:val="24"/>
          <w:szCs w:val="24"/>
        </w:rPr>
      </w:r>
      <w:r w:rsidR="000F15CC">
        <w:rPr>
          <w:sz w:val="24"/>
          <w:szCs w:val="24"/>
        </w:rPr>
        <w:fldChar w:fldCharType="separate"/>
      </w:r>
      <w:r w:rsidRPr="00AA6B0E">
        <w:rPr>
          <w:sz w:val="24"/>
          <w:szCs w:val="24"/>
        </w:rPr>
        <w:fldChar w:fldCharType="end"/>
      </w:r>
      <w:bookmarkEnd w:id="15"/>
    </w:p>
    <w:p w:rsidR="009E05E5" w:rsidRPr="00AA6B0E" w:rsidRDefault="00C759FB" w:rsidP="00E33F35">
      <w:pPr>
        <w:pStyle w:val="ListParagraph"/>
        <w:widowControl/>
        <w:autoSpaceDE/>
        <w:autoSpaceDN/>
        <w:adjustRightInd/>
        <w:ind w:left="0"/>
        <w:contextualSpacing w:val="0"/>
        <w:jc w:val="both"/>
        <w:rPr>
          <w:b/>
          <w:sz w:val="24"/>
          <w:szCs w:val="24"/>
        </w:rPr>
      </w:pPr>
      <w:r w:rsidRPr="00AA6B0E">
        <w:rPr>
          <w:b/>
          <w:sz w:val="24"/>
          <w:szCs w:val="24"/>
        </w:rPr>
        <w:fldChar w:fldCharType="begin">
          <w:ffData>
            <w:name w:val="Dropdown7"/>
            <w:enabled/>
            <w:calcOnExit w:val="0"/>
            <w:ddList>
              <w:listEntry w:val="Judge of the Supreme Court"/>
              <w:listEntry w:val="Chief Justice"/>
            </w:ddList>
          </w:ffData>
        </w:fldChar>
      </w:r>
      <w:bookmarkStart w:id="16" w:name="Dropdown7"/>
      <w:r w:rsidRPr="00AA6B0E">
        <w:rPr>
          <w:b/>
          <w:sz w:val="24"/>
          <w:szCs w:val="24"/>
        </w:rPr>
        <w:instrText xml:space="preserve"> FORMDROPDOWN </w:instrText>
      </w:r>
      <w:r w:rsidR="000F15CC">
        <w:rPr>
          <w:b/>
          <w:sz w:val="24"/>
          <w:szCs w:val="24"/>
        </w:rPr>
      </w:r>
      <w:r w:rsidR="000F15CC">
        <w:rPr>
          <w:b/>
          <w:sz w:val="24"/>
          <w:szCs w:val="24"/>
        </w:rPr>
        <w:fldChar w:fldCharType="separate"/>
      </w:r>
      <w:r w:rsidRPr="00AA6B0E">
        <w:rPr>
          <w:b/>
          <w:sz w:val="24"/>
          <w:szCs w:val="24"/>
        </w:rPr>
        <w:fldChar w:fldCharType="end"/>
      </w:r>
      <w:bookmarkEnd w:id="16"/>
      <w:r w:rsidR="006D0171" w:rsidRPr="00AA6B0E">
        <w:rPr>
          <w:b/>
          <w:sz w:val="24"/>
          <w:szCs w:val="24"/>
        </w:rPr>
        <w:fldChar w:fldCharType="begin"/>
      </w:r>
      <w:r w:rsidR="007C2809" w:rsidRPr="00AA6B0E">
        <w:rPr>
          <w:b/>
          <w:sz w:val="24"/>
          <w:szCs w:val="24"/>
        </w:rPr>
        <w:instrText xml:space="preserve">  </w:instrText>
      </w:r>
      <w:r w:rsidR="006D0171" w:rsidRPr="00AA6B0E">
        <w:rPr>
          <w:b/>
          <w:sz w:val="24"/>
          <w:szCs w:val="24"/>
        </w:rPr>
        <w:fldChar w:fldCharType="end"/>
      </w:r>
    </w:p>
    <w:sectPr w:rsidR="009E05E5" w:rsidRPr="00AA6B0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B3E" w:rsidRDefault="00A85B3E" w:rsidP="00DB6D34">
      <w:r>
        <w:separator/>
      </w:r>
    </w:p>
  </w:endnote>
  <w:endnote w:type="continuationSeparator" w:id="0">
    <w:p w:rsidR="00A85B3E" w:rsidRDefault="00A85B3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0F15CC">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B3E" w:rsidRDefault="00A85B3E" w:rsidP="00DB6D34">
      <w:r>
        <w:separator/>
      </w:r>
    </w:p>
  </w:footnote>
  <w:footnote w:type="continuationSeparator" w:id="0">
    <w:p w:rsidR="00A85B3E" w:rsidRDefault="00A85B3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BC63C49"/>
    <w:multiLevelType w:val="hybridMultilevel"/>
    <w:tmpl w:val="1B5CDA06"/>
    <w:lvl w:ilvl="0" w:tplc="5058C368">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81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F79341B"/>
    <w:multiLevelType w:val="hybridMultilevel"/>
    <w:tmpl w:val="E8000BAC"/>
    <w:lvl w:ilvl="0" w:tplc="0DA83902">
      <w:start w:val="1"/>
      <w:numFmt w:val="lowerRoman"/>
      <w:lvlText w:val="(%1)"/>
      <w:lvlJc w:val="left"/>
      <w:pPr>
        <w:ind w:left="702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73428E"/>
    <w:multiLevelType w:val="hybridMultilevel"/>
    <w:tmpl w:val="5742DF00"/>
    <w:lvl w:ilvl="0" w:tplc="4E9E8E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D321DE"/>
    <w:multiLevelType w:val="hybridMultilevel"/>
    <w:tmpl w:val="E55240FC"/>
    <w:lvl w:ilvl="0" w:tplc="D884F9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A2B4D"/>
    <w:multiLevelType w:val="hybridMultilevel"/>
    <w:tmpl w:val="40DA6CD6"/>
    <w:lvl w:ilvl="0" w:tplc="E9D4203A">
      <w:start w:val="1"/>
      <w:numFmt w:val="decimal"/>
      <w:lvlText w:val="%1."/>
      <w:lvlJc w:val="left"/>
      <w:pPr>
        <w:ind w:left="1080" w:hanging="72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733B7"/>
    <w:multiLevelType w:val="hybridMultilevel"/>
    <w:tmpl w:val="C79E7592"/>
    <w:lvl w:ilvl="0" w:tplc="2A8A6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91143"/>
    <w:multiLevelType w:val="hybridMultilevel"/>
    <w:tmpl w:val="E138DD2A"/>
    <w:lvl w:ilvl="0" w:tplc="48766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E74820"/>
    <w:multiLevelType w:val="multilevel"/>
    <w:tmpl w:val="1CC89892"/>
    <w:numStyleLink w:val="Judgments"/>
  </w:abstractNum>
  <w:abstractNum w:abstractNumId="12">
    <w:nsid w:val="67B5562C"/>
    <w:multiLevelType w:val="hybridMultilevel"/>
    <w:tmpl w:val="B3DE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3"/>
  </w:num>
  <w:num w:numId="5">
    <w:abstractNumId w:val="11"/>
  </w:num>
  <w:num w:numId="6">
    <w:abstractNumId w:val="2"/>
    <w:lvlOverride w:ilvl="0">
      <w:lvl w:ilvl="0">
        <w:start w:val="1"/>
        <w:numFmt w:val="decimal"/>
        <w:pStyle w:val="JudgmentText"/>
        <w:lvlText w:val="[%1]"/>
        <w:lvlJc w:val="left"/>
        <w:pPr>
          <w:ind w:left="810" w:hanging="720"/>
        </w:pPr>
        <w:rPr>
          <w:rFonts w:ascii="Times New Roman" w:hAnsi="Times New Roman" w:hint="default"/>
          <w:i w:val="0"/>
          <w:sz w:val="24"/>
        </w:rPr>
      </w:lvl>
    </w:lvlOverride>
  </w:num>
  <w:num w:numId="7">
    <w:abstractNumId w:val="12"/>
  </w:num>
  <w:num w:numId="8">
    <w:abstractNumId w:val="9"/>
  </w:num>
  <w:num w:numId="9">
    <w:abstractNumId w:val="4"/>
  </w:num>
  <w:num w:numId="10">
    <w:abstractNumId w:val="5"/>
  </w:num>
  <w:num w:numId="11">
    <w:abstractNumId w:val="6"/>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F1"/>
    <w:rsid w:val="00005BEF"/>
    <w:rsid w:val="00030C81"/>
    <w:rsid w:val="0006489F"/>
    <w:rsid w:val="00067B0A"/>
    <w:rsid w:val="00071EE2"/>
    <w:rsid w:val="00075573"/>
    <w:rsid w:val="00091036"/>
    <w:rsid w:val="000A10B8"/>
    <w:rsid w:val="000A3765"/>
    <w:rsid w:val="000D1DD3"/>
    <w:rsid w:val="000E39A5"/>
    <w:rsid w:val="000E7400"/>
    <w:rsid w:val="000F15CC"/>
    <w:rsid w:val="001008BC"/>
    <w:rsid w:val="00101D12"/>
    <w:rsid w:val="00104284"/>
    <w:rsid w:val="00117CBF"/>
    <w:rsid w:val="00126A10"/>
    <w:rsid w:val="00135A90"/>
    <w:rsid w:val="001376AB"/>
    <w:rsid w:val="001439BF"/>
    <w:rsid w:val="00144612"/>
    <w:rsid w:val="001529B0"/>
    <w:rsid w:val="0016510C"/>
    <w:rsid w:val="00180158"/>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2A65"/>
    <w:rsid w:val="00304084"/>
    <w:rsid w:val="00304376"/>
    <w:rsid w:val="00304E76"/>
    <w:rsid w:val="0031329C"/>
    <w:rsid w:val="003647E7"/>
    <w:rsid w:val="003651F4"/>
    <w:rsid w:val="0037270D"/>
    <w:rsid w:val="00377341"/>
    <w:rsid w:val="003820A5"/>
    <w:rsid w:val="003838CC"/>
    <w:rsid w:val="003862CB"/>
    <w:rsid w:val="0038700C"/>
    <w:rsid w:val="003A1808"/>
    <w:rsid w:val="003B461C"/>
    <w:rsid w:val="003B4C19"/>
    <w:rsid w:val="003D58AA"/>
    <w:rsid w:val="003D7B97"/>
    <w:rsid w:val="003E2ABC"/>
    <w:rsid w:val="003F0F8D"/>
    <w:rsid w:val="004156B9"/>
    <w:rsid w:val="00445BFA"/>
    <w:rsid w:val="004462CB"/>
    <w:rsid w:val="00452BB6"/>
    <w:rsid w:val="00453A09"/>
    <w:rsid w:val="0046133B"/>
    <w:rsid w:val="004A00A5"/>
    <w:rsid w:val="004C3D80"/>
    <w:rsid w:val="004E2C54"/>
    <w:rsid w:val="004F3823"/>
    <w:rsid w:val="005207C8"/>
    <w:rsid w:val="00530663"/>
    <w:rsid w:val="0054473E"/>
    <w:rsid w:val="0055036F"/>
    <w:rsid w:val="005514D6"/>
    <w:rsid w:val="00552704"/>
    <w:rsid w:val="00554577"/>
    <w:rsid w:val="00572AB3"/>
    <w:rsid w:val="00580531"/>
    <w:rsid w:val="005836AC"/>
    <w:rsid w:val="00584583"/>
    <w:rsid w:val="00594FAC"/>
    <w:rsid w:val="005B0031"/>
    <w:rsid w:val="005C5493"/>
    <w:rsid w:val="005F5FB0"/>
    <w:rsid w:val="00606587"/>
    <w:rsid w:val="00606EEA"/>
    <w:rsid w:val="00611B39"/>
    <w:rsid w:val="006174DB"/>
    <w:rsid w:val="0064023C"/>
    <w:rsid w:val="00654CAA"/>
    <w:rsid w:val="006578C2"/>
    <w:rsid w:val="00666D33"/>
    <w:rsid w:val="006814FF"/>
    <w:rsid w:val="0068598F"/>
    <w:rsid w:val="00695110"/>
    <w:rsid w:val="006A58E4"/>
    <w:rsid w:val="006D0171"/>
    <w:rsid w:val="006D36C9"/>
    <w:rsid w:val="006F3D07"/>
    <w:rsid w:val="0070785D"/>
    <w:rsid w:val="007175A6"/>
    <w:rsid w:val="00744508"/>
    <w:rsid w:val="007728D0"/>
    <w:rsid w:val="00785812"/>
    <w:rsid w:val="007A47DC"/>
    <w:rsid w:val="007B6178"/>
    <w:rsid w:val="007C2809"/>
    <w:rsid w:val="007D416E"/>
    <w:rsid w:val="00807411"/>
    <w:rsid w:val="00814CF5"/>
    <w:rsid w:val="00816425"/>
    <w:rsid w:val="00821758"/>
    <w:rsid w:val="00821AAB"/>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8F43FD"/>
    <w:rsid w:val="00902D3C"/>
    <w:rsid w:val="009226D4"/>
    <w:rsid w:val="00922CB7"/>
    <w:rsid w:val="0092555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85B3E"/>
    <w:rsid w:val="00AA6B0E"/>
    <w:rsid w:val="00AC3885"/>
    <w:rsid w:val="00AD0BF3"/>
    <w:rsid w:val="00AD75CD"/>
    <w:rsid w:val="00B05D6E"/>
    <w:rsid w:val="00B119B1"/>
    <w:rsid w:val="00B14612"/>
    <w:rsid w:val="00B23E73"/>
    <w:rsid w:val="00B40898"/>
    <w:rsid w:val="00B4124C"/>
    <w:rsid w:val="00B4625E"/>
    <w:rsid w:val="00B667A9"/>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47F5D"/>
    <w:rsid w:val="00C55FDF"/>
    <w:rsid w:val="00C5739F"/>
    <w:rsid w:val="00C67859"/>
    <w:rsid w:val="00C759FB"/>
    <w:rsid w:val="00C87FCA"/>
    <w:rsid w:val="00CA1B0C"/>
    <w:rsid w:val="00CA7795"/>
    <w:rsid w:val="00CA7F40"/>
    <w:rsid w:val="00CB3C7E"/>
    <w:rsid w:val="00CB6800"/>
    <w:rsid w:val="00CC2A46"/>
    <w:rsid w:val="00CF041D"/>
    <w:rsid w:val="00D022F1"/>
    <w:rsid w:val="00D03314"/>
    <w:rsid w:val="00D06A0F"/>
    <w:rsid w:val="00D82047"/>
    <w:rsid w:val="00DA3231"/>
    <w:rsid w:val="00DA351C"/>
    <w:rsid w:val="00DB672C"/>
    <w:rsid w:val="00DB6D34"/>
    <w:rsid w:val="00DD4E02"/>
    <w:rsid w:val="00DE08C1"/>
    <w:rsid w:val="00DE2BE8"/>
    <w:rsid w:val="00DF2970"/>
    <w:rsid w:val="00DF303A"/>
    <w:rsid w:val="00E0467F"/>
    <w:rsid w:val="00E0505F"/>
    <w:rsid w:val="00E07F07"/>
    <w:rsid w:val="00E30B60"/>
    <w:rsid w:val="00E33F35"/>
    <w:rsid w:val="00E34399"/>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566F3"/>
    <w:rsid w:val="00F804CC"/>
    <w:rsid w:val="00F82A83"/>
    <w:rsid w:val="00F83B3D"/>
    <w:rsid w:val="00F9695D"/>
    <w:rsid w:val="00FB0AFB"/>
    <w:rsid w:val="00FB2453"/>
    <w:rsid w:val="00FB39BA"/>
    <w:rsid w:val="00FC61E3"/>
    <w:rsid w:val="00FD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77C99-16CF-4BA7-96A6-93748CC6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customStyle="1" w:styleId="solext2">
    <w:name w:val="solext2"/>
    <w:basedOn w:val="DefaultParagraphFont"/>
    <w:rsid w:val="006814FF"/>
  </w:style>
  <w:style w:type="character" w:customStyle="1" w:styleId="solext3">
    <w:name w:val="solext3"/>
    <w:basedOn w:val="DefaultParagraphFont"/>
    <w:rsid w:val="006814FF"/>
  </w:style>
  <w:style w:type="paragraph" w:customStyle="1" w:styleId="paragnum">
    <w:name w:val="paragnum"/>
    <w:basedOn w:val="Normal"/>
    <w:rsid w:val="006814FF"/>
    <w:pPr>
      <w:widowControl/>
      <w:autoSpaceDE/>
      <w:autoSpaceDN/>
      <w:adjustRightInd/>
      <w:spacing w:before="100" w:beforeAutospacing="1" w:after="100" w:afterAutospacing="1"/>
    </w:pPr>
    <w:rPr>
      <w:rFonts w:eastAsia="Times New Roman"/>
      <w:sz w:val="24"/>
      <w:szCs w:val="24"/>
      <w:lang w:val="en-US"/>
    </w:rPr>
  </w:style>
  <w:style w:type="paragraph" w:customStyle="1" w:styleId="citationenretrait">
    <w:name w:val="citationenretrait"/>
    <w:basedOn w:val="Normal"/>
    <w:rsid w:val="006814FF"/>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AFAF-D75E-480C-A4A1-762A91E2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1</TotalTime>
  <Pages>8</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Seegobin Nunkoo</dc:creator>
  <cp:lastModifiedBy>Michelle</cp:lastModifiedBy>
  <cp:revision>5</cp:revision>
  <cp:lastPrinted>2018-06-04T05:36:00Z</cp:lastPrinted>
  <dcterms:created xsi:type="dcterms:W3CDTF">2018-06-04T05:37:00Z</dcterms:created>
  <dcterms:modified xsi:type="dcterms:W3CDTF">2018-12-10T07:18:00Z</dcterms:modified>
</cp:coreProperties>
</file>