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E8DE2" w14:textId="77777777" w:rsidR="00F34FB5" w:rsidRDefault="00F34FB5" w:rsidP="00CA7795">
      <w:pPr>
        <w:jc w:val="center"/>
        <w:rPr>
          <w:b/>
          <w:sz w:val="28"/>
          <w:szCs w:val="28"/>
        </w:rPr>
      </w:pPr>
    </w:p>
    <w:p w14:paraId="4AB5F942" w14:textId="77777777" w:rsidR="00AD75CD" w:rsidRPr="00606EEA" w:rsidRDefault="00C55FDF" w:rsidP="00CA7795">
      <w:pPr>
        <w:jc w:val="center"/>
        <w:rPr>
          <w:b/>
          <w:sz w:val="28"/>
          <w:szCs w:val="28"/>
        </w:rPr>
      </w:pPr>
      <w:r w:rsidRPr="00606EEA">
        <w:rPr>
          <w:b/>
          <w:sz w:val="28"/>
          <w:szCs w:val="28"/>
        </w:rPr>
        <w:t>IN THE SUPREME COURT OF SEYCHELLES</w:t>
      </w:r>
    </w:p>
    <w:p w14:paraId="422830DE" w14:textId="0328910D" w:rsidR="001961E9" w:rsidRPr="003E0C4B" w:rsidRDefault="00D62F7A" w:rsidP="001961E9">
      <w:pPr>
        <w:spacing w:before="240"/>
        <w:jc w:val="center"/>
        <w:rPr>
          <w:b/>
          <w:sz w:val="28"/>
          <w:szCs w:val="28"/>
          <w:lang w:val="fr-FR"/>
        </w:rPr>
      </w:pPr>
      <w:r>
        <w:rPr>
          <w:b/>
          <w:sz w:val="28"/>
          <w:szCs w:val="28"/>
          <w:lang w:val="fr-FR"/>
        </w:rPr>
        <w:t xml:space="preserve">Civil </w:t>
      </w:r>
      <w:r w:rsidRPr="00D62F7A">
        <w:rPr>
          <w:b/>
          <w:sz w:val="28"/>
          <w:szCs w:val="28"/>
        </w:rPr>
        <w:t>Side</w:t>
      </w:r>
      <w:r>
        <w:rPr>
          <w:b/>
          <w:sz w:val="28"/>
          <w:szCs w:val="28"/>
          <w:lang w:val="fr-FR"/>
        </w:rPr>
        <w:t xml:space="preserve">: </w:t>
      </w:r>
      <w:r w:rsidR="001961E9" w:rsidRPr="003E0C4B">
        <w:rPr>
          <w:b/>
          <w:sz w:val="28"/>
          <w:szCs w:val="28"/>
          <w:lang w:val="fr-FR"/>
        </w:rPr>
        <w:t>MC 95/2016</w:t>
      </w:r>
    </w:p>
    <w:p w14:paraId="1AE790F6" w14:textId="3DDE9860" w:rsidR="00DB6D34" w:rsidRPr="003E0C4B" w:rsidRDefault="003E0C4B" w:rsidP="003651F4">
      <w:pPr>
        <w:spacing w:before="240" w:after="160"/>
        <w:ind w:left="6480"/>
        <w:rPr>
          <w:b/>
          <w:sz w:val="24"/>
          <w:szCs w:val="24"/>
          <w:lang w:val="fr-FR"/>
        </w:rPr>
      </w:pPr>
      <w:r>
        <w:rPr>
          <w:b/>
          <w:sz w:val="24"/>
          <w:szCs w:val="24"/>
          <w:lang w:val="fr-FR"/>
        </w:rPr>
        <w:t xml:space="preserve">[2018] </w:t>
      </w:r>
      <w:r w:rsidR="00DB6D34" w:rsidRPr="003E0C4B">
        <w:rPr>
          <w:b/>
          <w:sz w:val="24"/>
          <w:szCs w:val="24"/>
          <w:lang w:val="fr-FR"/>
        </w:rPr>
        <w:t>SCSC</w:t>
      </w:r>
      <w:r w:rsidR="003651F4" w:rsidRPr="003E0C4B">
        <w:rPr>
          <w:b/>
          <w:sz w:val="24"/>
          <w:szCs w:val="24"/>
          <w:lang w:val="fr-FR"/>
        </w:rPr>
        <w:t xml:space="preserve"> </w:t>
      </w:r>
      <w:r w:rsidR="00F41CA0">
        <w:rPr>
          <w:b/>
          <w:sz w:val="24"/>
          <w:szCs w:val="24"/>
          <w:lang w:val="fr-FR"/>
        </w:rPr>
        <w:t>564</w:t>
      </w:r>
      <w:bookmarkStart w:id="0" w:name="_GoBack"/>
      <w:bookmarkEnd w:id="0"/>
    </w:p>
    <w:p w14:paraId="40B0FED1" w14:textId="77777777" w:rsidR="00C55FDF" w:rsidRPr="003E0C4B" w:rsidRDefault="00C55FDF" w:rsidP="00E57D4D">
      <w:pPr>
        <w:pBdr>
          <w:bottom w:val="single" w:sz="4" w:space="5" w:color="auto"/>
        </w:pBdr>
        <w:jc w:val="center"/>
        <w:rPr>
          <w:b/>
          <w:sz w:val="24"/>
          <w:szCs w:val="24"/>
          <w:lang w:val="fr-FR"/>
        </w:rPr>
      </w:pPr>
    </w:p>
    <w:p w14:paraId="612C5C69" w14:textId="77777777" w:rsidR="00572AB3" w:rsidRPr="003E0C4B" w:rsidRDefault="00572AB3" w:rsidP="00572AB3">
      <w:pPr>
        <w:rPr>
          <w:sz w:val="24"/>
          <w:szCs w:val="24"/>
          <w:lang w:val="fr-FR"/>
        </w:rPr>
      </w:pPr>
    </w:p>
    <w:p w14:paraId="59FE7814" w14:textId="7C610369" w:rsidR="003E0C4B" w:rsidRDefault="0042653A" w:rsidP="00BF0046">
      <w:pPr>
        <w:ind w:left="2160" w:firstLine="720"/>
        <w:rPr>
          <w:b/>
          <w:sz w:val="24"/>
          <w:szCs w:val="24"/>
          <w:lang w:val="fr-FR"/>
        </w:rPr>
      </w:pPr>
      <w:bookmarkStart w:id="1" w:name="Text20"/>
      <w:r w:rsidRPr="003E0C4B">
        <w:rPr>
          <w:b/>
          <w:sz w:val="24"/>
          <w:szCs w:val="24"/>
          <w:lang w:val="fr-FR"/>
        </w:rPr>
        <w:t xml:space="preserve">    </w:t>
      </w:r>
      <w:r w:rsidR="003E0C4B" w:rsidRPr="003E0C4B">
        <w:rPr>
          <w:b/>
          <w:sz w:val="24"/>
          <w:szCs w:val="24"/>
          <w:lang w:val="fr-FR"/>
        </w:rPr>
        <w:t>FINANCIAL INTELLIGENCE UNIT</w:t>
      </w:r>
      <w:bookmarkEnd w:id="1"/>
      <w:r w:rsidR="001961E9" w:rsidRPr="003E0C4B">
        <w:rPr>
          <w:b/>
          <w:sz w:val="24"/>
          <w:szCs w:val="24"/>
          <w:lang w:val="fr-FR"/>
        </w:rPr>
        <w:tab/>
      </w:r>
      <w:r w:rsidR="001961E9" w:rsidRPr="003E0C4B">
        <w:rPr>
          <w:b/>
          <w:sz w:val="24"/>
          <w:szCs w:val="24"/>
          <w:lang w:val="fr-FR"/>
        </w:rPr>
        <w:tab/>
      </w:r>
    </w:p>
    <w:p w14:paraId="579ABA64" w14:textId="77777777" w:rsidR="00D62F7A" w:rsidRPr="00C81616" w:rsidRDefault="003E0C4B" w:rsidP="003E0C4B">
      <w:pPr>
        <w:ind w:left="2160" w:firstLine="720"/>
        <w:rPr>
          <w:sz w:val="24"/>
          <w:szCs w:val="24"/>
          <w:lang w:val="fr-FR"/>
        </w:rPr>
      </w:pPr>
      <w:r w:rsidRPr="00C81616">
        <w:rPr>
          <w:sz w:val="24"/>
          <w:szCs w:val="24"/>
          <w:lang w:val="fr-FR"/>
        </w:rPr>
        <w:t xml:space="preserve">                     </w:t>
      </w:r>
    </w:p>
    <w:p w14:paraId="7DE202BB" w14:textId="63FADAAA" w:rsidR="00B40898" w:rsidRPr="00B23F8B" w:rsidRDefault="00D62F7A" w:rsidP="003E0C4B">
      <w:pPr>
        <w:ind w:left="2160" w:firstLine="720"/>
        <w:rPr>
          <w:sz w:val="24"/>
          <w:szCs w:val="24"/>
        </w:rPr>
        <w:sectPr w:rsidR="00B40898" w:rsidRPr="00B23F8B" w:rsidSect="00F34FB5">
          <w:footerReference w:type="default" r:id="rId8"/>
          <w:type w:val="continuous"/>
          <w:pgSz w:w="12240" w:h="15840"/>
          <w:pgMar w:top="1080" w:right="1440" w:bottom="1440" w:left="1440" w:header="720" w:footer="720" w:gutter="0"/>
          <w:cols w:space="720"/>
          <w:docGrid w:linePitch="360"/>
        </w:sectPr>
      </w:pPr>
      <w:r w:rsidRPr="00C81616">
        <w:rPr>
          <w:sz w:val="24"/>
          <w:szCs w:val="24"/>
          <w:lang w:val="fr-FR"/>
        </w:rPr>
        <w:t xml:space="preserve">                    </w:t>
      </w:r>
      <w:r w:rsidR="003E0C4B" w:rsidRPr="00C81616">
        <w:rPr>
          <w:sz w:val="24"/>
          <w:szCs w:val="24"/>
          <w:lang w:val="fr-FR"/>
        </w:rPr>
        <w:t xml:space="preserve">  </w:t>
      </w:r>
      <w:r w:rsidR="00BF0046" w:rsidRPr="00B23F8B">
        <w:rPr>
          <w:sz w:val="24"/>
          <w:szCs w:val="24"/>
        </w:rPr>
        <w:t>Applicant</w:t>
      </w:r>
    </w:p>
    <w:p w14:paraId="628FB0EC" w14:textId="77777777" w:rsidR="004C3D80" w:rsidRPr="003E0C4B" w:rsidRDefault="004C3D80" w:rsidP="003862CB">
      <w:pPr>
        <w:jc w:val="center"/>
        <w:rPr>
          <w:b/>
          <w:sz w:val="24"/>
          <w:szCs w:val="24"/>
          <w:lang w:val="fr-FR"/>
        </w:rPr>
      </w:pPr>
    </w:p>
    <w:p w14:paraId="3D834AA4" w14:textId="77777777" w:rsidR="00B40898" w:rsidRPr="003E0C4B" w:rsidRDefault="00B40898" w:rsidP="00B40898">
      <w:pPr>
        <w:rPr>
          <w:sz w:val="24"/>
          <w:szCs w:val="24"/>
          <w:lang w:val="fr-FR"/>
        </w:rPr>
        <w:sectPr w:rsidR="00B40898" w:rsidRPr="003E0C4B" w:rsidSect="00EF2051">
          <w:type w:val="continuous"/>
          <w:pgSz w:w="12240" w:h="15840"/>
          <w:pgMar w:top="1440" w:right="1440" w:bottom="1440" w:left="1440" w:header="720" w:footer="720" w:gutter="0"/>
          <w:cols w:space="720"/>
          <w:formProt w:val="0"/>
          <w:docGrid w:linePitch="360"/>
        </w:sectPr>
      </w:pPr>
    </w:p>
    <w:p w14:paraId="70D3478C" w14:textId="77777777" w:rsidR="00FB2453" w:rsidRPr="003E0C4B" w:rsidRDefault="00FB2453" w:rsidP="00B40898">
      <w:pPr>
        <w:spacing w:before="120"/>
        <w:jc w:val="center"/>
        <w:rPr>
          <w:sz w:val="24"/>
          <w:szCs w:val="24"/>
          <w:lang w:val="fr-FR"/>
        </w:rPr>
      </w:pPr>
      <w:proofErr w:type="gramStart"/>
      <w:r w:rsidRPr="003E0C4B">
        <w:rPr>
          <w:sz w:val="24"/>
          <w:szCs w:val="24"/>
          <w:lang w:val="fr-FR"/>
        </w:rPr>
        <w:lastRenderedPageBreak/>
        <w:t>versus</w:t>
      </w:r>
      <w:proofErr w:type="gramEnd"/>
    </w:p>
    <w:p w14:paraId="746CBB1F" w14:textId="77777777" w:rsidR="00FB2453" w:rsidRPr="003E0C4B" w:rsidRDefault="00FB2453" w:rsidP="003862CB">
      <w:pPr>
        <w:jc w:val="center"/>
        <w:rPr>
          <w:sz w:val="24"/>
          <w:szCs w:val="24"/>
          <w:lang w:val="fr-FR"/>
        </w:rPr>
      </w:pPr>
    </w:p>
    <w:bookmarkStart w:id="2" w:name="Text22"/>
    <w:p w14:paraId="0A537872" w14:textId="77777777" w:rsidR="00B119B1" w:rsidRPr="00BF0046" w:rsidRDefault="001E0BA2" w:rsidP="003862CB">
      <w:pPr>
        <w:jc w:val="center"/>
        <w:rPr>
          <w:b/>
          <w:sz w:val="24"/>
          <w:szCs w:val="24"/>
        </w:rPr>
      </w:pPr>
      <w:r w:rsidRPr="00BF0046">
        <w:rPr>
          <w:b/>
          <w:sz w:val="24"/>
          <w:szCs w:val="24"/>
        </w:rPr>
        <w:fldChar w:fldCharType="begin">
          <w:ffData>
            <w:name w:val="Text22"/>
            <w:enabled/>
            <w:calcOnExit w:val="0"/>
            <w:textInput>
              <w:format w:val="UPPERCASE"/>
            </w:textInput>
          </w:ffData>
        </w:fldChar>
      </w:r>
      <w:r w:rsidR="00FB2453" w:rsidRPr="00BF0046">
        <w:rPr>
          <w:b/>
          <w:sz w:val="24"/>
          <w:szCs w:val="24"/>
        </w:rPr>
        <w:instrText xml:space="preserve"> FORMTEXT </w:instrText>
      </w:r>
      <w:r w:rsidRPr="00BF0046">
        <w:rPr>
          <w:b/>
          <w:sz w:val="24"/>
          <w:szCs w:val="24"/>
        </w:rPr>
      </w:r>
      <w:r w:rsidRPr="00BF0046">
        <w:rPr>
          <w:b/>
          <w:sz w:val="24"/>
          <w:szCs w:val="24"/>
        </w:rPr>
        <w:fldChar w:fldCharType="separate"/>
      </w:r>
      <w:r w:rsidR="00FB2453" w:rsidRPr="00BF0046">
        <w:rPr>
          <w:b/>
          <w:noProof/>
          <w:sz w:val="24"/>
          <w:szCs w:val="24"/>
        </w:rPr>
        <w:t> </w:t>
      </w:r>
      <w:r w:rsidR="00FB2453" w:rsidRPr="00BF0046">
        <w:rPr>
          <w:b/>
          <w:noProof/>
          <w:sz w:val="24"/>
          <w:szCs w:val="24"/>
        </w:rPr>
        <w:t> </w:t>
      </w:r>
      <w:r w:rsidR="00FB2453" w:rsidRPr="00BF0046">
        <w:rPr>
          <w:b/>
          <w:noProof/>
          <w:sz w:val="24"/>
          <w:szCs w:val="24"/>
        </w:rPr>
        <w:t> </w:t>
      </w:r>
      <w:r w:rsidR="00FB2453" w:rsidRPr="00BF0046">
        <w:rPr>
          <w:b/>
          <w:noProof/>
          <w:sz w:val="24"/>
          <w:szCs w:val="24"/>
        </w:rPr>
        <w:t> </w:t>
      </w:r>
      <w:r w:rsidR="00FB2453" w:rsidRPr="00BF0046">
        <w:rPr>
          <w:b/>
          <w:noProof/>
          <w:sz w:val="24"/>
          <w:szCs w:val="24"/>
        </w:rPr>
        <w:t> </w:t>
      </w:r>
      <w:r w:rsidRPr="00BF0046">
        <w:rPr>
          <w:b/>
          <w:sz w:val="24"/>
          <w:szCs w:val="24"/>
        </w:rPr>
        <w:fldChar w:fldCharType="end"/>
      </w:r>
      <w:bookmarkEnd w:id="2"/>
    </w:p>
    <w:p w14:paraId="3F405B58" w14:textId="1088ED78" w:rsidR="00BF0046" w:rsidRPr="00BF0046" w:rsidRDefault="003E0C4B" w:rsidP="00BF0046">
      <w:pPr>
        <w:pStyle w:val="ListParagraph"/>
        <w:numPr>
          <w:ilvl w:val="0"/>
          <w:numId w:val="7"/>
        </w:numPr>
        <w:spacing w:after="240"/>
        <w:rPr>
          <w:sz w:val="24"/>
          <w:szCs w:val="24"/>
        </w:rPr>
      </w:pPr>
      <w:bookmarkStart w:id="3" w:name="Dropdown14"/>
      <w:r w:rsidRPr="00BF0046">
        <w:rPr>
          <w:b/>
          <w:sz w:val="24"/>
          <w:szCs w:val="24"/>
        </w:rPr>
        <w:t>CONTACT LENSES LIMITED</w:t>
      </w:r>
      <w:r w:rsidRPr="00BF0046">
        <w:rPr>
          <w:b/>
          <w:sz w:val="24"/>
          <w:szCs w:val="24"/>
        </w:rPr>
        <w:tab/>
      </w:r>
    </w:p>
    <w:p w14:paraId="22FD2612" w14:textId="6AACB50F" w:rsidR="00BF0046" w:rsidRPr="00BF0046" w:rsidRDefault="003E0C4B" w:rsidP="00BF0046">
      <w:pPr>
        <w:pStyle w:val="ListParagraph"/>
        <w:numPr>
          <w:ilvl w:val="0"/>
          <w:numId w:val="7"/>
        </w:numPr>
        <w:spacing w:after="240"/>
        <w:rPr>
          <w:b/>
          <w:sz w:val="24"/>
          <w:szCs w:val="24"/>
        </w:rPr>
      </w:pPr>
      <w:r w:rsidRPr="00BF0046">
        <w:rPr>
          <w:b/>
          <w:sz w:val="24"/>
          <w:szCs w:val="24"/>
        </w:rPr>
        <w:t>JOHN DREYER</w:t>
      </w:r>
    </w:p>
    <w:p w14:paraId="64AA57FA" w14:textId="7FE6281D" w:rsidR="00BF0046" w:rsidRPr="00BF0046" w:rsidRDefault="003E0C4B" w:rsidP="00BF0046">
      <w:pPr>
        <w:pStyle w:val="ListParagraph"/>
        <w:numPr>
          <w:ilvl w:val="0"/>
          <w:numId w:val="7"/>
        </w:numPr>
        <w:spacing w:after="240"/>
        <w:rPr>
          <w:b/>
          <w:sz w:val="24"/>
          <w:szCs w:val="24"/>
        </w:rPr>
      </w:pPr>
      <w:r w:rsidRPr="00BF0046">
        <w:rPr>
          <w:b/>
          <w:sz w:val="24"/>
          <w:szCs w:val="24"/>
        </w:rPr>
        <w:t>DONNA DREYER</w:t>
      </w:r>
    </w:p>
    <w:p w14:paraId="3D2DEB25" w14:textId="7C32BAE9" w:rsidR="003E0C4B" w:rsidRDefault="003E0C4B" w:rsidP="001C4BF2">
      <w:pPr>
        <w:pStyle w:val="ListParagraph"/>
        <w:numPr>
          <w:ilvl w:val="0"/>
          <w:numId w:val="7"/>
        </w:numPr>
        <w:spacing w:after="240"/>
        <w:rPr>
          <w:sz w:val="24"/>
          <w:szCs w:val="24"/>
        </w:rPr>
      </w:pPr>
      <w:r w:rsidRPr="00BF0046">
        <w:rPr>
          <w:b/>
          <w:sz w:val="24"/>
          <w:szCs w:val="24"/>
        </w:rPr>
        <w:t>MAPLE LIMITED</w:t>
      </w:r>
      <w:r w:rsidRPr="00BF0046">
        <w:rPr>
          <w:sz w:val="24"/>
          <w:szCs w:val="24"/>
        </w:rPr>
        <w:tab/>
      </w:r>
      <w:r w:rsidR="00E00FFC" w:rsidRPr="00BF0046">
        <w:rPr>
          <w:sz w:val="24"/>
          <w:szCs w:val="24"/>
        </w:rPr>
        <w:tab/>
        <w:t xml:space="preserve"> </w:t>
      </w:r>
      <w:r w:rsidR="00BF0046" w:rsidRPr="00BF0046">
        <w:rPr>
          <w:sz w:val="24"/>
          <w:szCs w:val="24"/>
        </w:rPr>
        <w:tab/>
      </w:r>
      <w:r w:rsidR="00BF0046" w:rsidRPr="00BF0046">
        <w:rPr>
          <w:sz w:val="24"/>
          <w:szCs w:val="24"/>
        </w:rPr>
        <w:tab/>
      </w:r>
      <w:bookmarkEnd w:id="3"/>
    </w:p>
    <w:p w14:paraId="70706E67" w14:textId="77777777" w:rsidR="003E0C4B" w:rsidRDefault="003E0C4B" w:rsidP="003E0C4B">
      <w:pPr>
        <w:pStyle w:val="ListParagraph"/>
        <w:spacing w:after="240"/>
        <w:ind w:left="3510"/>
        <w:rPr>
          <w:sz w:val="24"/>
          <w:szCs w:val="24"/>
        </w:rPr>
      </w:pPr>
    </w:p>
    <w:p w14:paraId="75FE110C" w14:textId="24485E34" w:rsidR="00B40898" w:rsidRDefault="003E0C4B" w:rsidP="003E0C4B">
      <w:pPr>
        <w:pStyle w:val="ListParagraph"/>
        <w:spacing w:after="240"/>
        <w:ind w:left="3510"/>
        <w:rPr>
          <w:sz w:val="24"/>
          <w:szCs w:val="24"/>
        </w:rPr>
      </w:pPr>
      <w:r>
        <w:rPr>
          <w:sz w:val="24"/>
          <w:szCs w:val="24"/>
        </w:rPr>
        <w:t xml:space="preserve">        </w:t>
      </w:r>
      <w:r w:rsidR="00BF0046">
        <w:rPr>
          <w:sz w:val="24"/>
          <w:szCs w:val="24"/>
        </w:rPr>
        <w:t>Respondents</w:t>
      </w:r>
    </w:p>
    <w:p w14:paraId="2EE0E389" w14:textId="77777777" w:rsidR="00D74E8D" w:rsidRDefault="00D74E8D" w:rsidP="00D74E8D">
      <w:pPr>
        <w:spacing w:after="240"/>
        <w:rPr>
          <w:sz w:val="24"/>
          <w:szCs w:val="24"/>
        </w:rPr>
      </w:pPr>
    </w:p>
    <w:p w14:paraId="0485C116" w14:textId="77777777" w:rsidR="001C4BF2" w:rsidRPr="001C4BF2" w:rsidRDefault="001C4BF2" w:rsidP="001C4BF2">
      <w:pPr>
        <w:jc w:val="center"/>
        <w:rPr>
          <w:b/>
          <w:sz w:val="24"/>
          <w:szCs w:val="24"/>
        </w:rPr>
      </w:pPr>
      <w:r w:rsidRPr="001C4BF2">
        <w:rPr>
          <w:b/>
          <w:sz w:val="24"/>
          <w:szCs w:val="24"/>
        </w:rPr>
        <w:t>In re the Proceeds of Crime (Civil Confiscation) Act 2008</w:t>
      </w:r>
    </w:p>
    <w:p w14:paraId="1A4D12F4" w14:textId="77777777"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14:paraId="19DCE9B1" w14:textId="77777777" w:rsidR="00E0467F" w:rsidRPr="00695110" w:rsidRDefault="00E0467F" w:rsidP="00E57D4D">
      <w:pPr>
        <w:pBdr>
          <w:bottom w:val="single" w:sz="4" w:space="1" w:color="auto"/>
        </w:pBdr>
        <w:jc w:val="center"/>
        <w:rPr>
          <w:sz w:val="12"/>
          <w:szCs w:val="12"/>
        </w:rPr>
      </w:pPr>
    </w:p>
    <w:p w14:paraId="4AFDF6FA" w14:textId="49E1F6DA"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093512">
        <w:rPr>
          <w:sz w:val="24"/>
          <w:szCs w:val="24"/>
        </w:rPr>
        <w:t>6 December 2017 (Submissions)</w:t>
      </w:r>
      <w:r w:rsidR="00120484">
        <w:rPr>
          <w:sz w:val="24"/>
          <w:szCs w:val="24"/>
        </w:rPr>
        <w:t>, 14 May 2018 (Further Submissions)</w:t>
      </w:r>
      <w:r w:rsidR="00093512">
        <w:rPr>
          <w:sz w:val="24"/>
          <w:szCs w:val="24"/>
        </w:rPr>
        <w:t>.</w:t>
      </w:r>
      <w:r w:rsidRPr="00E0467F">
        <w:rPr>
          <w:sz w:val="24"/>
          <w:szCs w:val="24"/>
        </w:rPr>
        <w:tab/>
      </w:r>
      <w:bookmarkStart w:id="4" w:name="Text34"/>
      <w:r w:rsidR="001E0BA2">
        <w:rPr>
          <w:sz w:val="24"/>
          <w:szCs w:val="24"/>
        </w:rPr>
        <w:fldChar w:fldCharType="begin">
          <w:ffData>
            <w:name w:val="Text34"/>
            <w:enabled/>
            <w:calcOnExit w:val="0"/>
            <w:textInput/>
          </w:ffData>
        </w:fldChar>
      </w:r>
      <w:r w:rsidR="002A7376">
        <w:rPr>
          <w:sz w:val="24"/>
          <w:szCs w:val="24"/>
        </w:rPr>
        <w:instrText xml:space="preserve"> FORMTEXT </w:instrText>
      </w:r>
      <w:r w:rsidR="001E0BA2">
        <w:rPr>
          <w:sz w:val="24"/>
          <w:szCs w:val="24"/>
        </w:rPr>
      </w:r>
      <w:r w:rsidR="001E0BA2">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1E0BA2">
        <w:rPr>
          <w:sz w:val="24"/>
          <w:szCs w:val="24"/>
        </w:rPr>
        <w:fldChar w:fldCharType="end"/>
      </w:r>
      <w:bookmarkEnd w:id="4"/>
      <w:r w:rsidR="001E0BA2">
        <w:rPr>
          <w:sz w:val="24"/>
          <w:szCs w:val="24"/>
        </w:rPr>
        <w:fldChar w:fldCharType="begin"/>
      </w:r>
      <w:r w:rsidR="003F0F8D">
        <w:rPr>
          <w:sz w:val="24"/>
          <w:szCs w:val="24"/>
        </w:rPr>
        <w:instrText xml:space="preserve">  </w:instrText>
      </w:r>
      <w:r w:rsidR="001E0BA2">
        <w:rPr>
          <w:sz w:val="24"/>
          <w:szCs w:val="24"/>
        </w:rPr>
        <w:fldChar w:fldCharType="end"/>
      </w:r>
    </w:p>
    <w:p w14:paraId="0BF8C032" w14:textId="77777777"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proofErr w:type="spellStart"/>
      <w:r w:rsidR="00066C7C">
        <w:rPr>
          <w:sz w:val="24"/>
          <w:szCs w:val="24"/>
        </w:rPr>
        <w:t>Mr</w:t>
      </w:r>
      <w:r w:rsidR="001C4BF2">
        <w:rPr>
          <w:sz w:val="24"/>
          <w:szCs w:val="24"/>
        </w:rPr>
        <w:t>s</w:t>
      </w:r>
      <w:r w:rsidR="00066C7C">
        <w:rPr>
          <w:sz w:val="24"/>
          <w:szCs w:val="24"/>
        </w:rPr>
        <w:t>.</w:t>
      </w:r>
      <w:proofErr w:type="spellEnd"/>
      <w:r w:rsidR="00066C7C">
        <w:rPr>
          <w:sz w:val="24"/>
          <w:szCs w:val="24"/>
        </w:rPr>
        <w:t xml:space="preserve"> </w:t>
      </w:r>
      <w:r w:rsidR="001C4BF2">
        <w:rPr>
          <w:sz w:val="24"/>
          <w:szCs w:val="24"/>
        </w:rPr>
        <w:t>Lansinglu Rongmei</w:t>
      </w:r>
      <w:r w:rsidR="00066C7C">
        <w:rPr>
          <w:sz w:val="24"/>
          <w:szCs w:val="24"/>
        </w:rPr>
        <w:t xml:space="preserve"> </w:t>
      </w:r>
      <w:r w:rsidR="009E05E5">
        <w:rPr>
          <w:sz w:val="24"/>
          <w:szCs w:val="24"/>
        </w:rPr>
        <w:t xml:space="preserve">for </w:t>
      </w:r>
      <w:r w:rsidR="00BF0046">
        <w:rPr>
          <w:sz w:val="24"/>
          <w:szCs w:val="24"/>
        </w:rPr>
        <w:t>Ap</w:t>
      </w:r>
      <w:r w:rsidR="00D74E8D">
        <w:rPr>
          <w:sz w:val="24"/>
          <w:szCs w:val="24"/>
        </w:rPr>
        <w:t>p</w:t>
      </w:r>
      <w:r w:rsidR="00BF0046">
        <w:rPr>
          <w:sz w:val="24"/>
          <w:szCs w:val="24"/>
        </w:rPr>
        <w:t>licant</w:t>
      </w:r>
    </w:p>
    <w:p w14:paraId="60F1FCCD" w14:textId="77777777"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E0BA2">
        <w:rPr>
          <w:sz w:val="24"/>
          <w:szCs w:val="24"/>
        </w:rPr>
        <w:fldChar w:fldCharType="begin">
          <w:ffData>
            <w:name w:val="Text36"/>
            <w:enabled/>
            <w:calcOnExit w:val="0"/>
            <w:textInput/>
          </w:ffData>
        </w:fldChar>
      </w:r>
      <w:bookmarkStart w:id="5" w:name="Text36"/>
      <w:r>
        <w:rPr>
          <w:sz w:val="24"/>
          <w:szCs w:val="24"/>
        </w:rPr>
        <w:instrText xml:space="preserve"> FORMTEXT </w:instrText>
      </w:r>
      <w:r w:rsidR="001E0BA2">
        <w:rPr>
          <w:sz w:val="24"/>
          <w:szCs w:val="24"/>
        </w:rPr>
      </w:r>
      <w:r w:rsidR="001E0BA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E0BA2">
        <w:rPr>
          <w:sz w:val="24"/>
          <w:szCs w:val="24"/>
        </w:rPr>
        <w:fldChar w:fldCharType="end"/>
      </w:r>
      <w:bookmarkEnd w:id="5"/>
    </w:p>
    <w:p w14:paraId="3E7C3EFB" w14:textId="0EE11D00"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proofErr w:type="spellStart"/>
      <w:r w:rsidR="00066C7C">
        <w:rPr>
          <w:sz w:val="24"/>
          <w:szCs w:val="24"/>
        </w:rPr>
        <w:t>Mr.</w:t>
      </w:r>
      <w:proofErr w:type="spellEnd"/>
      <w:r w:rsidR="00066C7C">
        <w:rPr>
          <w:sz w:val="24"/>
          <w:szCs w:val="24"/>
        </w:rPr>
        <w:t xml:space="preserve"> </w:t>
      </w:r>
      <w:r w:rsidR="00C55968">
        <w:rPr>
          <w:sz w:val="24"/>
          <w:szCs w:val="24"/>
        </w:rPr>
        <w:t>Rene</w:t>
      </w:r>
      <w:r w:rsidR="00066C7C">
        <w:rPr>
          <w:sz w:val="24"/>
          <w:szCs w:val="24"/>
        </w:rPr>
        <w:t xml:space="preserve"> Durup </w:t>
      </w:r>
      <w:r>
        <w:rPr>
          <w:sz w:val="24"/>
          <w:szCs w:val="24"/>
        </w:rPr>
        <w:t xml:space="preserve">for </w:t>
      </w:r>
      <w:r w:rsidR="00BF0046">
        <w:rPr>
          <w:sz w:val="24"/>
          <w:szCs w:val="24"/>
        </w:rPr>
        <w:t>Respondent</w:t>
      </w:r>
    </w:p>
    <w:p w14:paraId="3F88FC59" w14:textId="77777777"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E0BA2">
        <w:rPr>
          <w:sz w:val="24"/>
          <w:szCs w:val="24"/>
        </w:rPr>
        <w:fldChar w:fldCharType="begin">
          <w:ffData>
            <w:name w:val="Text37"/>
            <w:enabled/>
            <w:calcOnExit w:val="0"/>
            <w:textInput/>
          </w:ffData>
        </w:fldChar>
      </w:r>
      <w:bookmarkStart w:id="6" w:name="Text37"/>
      <w:r>
        <w:rPr>
          <w:sz w:val="24"/>
          <w:szCs w:val="24"/>
        </w:rPr>
        <w:instrText xml:space="preserve"> FORMTEXT </w:instrText>
      </w:r>
      <w:r w:rsidR="001E0BA2">
        <w:rPr>
          <w:sz w:val="24"/>
          <w:szCs w:val="24"/>
        </w:rPr>
      </w:r>
      <w:r w:rsidR="001E0BA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E0BA2">
        <w:rPr>
          <w:sz w:val="24"/>
          <w:szCs w:val="24"/>
        </w:rPr>
        <w:fldChar w:fldCharType="end"/>
      </w:r>
      <w:bookmarkEnd w:id="6"/>
    </w:p>
    <w:p w14:paraId="0545C205" w14:textId="5B664D1A"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F22741">
        <w:rPr>
          <w:sz w:val="24"/>
          <w:szCs w:val="24"/>
        </w:rPr>
        <w:t>19 June 2018</w:t>
      </w:r>
      <w:r w:rsidR="00E0467F">
        <w:rPr>
          <w:sz w:val="24"/>
          <w:szCs w:val="24"/>
        </w:rPr>
        <w:tab/>
      </w:r>
      <w:bookmarkStart w:id="7" w:name="Text26"/>
      <w:r w:rsidR="001E0BA2">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1E0BA2">
        <w:rPr>
          <w:sz w:val="24"/>
          <w:szCs w:val="24"/>
        </w:rPr>
      </w:r>
      <w:r w:rsidR="001E0BA2">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1E0BA2">
        <w:rPr>
          <w:sz w:val="24"/>
          <w:szCs w:val="24"/>
        </w:rPr>
        <w:fldChar w:fldCharType="end"/>
      </w:r>
      <w:bookmarkEnd w:id="7"/>
    </w:p>
    <w:p w14:paraId="6030EB91" w14:textId="77777777" w:rsidR="00D06A0F" w:rsidRPr="00C87FCA" w:rsidRDefault="00D06A0F" w:rsidP="00E57D4D">
      <w:pPr>
        <w:pBdr>
          <w:top w:val="dotted" w:sz="4" w:space="1" w:color="auto"/>
          <w:bottom w:val="dotted" w:sz="4" w:space="1" w:color="auto"/>
        </w:pBdr>
        <w:jc w:val="center"/>
        <w:rPr>
          <w:sz w:val="24"/>
          <w:szCs w:val="24"/>
          <w:highlight w:val="lightGray"/>
        </w:rPr>
      </w:pPr>
      <w:bookmarkStart w:id="8" w:name="Dropdown2"/>
    </w:p>
    <w:bookmarkEnd w:id="8"/>
    <w:p w14:paraId="4FCA0AE4" w14:textId="438CB0DD" w:rsidR="00C87FCA" w:rsidRDefault="00AA4332" w:rsidP="00C87FCA">
      <w:pPr>
        <w:pBdr>
          <w:top w:val="dotted" w:sz="4" w:space="1" w:color="auto"/>
          <w:bottom w:val="dotted" w:sz="4" w:space="1" w:color="auto"/>
        </w:pBdr>
        <w:jc w:val="center"/>
        <w:rPr>
          <w:b/>
          <w:sz w:val="24"/>
          <w:szCs w:val="24"/>
        </w:rPr>
      </w:pPr>
      <w:r>
        <w:rPr>
          <w:b/>
          <w:sz w:val="24"/>
          <w:szCs w:val="24"/>
        </w:rPr>
        <w:t>JUDGMENT</w:t>
      </w:r>
    </w:p>
    <w:p w14:paraId="1510B847" w14:textId="77777777" w:rsidR="001008BC" w:rsidRDefault="001008BC" w:rsidP="00C87FCA">
      <w:pPr>
        <w:pBdr>
          <w:top w:val="dotted" w:sz="4" w:space="1" w:color="auto"/>
          <w:bottom w:val="dotted" w:sz="4" w:space="1" w:color="auto"/>
        </w:pBdr>
        <w:jc w:val="center"/>
        <w:rPr>
          <w:b/>
          <w:sz w:val="24"/>
          <w:szCs w:val="24"/>
        </w:rPr>
      </w:pPr>
    </w:p>
    <w:p w14:paraId="3D7A4167" w14:textId="77777777"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14:paraId="162BDC72" w14:textId="77777777"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14:paraId="2BB4B497" w14:textId="77777777"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14:paraId="1ABA8793" w14:textId="5FBA76E5" w:rsidR="00D56456" w:rsidRPr="00D56456" w:rsidRDefault="00D56456" w:rsidP="00D56456">
      <w:pPr>
        <w:pStyle w:val="JudgmentText"/>
        <w:numPr>
          <w:ilvl w:val="0"/>
          <w:numId w:val="0"/>
        </w:numPr>
        <w:rPr>
          <w:b/>
        </w:rPr>
      </w:pPr>
      <w:r w:rsidRPr="00D56456">
        <w:rPr>
          <w:b/>
        </w:rPr>
        <w:lastRenderedPageBreak/>
        <w:t>Backg</w:t>
      </w:r>
      <w:r>
        <w:rPr>
          <w:b/>
        </w:rPr>
        <w:t>round</w:t>
      </w:r>
    </w:p>
    <w:p w14:paraId="42588CAE" w14:textId="087C546E" w:rsidR="004C4457" w:rsidRDefault="004C4457" w:rsidP="004C4457">
      <w:pPr>
        <w:pStyle w:val="JudgmentText"/>
      </w:pPr>
      <w:r>
        <w:t xml:space="preserve">The Applicant is a statutory body and its application is brought by way of notice of motion and supported by an affidavit first sworn by </w:t>
      </w:r>
      <w:proofErr w:type="spellStart"/>
      <w:r>
        <w:t>Mr.</w:t>
      </w:r>
      <w:proofErr w:type="spellEnd"/>
      <w:r>
        <w:t xml:space="preserve"> </w:t>
      </w:r>
      <w:proofErr w:type="spellStart"/>
      <w:r>
        <w:t>Finbarr</w:t>
      </w:r>
      <w:proofErr w:type="spellEnd"/>
      <w:r>
        <w:t xml:space="preserve"> O’Leary, then Deputy Director of </w:t>
      </w:r>
      <w:r>
        <w:lastRenderedPageBreak/>
        <w:t xml:space="preserve">the Applicant and a further amended affidavit sworn by Jan </w:t>
      </w:r>
      <w:proofErr w:type="spellStart"/>
      <w:r>
        <w:t>Celliers</w:t>
      </w:r>
      <w:proofErr w:type="spellEnd"/>
      <w:r w:rsidR="00970AD2">
        <w:t>,</w:t>
      </w:r>
      <w:r>
        <w:t xml:space="preserve"> Assistant Superintendent of Police, in charge of the Assets Recovery Unit and holding the post of Deputy Director of the Financial Investigation Unit (FIU). </w:t>
      </w:r>
    </w:p>
    <w:p w14:paraId="5A19B4BE" w14:textId="5903802E" w:rsidR="004C4457" w:rsidRDefault="004C4457" w:rsidP="004C4457">
      <w:pPr>
        <w:pStyle w:val="JudgmentText"/>
      </w:pPr>
      <w:r>
        <w:t xml:space="preserve">The First Respondent is a Seychelles International Business Company incorporated on 21 December 2005. The Second Respondent is a businessman with an address in Vancouver, British Colombia, Canada, the Third Respondent is the wife of the Second Respondent and the Fourth Respondent is a Seychellois company, number 86348-1 with a registered address at Room 306, Victoria House, Victoria, </w:t>
      </w:r>
      <w:proofErr w:type="gramStart"/>
      <w:r>
        <w:t>Mahé</w:t>
      </w:r>
      <w:proofErr w:type="gramEnd"/>
      <w:r>
        <w:t xml:space="preserve">, Seychelles. </w:t>
      </w:r>
    </w:p>
    <w:p w14:paraId="4E80E104" w14:textId="1E8D8B82" w:rsidR="007A3A94" w:rsidRDefault="00BF0046" w:rsidP="00BF0046">
      <w:pPr>
        <w:pStyle w:val="JudgmentText"/>
      </w:pPr>
      <w:r w:rsidRPr="00BF0046">
        <w:t xml:space="preserve">The </w:t>
      </w:r>
      <w:r>
        <w:t>A</w:t>
      </w:r>
      <w:r w:rsidRPr="00BF0046">
        <w:t xml:space="preserve">pplicant is seeking an interlocutory order pursuant to section 4 of the Proceeds of Crime (Civil Confiscation) Act </w:t>
      </w:r>
      <w:r w:rsidR="005962B2">
        <w:t xml:space="preserve">2008 </w:t>
      </w:r>
      <w:r w:rsidR="00B1217A">
        <w:t xml:space="preserve">(hereinafter POCA) </w:t>
      </w:r>
      <w:r w:rsidRPr="00BF0046">
        <w:t xml:space="preserve">prohibiting the </w:t>
      </w:r>
      <w:r>
        <w:t>R</w:t>
      </w:r>
      <w:r w:rsidRPr="00BF0046">
        <w:t xml:space="preserve">espondents or any person who has notice of the order from disposing of or dealing with or diminishing </w:t>
      </w:r>
      <w:r w:rsidR="00A46F48">
        <w:t>the</w:t>
      </w:r>
      <w:r w:rsidRPr="00BF0046">
        <w:t xml:space="preserve"> specified property</w:t>
      </w:r>
      <w:r w:rsidR="007A3A94">
        <w:t>.</w:t>
      </w:r>
      <w:r w:rsidR="00B1217A">
        <w:t xml:space="preserve"> It is also seeking a receivership order pursuant to section 8 of POCA. </w:t>
      </w:r>
    </w:p>
    <w:p w14:paraId="372DC468" w14:textId="77777777" w:rsidR="00A46F48" w:rsidRDefault="007A3A94" w:rsidP="00BF0046">
      <w:pPr>
        <w:pStyle w:val="JudgmentText"/>
      </w:pPr>
      <w:r>
        <w:t xml:space="preserve">The specified property </w:t>
      </w:r>
      <w:r w:rsidR="00847AB2">
        <w:t xml:space="preserve">referred to </w:t>
      </w:r>
      <w:r w:rsidR="00093512">
        <w:t>is a</w:t>
      </w:r>
      <w:r w:rsidR="00B1217A">
        <w:t xml:space="preserve"> </w:t>
      </w:r>
      <w:proofErr w:type="spellStart"/>
      <w:r w:rsidR="00B1217A">
        <w:t>Sunseek</w:t>
      </w:r>
      <w:r w:rsidR="00334DFE">
        <w:t>e</w:t>
      </w:r>
      <w:r w:rsidR="00B1217A">
        <w:t>r</w:t>
      </w:r>
      <w:proofErr w:type="spellEnd"/>
      <w:r w:rsidR="00B1217A">
        <w:t xml:space="preserve"> Motor Yacht, “MOJO”</w:t>
      </w:r>
      <w:r w:rsidR="005F68E8">
        <w:t xml:space="preserve"> </w:t>
      </w:r>
      <w:r w:rsidR="002F1F2A">
        <w:t xml:space="preserve">owned by the Second Respondent </w:t>
      </w:r>
      <w:r w:rsidR="00B1217A">
        <w:t xml:space="preserve">and </w:t>
      </w:r>
      <w:r w:rsidR="00334DFE">
        <w:t>A</w:t>
      </w:r>
      <w:r w:rsidR="00B1217A">
        <w:t>partment</w:t>
      </w:r>
      <w:r w:rsidR="00334DFE">
        <w:t xml:space="preserve"> P28</w:t>
      </w:r>
      <w:r w:rsidR="00F91015">
        <w:t xml:space="preserve"> </w:t>
      </w:r>
      <w:r w:rsidR="00334DFE">
        <w:t>A15 at Eden Island, Seychelles</w:t>
      </w:r>
      <w:r w:rsidR="00847AB2">
        <w:t xml:space="preserve"> </w:t>
      </w:r>
      <w:r w:rsidR="002F1F2A">
        <w:t xml:space="preserve">registered in the name of the Fourth Respondent </w:t>
      </w:r>
      <w:r w:rsidR="00AF5FC3">
        <w:t xml:space="preserve">with beneficial interests therein by </w:t>
      </w:r>
      <w:r w:rsidR="00093512">
        <w:t>the Second</w:t>
      </w:r>
      <w:r w:rsidR="002F1F2A">
        <w:t xml:space="preserve"> and Third Respondents</w:t>
      </w:r>
      <w:r w:rsidR="00334DFE">
        <w:t>.</w:t>
      </w:r>
      <w:r w:rsidR="00093512">
        <w:t xml:space="preserve">  </w:t>
      </w:r>
    </w:p>
    <w:p w14:paraId="68D52B48" w14:textId="15A9C422" w:rsidR="004C4457" w:rsidRDefault="004C4457" w:rsidP="00381D36">
      <w:pPr>
        <w:pStyle w:val="JudgmentText"/>
      </w:pPr>
      <w:r>
        <w:t>Initially, there were other</w:t>
      </w:r>
      <w:r w:rsidR="00093512">
        <w:t xml:space="preserve"> specified property, n</w:t>
      </w:r>
      <w:r w:rsidR="00A46F48">
        <w:t>a</w:t>
      </w:r>
      <w:r w:rsidR="00093512">
        <w:t>m</w:t>
      </w:r>
      <w:r w:rsidR="00A46F48">
        <w:t>e</w:t>
      </w:r>
      <w:r w:rsidR="00093512">
        <w:t xml:space="preserve">ly monies in </w:t>
      </w:r>
      <w:r w:rsidR="00A46F48">
        <w:t>accounts</w:t>
      </w:r>
      <w:r w:rsidR="00093512">
        <w:t xml:space="preserve"> hel</w:t>
      </w:r>
      <w:r w:rsidR="00A46F48">
        <w:t>d</w:t>
      </w:r>
      <w:r w:rsidR="00093512">
        <w:t xml:space="preserve"> with Barclays Bank </w:t>
      </w:r>
      <w:r w:rsidR="00A46F48">
        <w:t>S</w:t>
      </w:r>
      <w:r w:rsidR="00093512">
        <w:t>eych</w:t>
      </w:r>
      <w:r w:rsidR="00A46F48">
        <w:t>e</w:t>
      </w:r>
      <w:r w:rsidR="00093512">
        <w:t>lles</w:t>
      </w:r>
      <w:r w:rsidR="00A40CD2">
        <w:t xml:space="preserve"> (USD37, 997.94 held in USD account number 038 8992964, GBP 313,032.17 </w:t>
      </w:r>
      <w:r w:rsidR="00A40CD2" w:rsidRPr="00BF0046">
        <w:t xml:space="preserve">held in </w:t>
      </w:r>
      <w:r w:rsidR="00A40CD2">
        <w:t>GBP account number 038 7601732, EUR 49,961.34 held in EUR account numbers 038 8992972 and 038 7620591)</w:t>
      </w:r>
      <w:r w:rsidR="009A5FB6">
        <w:t xml:space="preserve"> </w:t>
      </w:r>
      <w:r w:rsidR="00A46F48">
        <w:t>which</w:t>
      </w:r>
      <w:r w:rsidR="00F8589B">
        <w:t xml:space="preserve"> had been subject </w:t>
      </w:r>
      <w:r>
        <w:t>to</w:t>
      </w:r>
      <w:r w:rsidR="00F8589B">
        <w:t xml:space="preserve"> freezing orders by this </w:t>
      </w:r>
      <w:r w:rsidR="00120484">
        <w:t>C</w:t>
      </w:r>
      <w:r w:rsidR="00A46F48">
        <w:t>ourt</w:t>
      </w:r>
      <w:r w:rsidR="009A5FB6">
        <w:t xml:space="preserve">. These </w:t>
      </w:r>
      <w:r w:rsidR="00F8589B">
        <w:t xml:space="preserve">were </w:t>
      </w:r>
      <w:r w:rsidR="00A46F48">
        <w:t>r</w:t>
      </w:r>
      <w:r w:rsidR="00F8589B">
        <w:t>el</w:t>
      </w:r>
      <w:r w:rsidR="00A46F48">
        <w:t>eased</w:t>
      </w:r>
      <w:r w:rsidR="00F8589B">
        <w:t xml:space="preserve"> </w:t>
      </w:r>
      <w:r w:rsidR="009A5FB6">
        <w:t xml:space="preserve">on 16 August 2017 </w:t>
      </w:r>
      <w:r w:rsidR="00F8589B">
        <w:t>after the amendment</w:t>
      </w:r>
      <w:r w:rsidR="00381D36">
        <w:t>s</w:t>
      </w:r>
      <w:r w:rsidR="00F8589B">
        <w:t xml:space="preserve"> </w:t>
      </w:r>
      <w:r w:rsidR="00381D36">
        <w:t>to</w:t>
      </w:r>
      <w:r w:rsidR="00F8589B">
        <w:t xml:space="preserve"> the </w:t>
      </w:r>
      <w:r w:rsidR="00381D36">
        <w:t xml:space="preserve">POCA in July 2017 which redefined property as not including </w:t>
      </w:r>
      <w:r w:rsidR="00970AD2">
        <w:t>“</w:t>
      </w:r>
      <w:r w:rsidR="00381D36">
        <w:t>bank accounts</w:t>
      </w:r>
      <w:r w:rsidR="00970AD2">
        <w:t>”</w:t>
      </w:r>
      <w:r w:rsidR="00381D36">
        <w:t xml:space="preserve"> (see section 2 of the </w:t>
      </w:r>
      <w:r w:rsidR="00381D36" w:rsidRPr="00381D36">
        <w:t>Proceeds of Crime (Civil Confiscation) (Amendment) Act 2017</w:t>
      </w:r>
      <w:r>
        <w:t>.</w:t>
      </w:r>
    </w:p>
    <w:p w14:paraId="3DDDD075" w14:textId="4D6C9384" w:rsidR="00C32772" w:rsidRDefault="00C32772" w:rsidP="00C32772">
      <w:pPr>
        <w:pStyle w:val="JudgmentText"/>
      </w:pPr>
      <w:r w:rsidRPr="00810CEF">
        <w:t xml:space="preserve">In terms of understanding this </w:t>
      </w:r>
      <w:r>
        <w:t>matter,</w:t>
      </w:r>
      <w:r w:rsidRPr="00810CEF">
        <w:t xml:space="preserve"> the following </w:t>
      </w:r>
      <w:r>
        <w:t>submissions of the Applicant are pertinent</w:t>
      </w:r>
      <w:r w:rsidR="004C4457">
        <w:t xml:space="preserve">: The </w:t>
      </w:r>
      <w:r w:rsidR="008A1324">
        <w:t>belief evidence</w:t>
      </w:r>
      <w:r w:rsidR="004C4457">
        <w:t xml:space="preserve"> of </w:t>
      </w:r>
      <w:proofErr w:type="spellStart"/>
      <w:r w:rsidR="004C4457">
        <w:t>Mr.</w:t>
      </w:r>
      <w:proofErr w:type="spellEnd"/>
      <w:r w:rsidR="004C4457">
        <w:t xml:space="preserve"> Jan </w:t>
      </w:r>
      <w:proofErr w:type="spellStart"/>
      <w:r w:rsidR="004C4457">
        <w:t>Cellier</w:t>
      </w:r>
      <w:r w:rsidR="005C4B68">
        <w:t>s</w:t>
      </w:r>
      <w:proofErr w:type="spellEnd"/>
      <w:r w:rsidR="008A1324">
        <w:t xml:space="preserve"> is that the First Respondent is associated </w:t>
      </w:r>
      <w:r w:rsidR="00A40CD2">
        <w:t>with tax</w:t>
      </w:r>
      <w:r w:rsidR="008A1324">
        <w:t xml:space="preserve"> fraud whereby as a Seychell</w:t>
      </w:r>
      <w:r w:rsidR="005C4B68">
        <w:t>ois</w:t>
      </w:r>
      <w:r w:rsidR="008A1324">
        <w:t xml:space="preserve"> International Business company it carried on business in the UK, did not register for V</w:t>
      </w:r>
      <w:r w:rsidR="009A5FB6">
        <w:t>AT</w:t>
      </w:r>
      <w:r w:rsidR="008A1324">
        <w:t xml:space="preserve"> in the UK, committing VAT fraud and </w:t>
      </w:r>
      <w:r w:rsidR="008A1324">
        <w:lastRenderedPageBreak/>
        <w:t>divert</w:t>
      </w:r>
      <w:r w:rsidR="00970AD2">
        <w:t>ing</w:t>
      </w:r>
      <w:r w:rsidR="008A1324">
        <w:t xml:space="preserve"> substantial sums of money to or for the benefit of </w:t>
      </w:r>
      <w:r w:rsidR="00A40CD2">
        <w:t>the Second, Third and Fourth Respondents.</w:t>
      </w:r>
      <w:r w:rsidR="008A1324">
        <w:t xml:space="preserve"> </w:t>
      </w:r>
    </w:p>
    <w:p w14:paraId="59DA9546" w14:textId="44285879" w:rsidR="00D56456" w:rsidRPr="00D56456" w:rsidRDefault="00D56456" w:rsidP="00D56456">
      <w:pPr>
        <w:pStyle w:val="JudgmentText"/>
        <w:numPr>
          <w:ilvl w:val="0"/>
          <w:numId w:val="0"/>
        </w:numPr>
        <w:rPr>
          <w:b/>
        </w:rPr>
      </w:pPr>
      <w:r w:rsidRPr="00D56456">
        <w:rPr>
          <w:b/>
        </w:rPr>
        <w:t xml:space="preserve">The </w:t>
      </w:r>
      <w:r>
        <w:rPr>
          <w:b/>
        </w:rPr>
        <w:t xml:space="preserve">Applicant’s </w:t>
      </w:r>
      <w:r w:rsidRPr="00D56456">
        <w:rPr>
          <w:b/>
        </w:rPr>
        <w:t>Statutory Beliefs</w:t>
      </w:r>
    </w:p>
    <w:p w14:paraId="0192F1E6" w14:textId="407D3F9A" w:rsidR="00C32772" w:rsidRDefault="00C32772" w:rsidP="00C32772">
      <w:pPr>
        <w:pStyle w:val="JudgmentText"/>
      </w:pPr>
      <w:r>
        <w:t>In particular</w:t>
      </w:r>
      <w:r w:rsidR="00120484">
        <w:t>,</w:t>
      </w:r>
      <w:r>
        <w:t xml:space="preserve"> the Applicant’s case as made out of the statutory beliefs in the affidavit of </w:t>
      </w:r>
      <w:proofErr w:type="spellStart"/>
      <w:r w:rsidRPr="00627D0E">
        <w:t>Mr.</w:t>
      </w:r>
      <w:proofErr w:type="spellEnd"/>
      <w:r w:rsidRPr="00627D0E">
        <w:t xml:space="preserve"> </w:t>
      </w:r>
      <w:proofErr w:type="spellStart"/>
      <w:r w:rsidR="00A555FA">
        <w:t>Celliers</w:t>
      </w:r>
      <w:proofErr w:type="spellEnd"/>
      <w:r w:rsidR="00A555FA">
        <w:t xml:space="preserve"> </w:t>
      </w:r>
      <w:r>
        <w:t>can be summarised as follows</w:t>
      </w:r>
      <w:r w:rsidR="002328AD">
        <w:t xml:space="preserve">, that </w:t>
      </w:r>
      <w:r>
        <w:t xml:space="preserve">: </w:t>
      </w:r>
    </w:p>
    <w:p w14:paraId="7D56AC6A" w14:textId="6D4AAA12" w:rsidR="00C32772" w:rsidRDefault="00C32772" w:rsidP="00C32772">
      <w:pPr>
        <w:pStyle w:val="JudgmentText"/>
        <w:numPr>
          <w:ilvl w:val="2"/>
          <w:numId w:val="6"/>
        </w:numPr>
      </w:pPr>
      <w:r>
        <w:t xml:space="preserve">The First Respondent opened four bank accounts </w:t>
      </w:r>
      <w:r w:rsidR="009A5FB6">
        <w:t xml:space="preserve">(as </w:t>
      </w:r>
      <w:r w:rsidR="00970AD2">
        <w:t xml:space="preserve">specified in Paragraph 5 above) </w:t>
      </w:r>
      <w:r>
        <w:t>with Barclays Bank (Seychelles) Ltd. The Second and Third Respondents holding Canadian passport number PC17446 and British passport 209479029 respectively</w:t>
      </w:r>
      <w:r w:rsidR="009A5FB6">
        <w:t>,</w:t>
      </w:r>
      <w:r>
        <w:t xml:space="preserve"> signed the account opening documents in their capacity as shareholders, beneficial owners, authorised signatories of and contact persons for the First </w:t>
      </w:r>
      <w:r w:rsidR="00A555FA">
        <w:t>Respondent</w:t>
      </w:r>
      <w:r>
        <w:t xml:space="preserve">. The </w:t>
      </w:r>
      <w:r w:rsidR="00A555FA">
        <w:t>Second</w:t>
      </w:r>
      <w:r>
        <w:t xml:space="preserve"> </w:t>
      </w:r>
      <w:r w:rsidR="00A555FA">
        <w:t>Respondent’s</w:t>
      </w:r>
      <w:r>
        <w:t xml:space="preserve"> passport was subsequently re</w:t>
      </w:r>
      <w:r w:rsidR="00A555FA">
        <w:t>pl</w:t>
      </w:r>
      <w:r>
        <w:t>a</w:t>
      </w:r>
      <w:r w:rsidR="00A555FA">
        <w:t>c</w:t>
      </w:r>
      <w:r>
        <w:t xml:space="preserve">ed with a British </w:t>
      </w:r>
      <w:r w:rsidR="00A555FA">
        <w:t>p</w:t>
      </w:r>
      <w:r>
        <w:t>assport numbered 209810384.</w:t>
      </w:r>
      <w:r w:rsidR="00A555FA">
        <w:t xml:space="preserve"> The Second and Third Respondents provided their common residential address as 4 The Avenue, </w:t>
      </w:r>
      <w:proofErr w:type="spellStart"/>
      <w:r w:rsidR="00A555FA">
        <w:t>Sneyd</w:t>
      </w:r>
      <w:proofErr w:type="spellEnd"/>
      <w:r w:rsidR="00A555FA">
        <w:t xml:space="preserve"> Park, Bristol, BS 91PA, UK and the First Respondent’s operating and correspondence address was disclosed as Unit 7, The Laurels, </w:t>
      </w:r>
      <w:proofErr w:type="spellStart"/>
      <w:r w:rsidR="00A555FA">
        <w:t>Cribbs</w:t>
      </w:r>
      <w:proofErr w:type="spellEnd"/>
      <w:r w:rsidR="00A555FA">
        <w:t xml:space="preserve"> Causeway Cent</w:t>
      </w:r>
      <w:r w:rsidR="005C4B68">
        <w:t>r</w:t>
      </w:r>
      <w:r w:rsidR="00A555FA">
        <w:t xml:space="preserve">e, </w:t>
      </w:r>
      <w:proofErr w:type="spellStart"/>
      <w:r w:rsidR="00A555FA">
        <w:t>Cribbs</w:t>
      </w:r>
      <w:proofErr w:type="spellEnd"/>
      <w:r w:rsidR="00A555FA">
        <w:t xml:space="preserve"> </w:t>
      </w:r>
      <w:r w:rsidR="009D7F87">
        <w:t>Causeway</w:t>
      </w:r>
      <w:r w:rsidR="00A555FA">
        <w:t xml:space="preserve">, Bristol BS10 7TT, England. </w:t>
      </w:r>
    </w:p>
    <w:p w14:paraId="012150A1" w14:textId="2EA7384C" w:rsidR="00A555FA" w:rsidRDefault="00A555FA" w:rsidP="00C32772">
      <w:pPr>
        <w:pStyle w:val="JudgmentText"/>
        <w:numPr>
          <w:ilvl w:val="2"/>
          <w:numId w:val="6"/>
        </w:numPr>
      </w:pPr>
      <w:r>
        <w:t>At the time of the First Respondent’s incorporation on 21 December 2005 two share certificates containing 25,000 shares of USD1 each were issued in favour of the Second and Third Respondents. On 10 June 2010 the Second and Third Respondents transferred their shares to POS Holdings Ltd and POS Services Ltd. Subsequently, on 30 August 2011</w:t>
      </w:r>
      <w:r w:rsidR="009648F7">
        <w:t>,</w:t>
      </w:r>
      <w:r>
        <w:t xml:space="preserve"> POS Holdings Ltd and POS Services Ltd.</w:t>
      </w:r>
      <w:r w:rsidR="009648F7">
        <w:t xml:space="preserve"> </w:t>
      </w:r>
      <w:r w:rsidR="00970AD2">
        <w:t>t</w:t>
      </w:r>
      <w:r w:rsidR="009648F7">
        <w:t>ransferred the totality of the</w:t>
      </w:r>
      <w:r w:rsidR="00970AD2">
        <w:t>ir</w:t>
      </w:r>
      <w:r w:rsidR="009648F7">
        <w:t xml:space="preserve"> shares to </w:t>
      </w:r>
      <w:proofErr w:type="spellStart"/>
      <w:r w:rsidR="009648F7">
        <w:t>Transgeo</w:t>
      </w:r>
      <w:proofErr w:type="spellEnd"/>
      <w:r w:rsidR="009648F7">
        <w:t xml:space="preserve"> Holdings Ltd and on 19 June 2013, the latter transferred the same to the Second Respondent. The result is that the Second Respondent now appears to be the sole shareholder of the First Respondent. </w:t>
      </w:r>
    </w:p>
    <w:p w14:paraId="761EE1B7" w14:textId="674C6BDD" w:rsidR="009D7F87" w:rsidRDefault="009648F7" w:rsidP="00C32772">
      <w:pPr>
        <w:pStyle w:val="JudgmentText"/>
        <w:numPr>
          <w:ilvl w:val="2"/>
          <w:numId w:val="6"/>
        </w:numPr>
      </w:pPr>
      <w:r>
        <w:t xml:space="preserve">Further, upon the incorporation of the First Respondent in Seychelles in 2005, Equity Management Inc. with </w:t>
      </w:r>
      <w:r w:rsidR="00970AD2">
        <w:t xml:space="preserve">a </w:t>
      </w:r>
      <w:r>
        <w:t xml:space="preserve">registered address </w:t>
      </w:r>
      <w:r w:rsidR="00970AD2">
        <w:t>at</w:t>
      </w:r>
      <w:r>
        <w:t xml:space="preserve"> Egmont Street, Kingstown, St. Vincent and Grenadines was appointed sole director.</w:t>
      </w:r>
      <w:r w:rsidR="00FA235A">
        <w:t xml:space="preserve"> On 10 June </w:t>
      </w:r>
      <w:r w:rsidR="00FA235A">
        <w:lastRenderedPageBreak/>
        <w:t xml:space="preserve">2010, POS Service Ltd of Suite 204 and 205, Victoria Building, Victoria, </w:t>
      </w:r>
      <w:proofErr w:type="gramStart"/>
      <w:r w:rsidR="00120484">
        <w:t>Mahé</w:t>
      </w:r>
      <w:proofErr w:type="gramEnd"/>
      <w:r w:rsidR="00AC6057">
        <w:t>,</w:t>
      </w:r>
      <w:r w:rsidR="00FA235A">
        <w:t xml:space="preserve"> Seychelles became the new director of the First Respondent and acquired half its shares. Subsequently on 30 August 2011, Carlyle Executives</w:t>
      </w:r>
      <w:r w:rsidR="009D7F87">
        <w:t xml:space="preserve"> Ltd</w:t>
      </w:r>
      <w:r w:rsidR="00970AD2">
        <w:t>.</w:t>
      </w:r>
      <w:r w:rsidR="009D7F87">
        <w:t xml:space="preserve"> was appointed as the new director of the company and acquired POS’s shares. </w:t>
      </w:r>
      <w:r w:rsidR="00FA235A">
        <w:t xml:space="preserve"> </w:t>
      </w:r>
    </w:p>
    <w:p w14:paraId="19C61049" w14:textId="77777777" w:rsidR="009648F7" w:rsidRDefault="009D7F87" w:rsidP="00C32772">
      <w:pPr>
        <w:pStyle w:val="JudgmentText"/>
        <w:numPr>
          <w:ilvl w:val="2"/>
          <w:numId w:val="6"/>
        </w:numPr>
      </w:pPr>
      <w:r>
        <w:t xml:space="preserve">The Second Respondent in the course of correspondence with the Applicant attempted to establish that he had been the sole director of the company since 9 June 2013. It is the Applicant’s belief that the transfers of shares and directorships are indicative of the extreme steps taken by the Second Respondent to conceal his involvement with the First Respondent and distance himself from tax liability in the UK. </w:t>
      </w:r>
    </w:p>
    <w:p w14:paraId="5E6B87A0" w14:textId="72CDC003" w:rsidR="009D7F87" w:rsidRDefault="009D7F87" w:rsidP="00C32772">
      <w:pPr>
        <w:pStyle w:val="JudgmentText"/>
        <w:numPr>
          <w:ilvl w:val="2"/>
          <w:numId w:val="6"/>
        </w:numPr>
      </w:pPr>
      <w:r>
        <w:t>In order to expedite its investigation and pursuant to its statutory remit and in accordance with Section 10(8) of AMLA, the Applicant</w:t>
      </w:r>
      <w:r w:rsidR="00120484">
        <w:t>,</w:t>
      </w:r>
      <w:r>
        <w:t xml:space="preserve"> </w:t>
      </w:r>
      <w:r w:rsidR="00120484">
        <w:t xml:space="preserve">on 1 August 2014, </w:t>
      </w:r>
      <w:r>
        <w:t xml:space="preserve">issued statutory information requests </w:t>
      </w:r>
      <w:r w:rsidR="00120484">
        <w:t>to the residential address of the Second and Third Respondents as disclosed to the bank</w:t>
      </w:r>
      <w:r>
        <w:t xml:space="preserve"> requesting information </w:t>
      </w:r>
      <w:r w:rsidR="00970AD2">
        <w:t>from the First Respondent</w:t>
      </w:r>
      <w:r w:rsidR="005C4B68">
        <w:t>.</w:t>
      </w:r>
      <w:r w:rsidR="00970AD2">
        <w:t xml:space="preserve"> </w:t>
      </w:r>
      <w:r>
        <w:t>These were retu</w:t>
      </w:r>
      <w:r w:rsidR="005C4B68">
        <w:t>r</w:t>
      </w:r>
      <w:r>
        <w:t>ned as not capable of being delivered at the addresses given.</w:t>
      </w:r>
    </w:p>
    <w:p w14:paraId="4243F089" w14:textId="12E41E74" w:rsidR="00A40CD2" w:rsidRDefault="00A40CD2" w:rsidP="00C32772">
      <w:pPr>
        <w:pStyle w:val="JudgmentText"/>
        <w:numPr>
          <w:ilvl w:val="2"/>
          <w:numId w:val="6"/>
        </w:numPr>
      </w:pPr>
      <w:r>
        <w:t xml:space="preserve">The same letter was </w:t>
      </w:r>
      <w:r w:rsidR="00970AD2">
        <w:t xml:space="preserve">then </w:t>
      </w:r>
      <w:r>
        <w:t>issued to Sterling as the current registered agent of the First Respondent in Seychelles. The First Respondent contacted the Applicant on 19 August 2014 stating it needed more time to provide the information requested. As a result</w:t>
      </w:r>
      <w:r w:rsidR="00970AD2">
        <w:t>,</w:t>
      </w:r>
      <w:r>
        <w:t xml:space="preserve"> on 30 September 2014 an unsigned and undated document purporting to be a response to the statutory information request was received by the FIU.</w:t>
      </w:r>
    </w:p>
    <w:p w14:paraId="51551A32" w14:textId="6E697F52" w:rsidR="00A40CD2" w:rsidRDefault="00A40CD2" w:rsidP="00C32772">
      <w:pPr>
        <w:pStyle w:val="JudgmentText"/>
        <w:numPr>
          <w:ilvl w:val="2"/>
          <w:numId w:val="6"/>
        </w:numPr>
      </w:pPr>
      <w:r>
        <w:t>The First Respondent appointed a</w:t>
      </w:r>
      <w:r w:rsidR="002328AD">
        <w:t>n</w:t>
      </w:r>
      <w:r>
        <w:t xml:space="preserve"> </w:t>
      </w:r>
      <w:r w:rsidR="002328AD">
        <w:t xml:space="preserve">attorney in </w:t>
      </w:r>
      <w:r>
        <w:t>Seychell</w:t>
      </w:r>
      <w:r w:rsidR="002328AD">
        <w:t>es</w:t>
      </w:r>
      <w:r>
        <w:t xml:space="preserve"> who forwarded </w:t>
      </w:r>
      <w:r w:rsidR="009A5FB6">
        <w:t>a response to the statutory request on</w:t>
      </w:r>
      <w:r>
        <w:t xml:space="preserve"> 13 </w:t>
      </w:r>
      <w:r w:rsidR="009A5FB6">
        <w:t>January</w:t>
      </w:r>
      <w:r>
        <w:t xml:space="preserve"> 2015 by e-mail</w:t>
      </w:r>
      <w:r w:rsidR="00970AD2">
        <w:t>,</w:t>
      </w:r>
      <w:r>
        <w:t xml:space="preserve"> </w:t>
      </w:r>
      <w:r w:rsidR="009A5FB6">
        <w:t>followed by a hard copy of the same. In March 2015</w:t>
      </w:r>
      <w:r w:rsidR="00120484">
        <w:t>,</w:t>
      </w:r>
      <w:r w:rsidR="009A5FB6">
        <w:t xml:space="preserve"> a large amount of documentation in support of this response was also forwarded to the Applicant. This documentation however did not address the concerns raised in the original statutory information requests. </w:t>
      </w:r>
    </w:p>
    <w:p w14:paraId="69DE7E61" w14:textId="1D76808C" w:rsidR="009A5FB6" w:rsidRDefault="009A5FB6" w:rsidP="00C32772">
      <w:pPr>
        <w:pStyle w:val="JudgmentText"/>
        <w:numPr>
          <w:ilvl w:val="2"/>
          <w:numId w:val="6"/>
        </w:numPr>
      </w:pPr>
      <w:r>
        <w:lastRenderedPageBreak/>
        <w:t>A further request to the company’s attorney was forwarded to the First Respondent’s attorney on 17 September 2015 including the specific information sought and not provided.  The attorney requested further periods of time to comply with the request which was granted by the Applicant.</w:t>
      </w:r>
      <w:r w:rsidR="002D3C35">
        <w:t xml:space="preserve"> This expired in November 2015 but </w:t>
      </w:r>
      <w:r w:rsidR="00970AD2">
        <w:t>the Applicant nevertheless received a response from the First Respondent</w:t>
      </w:r>
      <w:r w:rsidR="002D3C35">
        <w:t xml:space="preserve"> in January 2016. </w:t>
      </w:r>
    </w:p>
    <w:p w14:paraId="03A05812" w14:textId="6ECAF110" w:rsidR="002D3C35" w:rsidRDefault="002D3C35" w:rsidP="00120484">
      <w:pPr>
        <w:pStyle w:val="JudgmentText"/>
        <w:numPr>
          <w:ilvl w:val="2"/>
          <w:numId w:val="6"/>
        </w:numPr>
      </w:pPr>
      <w:r>
        <w:t xml:space="preserve">Of the bank accounts operated by the First Respondent with Barclays </w:t>
      </w:r>
      <w:r w:rsidR="005C4B68">
        <w:t xml:space="preserve">Bank, </w:t>
      </w:r>
      <w:r>
        <w:t>very substantial sums of money passed through the bank accounts</w:t>
      </w:r>
      <w:r w:rsidR="00970AD2">
        <w:t>, namely</w:t>
      </w:r>
      <w:r>
        <w:t>: USD 7.4 million, GBP 540, 440 and EUR 387,213 paid in</w:t>
      </w:r>
      <w:r w:rsidR="00970AD2">
        <w:t xml:space="preserve">; and USD 7.4 million, </w:t>
      </w:r>
      <w:r>
        <w:t>GBP 227,407 and EUR 337,252 paid out (Exhibit FOLM 5)</w:t>
      </w:r>
      <w:r w:rsidR="00970AD2">
        <w:t>.</w:t>
      </w:r>
      <w:r w:rsidR="00F87EA0">
        <w:t xml:space="preserve"> </w:t>
      </w:r>
      <w:r w:rsidR="00970AD2">
        <w:t>It</w:t>
      </w:r>
      <w:r w:rsidR="00F87EA0">
        <w:t xml:space="preserve"> would appear from the accounts that only a portion of the total turnover of the First Respondent pass</w:t>
      </w:r>
      <w:r w:rsidR="00120484">
        <w:t>ed</w:t>
      </w:r>
      <w:r w:rsidR="00F87EA0">
        <w:t xml:space="preserve"> through the account as the statement showing the trading </w:t>
      </w:r>
      <w:r w:rsidR="00120484">
        <w:t>year 1</w:t>
      </w:r>
      <w:r w:rsidR="00F87EA0">
        <w:t xml:space="preserve"> November 2012 to 31 October 2013 alone shows a turnover of € 12,131,130.</w:t>
      </w:r>
      <w:r>
        <w:t xml:space="preserve">  </w:t>
      </w:r>
    </w:p>
    <w:p w14:paraId="0366D2EE" w14:textId="428172FB" w:rsidR="009A5FB6" w:rsidRDefault="00F87EA0" w:rsidP="00C32772">
      <w:pPr>
        <w:pStyle w:val="JudgmentText"/>
        <w:numPr>
          <w:ilvl w:val="2"/>
          <w:numId w:val="6"/>
        </w:numPr>
      </w:pPr>
      <w:r>
        <w:t>Fur</w:t>
      </w:r>
      <w:r w:rsidR="00781BBD">
        <w:t>t</w:t>
      </w:r>
      <w:r>
        <w:t xml:space="preserve">her, </w:t>
      </w:r>
      <w:r w:rsidR="00781BBD">
        <w:t>t</w:t>
      </w:r>
      <w:r>
        <w:t xml:space="preserve">he main remitter to </w:t>
      </w:r>
      <w:r w:rsidR="00781BBD">
        <w:t>these</w:t>
      </w:r>
      <w:r>
        <w:t xml:space="preserve"> bank </w:t>
      </w:r>
      <w:r w:rsidR="00781BBD">
        <w:t>accounts</w:t>
      </w:r>
      <w:r>
        <w:t xml:space="preserve"> is a company named </w:t>
      </w:r>
      <w:proofErr w:type="spellStart"/>
      <w:r w:rsidR="00781BBD">
        <w:t>C</w:t>
      </w:r>
      <w:r>
        <w:t>ontactlenses</w:t>
      </w:r>
      <w:proofErr w:type="spellEnd"/>
      <w:r>
        <w:t>,</w:t>
      </w:r>
      <w:r w:rsidR="00781BBD">
        <w:t xml:space="preserve"> </w:t>
      </w:r>
      <w:r>
        <w:t xml:space="preserve">presumably the first </w:t>
      </w:r>
      <w:r w:rsidR="00781BBD">
        <w:t>Respondent</w:t>
      </w:r>
      <w:r w:rsidR="00970AD2">
        <w:t>,</w:t>
      </w:r>
      <w:r>
        <w:t xml:space="preserve"> holding </w:t>
      </w:r>
      <w:r w:rsidR="00781BBD">
        <w:t>account</w:t>
      </w:r>
      <w:r>
        <w:t xml:space="preserve"> number 401424-0148896 with HSBC in </w:t>
      </w:r>
      <w:r w:rsidR="00781BBD">
        <w:t>t</w:t>
      </w:r>
      <w:r>
        <w:t xml:space="preserve">he UK with </w:t>
      </w:r>
      <w:r w:rsidR="00781BBD">
        <w:t xml:space="preserve">the main </w:t>
      </w:r>
      <w:r>
        <w:t>ben</w:t>
      </w:r>
      <w:r w:rsidR="00781BBD">
        <w:t>eficiaries</w:t>
      </w:r>
      <w:r>
        <w:t xml:space="preserve"> of the </w:t>
      </w:r>
      <w:r w:rsidR="00781BBD">
        <w:t>outwards</w:t>
      </w:r>
      <w:r>
        <w:t xml:space="preserve"> transfers be</w:t>
      </w:r>
      <w:r w:rsidR="00781BBD">
        <w:t>i</w:t>
      </w:r>
      <w:r>
        <w:t xml:space="preserve">ng a company named </w:t>
      </w:r>
      <w:r w:rsidR="00781BBD">
        <w:t>Fulfilment</w:t>
      </w:r>
      <w:r>
        <w:t xml:space="preserve"> Logistics (more than </w:t>
      </w:r>
      <w:r w:rsidR="00781BBD">
        <w:t>USD 3 million and approximately GBP 189,595) and the Second Respondent (approximately USD 2 million, GBP 27,000 and EUR 30,000).</w:t>
      </w:r>
      <w:r>
        <w:t xml:space="preserve"> </w:t>
      </w:r>
    </w:p>
    <w:p w14:paraId="13196BA0" w14:textId="077BA7C2" w:rsidR="00CA5409" w:rsidRDefault="00CA5409" w:rsidP="00C32772">
      <w:pPr>
        <w:pStyle w:val="JudgmentText"/>
        <w:numPr>
          <w:ilvl w:val="2"/>
          <w:numId w:val="6"/>
        </w:numPr>
      </w:pPr>
      <w:r>
        <w:t>A per</w:t>
      </w:r>
      <w:r w:rsidR="00956877">
        <w:t>u</w:t>
      </w:r>
      <w:r>
        <w:t>s</w:t>
      </w:r>
      <w:r w:rsidR="00956877">
        <w:t>a</w:t>
      </w:r>
      <w:r>
        <w:t xml:space="preserve">l of the </w:t>
      </w:r>
      <w:r w:rsidR="00956877">
        <w:t>accounts</w:t>
      </w:r>
      <w:r>
        <w:t xml:space="preserve"> in </w:t>
      </w:r>
      <w:r w:rsidR="00956877">
        <w:t>Barclays</w:t>
      </w:r>
      <w:r>
        <w:t xml:space="preserve"> </w:t>
      </w:r>
      <w:r w:rsidR="00196529">
        <w:t xml:space="preserve">Bank, </w:t>
      </w:r>
      <w:r w:rsidR="00956877">
        <w:t>Seychelles</w:t>
      </w:r>
      <w:r>
        <w:t xml:space="preserve"> operated by the First R</w:t>
      </w:r>
      <w:r w:rsidR="00956877">
        <w:t>e</w:t>
      </w:r>
      <w:r>
        <w:t>sp</w:t>
      </w:r>
      <w:r w:rsidR="00956877">
        <w:t xml:space="preserve">ondent </w:t>
      </w:r>
      <w:r>
        <w:t>sh</w:t>
      </w:r>
      <w:r w:rsidR="00956877">
        <w:t>o</w:t>
      </w:r>
      <w:r>
        <w:t xml:space="preserve">ws a </w:t>
      </w:r>
      <w:r w:rsidR="00956877">
        <w:t>distinct</w:t>
      </w:r>
      <w:r>
        <w:t xml:space="preserve"> an</w:t>
      </w:r>
      <w:r w:rsidR="00956877">
        <w:t>d</w:t>
      </w:r>
      <w:r>
        <w:t xml:space="preserve"> </w:t>
      </w:r>
      <w:r w:rsidR="00956877">
        <w:t>unusual</w:t>
      </w:r>
      <w:r>
        <w:t xml:space="preserve"> pat</w:t>
      </w:r>
      <w:r w:rsidR="00956877">
        <w:t>t</w:t>
      </w:r>
      <w:r>
        <w:t>ern on the US</w:t>
      </w:r>
      <w:r w:rsidR="00970AD2">
        <w:t>D</w:t>
      </w:r>
      <w:r>
        <w:t xml:space="preserve"> account wher</w:t>
      </w:r>
      <w:r w:rsidR="00956877">
        <w:t>e</w:t>
      </w:r>
      <w:r>
        <w:t>by the F</w:t>
      </w:r>
      <w:r w:rsidR="00956877">
        <w:t>irst</w:t>
      </w:r>
      <w:r>
        <w:t xml:space="preserve"> </w:t>
      </w:r>
      <w:r w:rsidR="00956877">
        <w:t>Respondent</w:t>
      </w:r>
      <w:r>
        <w:t xml:space="preserve"> </w:t>
      </w:r>
      <w:r w:rsidR="00956877">
        <w:t>moved</w:t>
      </w:r>
      <w:r>
        <w:t xml:space="preserve"> very large lump </w:t>
      </w:r>
      <w:r w:rsidR="00956877">
        <w:t>s</w:t>
      </w:r>
      <w:r>
        <w:t>ums f</w:t>
      </w:r>
      <w:r w:rsidR="00956877">
        <w:t>r</w:t>
      </w:r>
      <w:r>
        <w:t xml:space="preserve">om </w:t>
      </w:r>
      <w:r w:rsidR="00956877">
        <w:t xml:space="preserve">the </w:t>
      </w:r>
      <w:r>
        <w:t xml:space="preserve">UK to </w:t>
      </w:r>
      <w:r w:rsidR="00956877">
        <w:t>Seychelles</w:t>
      </w:r>
      <w:r>
        <w:t xml:space="preserve"> fo</w:t>
      </w:r>
      <w:r w:rsidR="00956877">
        <w:t>llo</w:t>
      </w:r>
      <w:r>
        <w:t xml:space="preserve">wed shortly </w:t>
      </w:r>
      <w:r w:rsidR="00956877">
        <w:t>thereafter</w:t>
      </w:r>
      <w:r>
        <w:t xml:space="preserve"> </w:t>
      </w:r>
      <w:r w:rsidR="00687373">
        <w:t xml:space="preserve">by the same funds </w:t>
      </w:r>
      <w:r w:rsidR="00957FA4">
        <w:t>transferred out to the UK in</w:t>
      </w:r>
      <w:r w:rsidR="00970AD2">
        <w:t xml:space="preserve"> smaller transactions to a number of beneficiaries including the Second Respondent. </w:t>
      </w:r>
    </w:p>
    <w:p w14:paraId="1728B1B5" w14:textId="7B799E64" w:rsidR="00325BCD" w:rsidRDefault="00325BCD" w:rsidP="00C32772">
      <w:pPr>
        <w:pStyle w:val="JudgmentText"/>
        <w:numPr>
          <w:ilvl w:val="2"/>
          <w:numId w:val="6"/>
        </w:numPr>
      </w:pPr>
      <w:r>
        <w:t>Such activity does not reflect the purported activity of the First Respondent, that is, “of direct to consumer supply of contact lenses via the internet”. It appears also that the First Respondent is operating in the UK and channel</w:t>
      </w:r>
      <w:r w:rsidR="00120484">
        <w:t>ling</w:t>
      </w:r>
      <w:r>
        <w:t xml:space="preserve"> </w:t>
      </w:r>
      <w:r>
        <w:lastRenderedPageBreak/>
        <w:t>funds into its Seychelles accounts, pretending that it is not liable to VAT and tax in the UK.</w:t>
      </w:r>
    </w:p>
    <w:p w14:paraId="78E41C39" w14:textId="1F5F3E86" w:rsidR="00325BCD" w:rsidRDefault="00325BCD" w:rsidP="00C32772">
      <w:pPr>
        <w:pStyle w:val="JudgmentText"/>
        <w:numPr>
          <w:ilvl w:val="2"/>
          <w:numId w:val="6"/>
        </w:numPr>
      </w:pPr>
      <w:r>
        <w:t>A Seychell</w:t>
      </w:r>
      <w:r w:rsidR="00196529">
        <w:t>ois</w:t>
      </w:r>
      <w:r>
        <w:t xml:space="preserve"> IBC is precluded from carrying on business in Seychelles. Yet during the trading year 2012 to 2013 according to information supplied by the First Respondent it had a business turnover of € 12,131,130 and a gross profit of €3,944</w:t>
      </w:r>
      <w:r w:rsidR="00196529">
        <w:t>,</w:t>
      </w:r>
      <w:r>
        <w:t>969 approximately. Its failure to register and account for VAT has resulted in a VAT tax fraud in the UK amounting to €</w:t>
      </w:r>
      <w:r w:rsidR="003F15D0">
        <w:t>789,000 approximately in that year alone.</w:t>
      </w:r>
    </w:p>
    <w:p w14:paraId="63C2FF78" w14:textId="03BE4CCE" w:rsidR="003F15D0" w:rsidRDefault="003F15D0" w:rsidP="00C32772">
      <w:pPr>
        <w:pStyle w:val="JudgmentText"/>
        <w:numPr>
          <w:ilvl w:val="2"/>
          <w:numId w:val="6"/>
        </w:numPr>
      </w:pPr>
      <w:r>
        <w:t>The Second Respondent furnished two tax returns paying tax in the UK and suggests he may be domiciled in Canada for some of the years</w:t>
      </w:r>
      <w:r w:rsidR="00120484">
        <w:t>,</w:t>
      </w:r>
      <w:r>
        <w:t xml:space="preserve"> yet he has produced no tax returns from Canada.</w:t>
      </w:r>
      <w:r w:rsidR="007753E8">
        <w:t xml:space="preserve"> It is also noted that the USD 1.9 million, Euro 27,000 and GBP 30,000 does not appear on his returns.</w:t>
      </w:r>
    </w:p>
    <w:p w14:paraId="2F63BA43" w14:textId="369532A9" w:rsidR="007753E8" w:rsidRDefault="007753E8" w:rsidP="00C32772">
      <w:pPr>
        <w:pStyle w:val="JudgmentText"/>
        <w:numPr>
          <w:ilvl w:val="2"/>
          <w:numId w:val="6"/>
        </w:numPr>
      </w:pPr>
      <w:r>
        <w:t>No explanation is given by the Respondent as to the n</w:t>
      </w:r>
      <w:r w:rsidR="002B5803">
        <w:t xml:space="preserve">ature of transfers from </w:t>
      </w:r>
      <w:proofErr w:type="spellStart"/>
      <w:r w:rsidR="002B5803">
        <w:t>Contact</w:t>
      </w:r>
      <w:r>
        <w:t>lenses</w:t>
      </w:r>
      <w:proofErr w:type="spellEnd"/>
      <w:r>
        <w:t xml:space="preserve"> in the UK to it in Seychelles apart from </w:t>
      </w:r>
      <w:r w:rsidR="002B5803">
        <w:t>his averment that these were</w:t>
      </w:r>
      <w:r>
        <w:t xml:space="preserve"> “</w:t>
      </w:r>
      <w:r w:rsidR="002B5803">
        <w:t>inter</w:t>
      </w:r>
      <w:r>
        <w:t>com</w:t>
      </w:r>
      <w:r w:rsidR="002B5803">
        <w:t>p</w:t>
      </w:r>
      <w:r>
        <w:t xml:space="preserve">any transfers” </w:t>
      </w:r>
      <w:r w:rsidR="002B5803">
        <w:t xml:space="preserve">nor whether there were more than one company called </w:t>
      </w:r>
      <w:proofErr w:type="spellStart"/>
      <w:r w:rsidR="002B5803">
        <w:t>Contactlenses</w:t>
      </w:r>
      <w:proofErr w:type="spellEnd"/>
      <w:r w:rsidR="002B5803">
        <w:t>. In any case</w:t>
      </w:r>
      <w:r w:rsidR="00120484">
        <w:t>,</w:t>
      </w:r>
      <w:r w:rsidR="002B5803">
        <w:t xml:space="preserve"> this explanation contradicts the Second Respondent’s assertion </w:t>
      </w:r>
      <w:r w:rsidR="002328AD">
        <w:t>t</w:t>
      </w:r>
      <w:r w:rsidR="002B5803">
        <w:t xml:space="preserve">hat the UK account of </w:t>
      </w:r>
      <w:proofErr w:type="spellStart"/>
      <w:r w:rsidR="002B5803">
        <w:t>Contactlenses</w:t>
      </w:r>
      <w:proofErr w:type="spellEnd"/>
      <w:r w:rsidR="002B5803">
        <w:t xml:space="preserve"> is held in the name of the IBC (the First Respondent) in Seychelles.</w:t>
      </w:r>
    </w:p>
    <w:p w14:paraId="43206C1A" w14:textId="699956B3" w:rsidR="002B5803" w:rsidRDefault="002B5803" w:rsidP="00C32772">
      <w:pPr>
        <w:pStyle w:val="JudgmentText"/>
        <w:numPr>
          <w:ilvl w:val="2"/>
          <w:numId w:val="6"/>
        </w:numPr>
      </w:pPr>
      <w:r>
        <w:t>Further</w:t>
      </w:r>
      <w:r w:rsidR="001A6258">
        <w:t>,</w:t>
      </w:r>
      <w:r>
        <w:t xml:space="preserve"> it appears that Contact Lenses UK changed its name to </w:t>
      </w:r>
      <w:proofErr w:type="spellStart"/>
      <w:r>
        <w:t>Celcian</w:t>
      </w:r>
      <w:proofErr w:type="spellEnd"/>
      <w:r>
        <w:t xml:space="preserve"> Ltd but is still linked to the Second Respondent. The Second and Third Respondents have also been unable to provide an explanation </w:t>
      </w:r>
      <w:r w:rsidR="001A6258">
        <w:t>if</w:t>
      </w:r>
      <w:r>
        <w:t xml:space="preserve"> the shares in </w:t>
      </w:r>
      <w:proofErr w:type="spellStart"/>
      <w:r>
        <w:t>Contactlenses</w:t>
      </w:r>
      <w:proofErr w:type="spellEnd"/>
      <w:r>
        <w:t xml:space="preserve"> issued to them were purchased for cash or other consideration and to provide supporting documentation of the same.</w:t>
      </w:r>
    </w:p>
    <w:p w14:paraId="3AA0086D" w14:textId="10D9DF94" w:rsidR="001A6258" w:rsidRDefault="001A6258" w:rsidP="00C32772">
      <w:pPr>
        <w:pStyle w:val="JudgmentText"/>
        <w:numPr>
          <w:ilvl w:val="2"/>
          <w:numId w:val="6"/>
        </w:numPr>
      </w:pPr>
      <w:r>
        <w:t xml:space="preserve">Other misleading information was supplied on behalf of the First and Second Respondents relating to a company named </w:t>
      </w:r>
      <w:proofErr w:type="spellStart"/>
      <w:r>
        <w:t>Stratta</w:t>
      </w:r>
      <w:proofErr w:type="spellEnd"/>
      <w:r>
        <w:t>. Again two similar named companies appear both in the UK</w:t>
      </w:r>
      <w:r w:rsidR="002328AD">
        <w:t xml:space="preserve"> </w:t>
      </w:r>
      <w:r>
        <w:t>(now dissolved) and as a Seychell</w:t>
      </w:r>
      <w:r w:rsidR="00196529">
        <w:t>ois</w:t>
      </w:r>
      <w:r>
        <w:t xml:space="preserve"> IBC. The former’s directors were the T</w:t>
      </w:r>
      <w:r w:rsidR="002328AD">
        <w:t>hird</w:t>
      </w:r>
      <w:r>
        <w:t xml:space="preserve"> </w:t>
      </w:r>
      <w:r w:rsidR="002328AD">
        <w:t>Respondent</w:t>
      </w:r>
      <w:r>
        <w:t xml:space="preserve"> and one Jade </w:t>
      </w:r>
      <w:r w:rsidR="002328AD">
        <w:t>M</w:t>
      </w:r>
      <w:r>
        <w:t xml:space="preserve">ark </w:t>
      </w:r>
      <w:r w:rsidR="002328AD">
        <w:t>L</w:t>
      </w:r>
      <w:r>
        <w:t>ambert</w:t>
      </w:r>
      <w:r w:rsidR="002328AD">
        <w:t xml:space="preserve">. </w:t>
      </w:r>
      <w:r>
        <w:t xml:space="preserve">The latter’s directors were the Second and Third Respondents and the company </w:t>
      </w:r>
      <w:r>
        <w:lastRenderedPageBreak/>
        <w:t>a 50% shareholder in the Fourth Respondent which is the owner of Apartment P28A15 at Eden Island.</w:t>
      </w:r>
    </w:p>
    <w:p w14:paraId="4B081FEC" w14:textId="719FBBF5" w:rsidR="001A6258" w:rsidRDefault="001A6258" w:rsidP="00C32772">
      <w:pPr>
        <w:pStyle w:val="JudgmentText"/>
        <w:numPr>
          <w:ilvl w:val="2"/>
          <w:numId w:val="6"/>
        </w:numPr>
      </w:pPr>
      <w:r>
        <w:t xml:space="preserve">The Second </w:t>
      </w:r>
      <w:r w:rsidR="00071083">
        <w:t>Respondent transferred money from the First Respondent to Yacht Chandlers Pty Ltd</w:t>
      </w:r>
      <w:r>
        <w:t xml:space="preserve"> </w:t>
      </w:r>
      <w:r w:rsidR="00071083">
        <w:t xml:space="preserve">for the purchase of a luxury </w:t>
      </w:r>
      <w:proofErr w:type="spellStart"/>
      <w:r w:rsidR="00071083">
        <w:t>Sunseeker</w:t>
      </w:r>
      <w:proofErr w:type="spellEnd"/>
      <w:r w:rsidR="00071083">
        <w:t xml:space="preserve"> motor yacht, part of the specified property, and had the same transferred into his personal name. This amounts to both tax fraud and money laundering. </w:t>
      </w:r>
    </w:p>
    <w:p w14:paraId="76F7C2B2" w14:textId="129D1967" w:rsidR="00E86D5A" w:rsidRPr="00D56456" w:rsidRDefault="00071083" w:rsidP="006F1467">
      <w:pPr>
        <w:pStyle w:val="JudgmentText"/>
        <w:numPr>
          <w:ilvl w:val="2"/>
          <w:numId w:val="6"/>
        </w:numPr>
      </w:pPr>
      <w:r>
        <w:t>With regard to the other item</w:t>
      </w:r>
      <w:r w:rsidR="00AE025C">
        <w:t>s</w:t>
      </w:r>
      <w:r>
        <w:t xml:space="preserve"> of the specified property, namely the apartment at Eden Island, this was purchased for </w:t>
      </w:r>
      <w:r w:rsidR="00196529">
        <w:t>US</w:t>
      </w:r>
      <w:r>
        <w:t xml:space="preserve">$700,000 by the </w:t>
      </w:r>
      <w:r w:rsidR="00137B2F">
        <w:t>F</w:t>
      </w:r>
      <w:r>
        <w:t>ourth Respon</w:t>
      </w:r>
      <w:r w:rsidR="00082AAF">
        <w:t>dent</w:t>
      </w:r>
      <w:r w:rsidR="00E676C6">
        <w:t xml:space="preserve"> whose directors </w:t>
      </w:r>
      <w:r w:rsidR="00EC5903">
        <w:t xml:space="preserve">are </w:t>
      </w:r>
      <w:r w:rsidR="00E676C6">
        <w:t>the Second an</w:t>
      </w:r>
      <w:r w:rsidR="00EC5903">
        <w:t>d</w:t>
      </w:r>
      <w:r w:rsidR="00E676C6">
        <w:t xml:space="preserve"> </w:t>
      </w:r>
      <w:r w:rsidR="00EC5903">
        <w:t>Third Respondents</w:t>
      </w:r>
      <w:r w:rsidR="00E676C6">
        <w:t xml:space="preserve"> and sh</w:t>
      </w:r>
      <w:r w:rsidR="00EC5903">
        <w:t>a</w:t>
      </w:r>
      <w:r w:rsidR="00E676C6">
        <w:t>re</w:t>
      </w:r>
      <w:r w:rsidR="00EC5903">
        <w:t>holders</w:t>
      </w:r>
      <w:r w:rsidR="00E676C6">
        <w:t xml:space="preserve"> are the S</w:t>
      </w:r>
      <w:r w:rsidR="00EC5903">
        <w:t>econd,</w:t>
      </w:r>
      <w:r w:rsidR="00E676C6">
        <w:t xml:space="preserve"> </w:t>
      </w:r>
      <w:r w:rsidR="00EC5903">
        <w:t>T</w:t>
      </w:r>
      <w:r w:rsidR="00E676C6">
        <w:t>hird Resp</w:t>
      </w:r>
      <w:r w:rsidR="00EC5903">
        <w:t xml:space="preserve">ondents, and </w:t>
      </w:r>
      <w:proofErr w:type="spellStart"/>
      <w:r w:rsidR="00EC5903">
        <w:t>Stratta</w:t>
      </w:r>
      <w:proofErr w:type="spellEnd"/>
      <w:r w:rsidR="00EC5903">
        <w:t xml:space="preserve"> Distribution Ltd, whose shares are </w:t>
      </w:r>
      <w:r w:rsidR="00BD415E">
        <w:t>held by</w:t>
      </w:r>
      <w:r w:rsidR="00EC5903">
        <w:t xml:space="preserve"> the Second and Third Respondents.</w:t>
      </w:r>
      <w:r w:rsidR="00E86D5A">
        <w:t xml:space="preserve"> The source of the money for this purchase was according to the Second Respondent the equity release of GD</w:t>
      </w:r>
      <w:r w:rsidR="00F03954">
        <w:t>£</w:t>
      </w:r>
      <w:r w:rsidR="00E86D5A">
        <w:t>350</w:t>
      </w:r>
      <w:r w:rsidR="004547B2">
        <w:t>, 000</w:t>
      </w:r>
      <w:r w:rsidR="002328AD">
        <w:t xml:space="preserve"> </w:t>
      </w:r>
      <w:r w:rsidR="00EC1A9C">
        <w:t>on property</w:t>
      </w:r>
      <w:r w:rsidR="00E86D5A">
        <w:t xml:space="preserve"> in the UK. However, no evidence of this averment has been </w:t>
      </w:r>
      <w:r w:rsidR="006F1467">
        <w:t>p</w:t>
      </w:r>
      <w:r w:rsidR="00E86D5A">
        <w:t>r</w:t>
      </w:r>
      <w:r w:rsidR="006F1467">
        <w:t>o</w:t>
      </w:r>
      <w:r w:rsidR="00E86D5A">
        <w:t>v</w:t>
      </w:r>
      <w:r w:rsidR="006F1467">
        <w:t>i</w:t>
      </w:r>
      <w:r w:rsidR="00E86D5A">
        <w:t>ded a</w:t>
      </w:r>
      <w:r w:rsidR="006F1467">
        <w:t>pa</w:t>
      </w:r>
      <w:r w:rsidR="00E86D5A">
        <w:t>rt fro</w:t>
      </w:r>
      <w:r w:rsidR="006F1467">
        <w:t>m</w:t>
      </w:r>
      <w:r w:rsidR="00E86D5A">
        <w:t xml:space="preserve"> a mor</w:t>
      </w:r>
      <w:r w:rsidR="006F1467">
        <w:t>t</w:t>
      </w:r>
      <w:r w:rsidR="00E86D5A">
        <w:t>g</w:t>
      </w:r>
      <w:r w:rsidR="006F1467">
        <w:t>a</w:t>
      </w:r>
      <w:r w:rsidR="00E86D5A">
        <w:t>ge confirmation f</w:t>
      </w:r>
      <w:r w:rsidR="000F3360">
        <w:t>ro</w:t>
      </w:r>
      <w:r w:rsidR="00E86D5A">
        <w:t xml:space="preserve">m HSBC showing </w:t>
      </w:r>
      <w:r w:rsidR="006F1467">
        <w:t>repayments</w:t>
      </w:r>
      <w:r w:rsidR="00E86D5A">
        <w:t xml:space="preserve"> </w:t>
      </w:r>
      <w:r w:rsidR="00E86D5A" w:rsidRPr="00E86D5A">
        <w:t xml:space="preserve">of </w:t>
      </w:r>
      <w:r w:rsidR="00E86D5A" w:rsidRPr="00E86D5A">
        <w:rPr>
          <w:color w:val="000000"/>
        </w:rPr>
        <w:t>£3,200</w:t>
      </w:r>
      <w:r w:rsidR="00E86D5A">
        <w:rPr>
          <w:color w:val="000000"/>
        </w:rPr>
        <w:t xml:space="preserve"> month</w:t>
      </w:r>
      <w:r w:rsidR="006F1467">
        <w:rPr>
          <w:color w:val="000000"/>
        </w:rPr>
        <w:t>l</w:t>
      </w:r>
      <w:r w:rsidR="00E86D5A">
        <w:rPr>
          <w:color w:val="000000"/>
        </w:rPr>
        <w:t>y</w:t>
      </w:r>
      <w:r w:rsidR="006F1467">
        <w:rPr>
          <w:color w:val="000000"/>
        </w:rPr>
        <w:t xml:space="preserve"> with no satisfactory explanation of the source of these repayments. </w:t>
      </w:r>
    </w:p>
    <w:p w14:paraId="5AD6F405" w14:textId="16BA64AD" w:rsidR="00D56456" w:rsidRPr="00D56456" w:rsidRDefault="00D56456" w:rsidP="00D56456">
      <w:pPr>
        <w:pStyle w:val="JudgmentText"/>
        <w:numPr>
          <w:ilvl w:val="0"/>
          <w:numId w:val="0"/>
        </w:numPr>
        <w:ind w:left="720"/>
        <w:rPr>
          <w:b/>
        </w:rPr>
      </w:pPr>
      <w:r w:rsidRPr="00D56456">
        <w:rPr>
          <w:b/>
        </w:rPr>
        <w:t>The Respondents</w:t>
      </w:r>
      <w:r>
        <w:rPr>
          <w:b/>
        </w:rPr>
        <w:t>’</w:t>
      </w:r>
      <w:r w:rsidRPr="00D56456">
        <w:rPr>
          <w:b/>
        </w:rPr>
        <w:t xml:space="preserve"> evidence</w:t>
      </w:r>
    </w:p>
    <w:p w14:paraId="5E3EED6C" w14:textId="47154BB2" w:rsidR="001C4BF2" w:rsidRDefault="00C32772" w:rsidP="00BF0046">
      <w:pPr>
        <w:pStyle w:val="JudgmentText"/>
      </w:pPr>
      <w:r>
        <w:t xml:space="preserve">On </w:t>
      </w:r>
      <w:r w:rsidR="006F1467">
        <w:t>3</w:t>
      </w:r>
      <w:r>
        <w:t xml:space="preserve"> </w:t>
      </w:r>
      <w:r w:rsidR="006F1467">
        <w:t>October</w:t>
      </w:r>
      <w:r w:rsidR="002328AD">
        <w:t xml:space="preserve"> 20</w:t>
      </w:r>
      <w:r w:rsidR="002328AD" w:rsidRPr="00EC1A9C">
        <w:t>17</w:t>
      </w:r>
      <w:r w:rsidR="002328AD">
        <w:t xml:space="preserve">, </w:t>
      </w:r>
      <w:r w:rsidR="006F1467">
        <w:t>John Dreyer</w:t>
      </w:r>
      <w:r>
        <w:t xml:space="preserve"> in his </w:t>
      </w:r>
      <w:r w:rsidR="006F1467">
        <w:t>personal capacity and as the representative of the First Respondent and the Fourth Respondent swore</w:t>
      </w:r>
      <w:r>
        <w:t xml:space="preserve"> an Affidavit in reply to that of </w:t>
      </w:r>
      <w:proofErr w:type="spellStart"/>
      <w:r>
        <w:t>Mr.</w:t>
      </w:r>
      <w:proofErr w:type="spellEnd"/>
      <w:r>
        <w:t xml:space="preserve"> </w:t>
      </w:r>
      <w:proofErr w:type="spellStart"/>
      <w:r w:rsidR="006F1467">
        <w:t>Celliers</w:t>
      </w:r>
      <w:proofErr w:type="spellEnd"/>
      <w:r>
        <w:t>.</w:t>
      </w:r>
    </w:p>
    <w:p w14:paraId="2F274272" w14:textId="77777777" w:rsidR="00C32772" w:rsidRDefault="00C32772" w:rsidP="00C32772">
      <w:pPr>
        <w:pStyle w:val="JudgmentText"/>
      </w:pPr>
      <w:r>
        <w:t>The averments in the affidavit are to the effect that:</w:t>
      </w:r>
    </w:p>
    <w:p w14:paraId="224A304E" w14:textId="2A9133FD" w:rsidR="006F1467" w:rsidRDefault="00A47A6C" w:rsidP="00A47A6C">
      <w:pPr>
        <w:pStyle w:val="JudgmentText"/>
        <w:numPr>
          <w:ilvl w:val="0"/>
          <w:numId w:val="13"/>
        </w:numPr>
      </w:pPr>
      <w:r>
        <w:t xml:space="preserve">He qualified as an Optometrist in 1980 and worked hard in that field for 25 years specialising in contact lenses and disease detection. His wife, the Third Respondent trained as psychiatric </w:t>
      </w:r>
      <w:r w:rsidR="00AE025C">
        <w:t>nurse</w:t>
      </w:r>
      <w:r>
        <w:t>. They saw opportunities on the internet and in 2004 launched an internet contact lenses site offering ease of access and reduced prices to the public buying on line. The business developed from scratch and developed into the international contact lens business he has today.</w:t>
      </w:r>
    </w:p>
    <w:p w14:paraId="605A365E" w14:textId="040CBE36" w:rsidR="00A47A6C" w:rsidRDefault="00A47A6C" w:rsidP="00A47A6C">
      <w:pPr>
        <w:pStyle w:val="JudgmentText"/>
        <w:numPr>
          <w:ilvl w:val="0"/>
          <w:numId w:val="13"/>
        </w:numPr>
      </w:pPr>
      <w:r>
        <w:lastRenderedPageBreak/>
        <w:t xml:space="preserve">He travelled with the </w:t>
      </w:r>
      <w:r w:rsidR="001575DE">
        <w:t>T</w:t>
      </w:r>
      <w:r>
        <w:t xml:space="preserve">hird </w:t>
      </w:r>
      <w:r w:rsidR="001575DE">
        <w:t>R</w:t>
      </w:r>
      <w:r>
        <w:t>es</w:t>
      </w:r>
      <w:r w:rsidR="001575DE">
        <w:t>p</w:t>
      </w:r>
      <w:r>
        <w:t>on</w:t>
      </w:r>
      <w:r w:rsidR="001575DE">
        <w:t>d</w:t>
      </w:r>
      <w:r>
        <w:t>e</w:t>
      </w:r>
      <w:r w:rsidR="001575DE">
        <w:t>n</w:t>
      </w:r>
      <w:r>
        <w:t xml:space="preserve">t to </w:t>
      </w:r>
      <w:r w:rsidR="001575DE">
        <w:t>S</w:t>
      </w:r>
      <w:r>
        <w:t>eyc</w:t>
      </w:r>
      <w:r w:rsidR="001575DE">
        <w:t>h</w:t>
      </w:r>
      <w:r>
        <w:t xml:space="preserve">elles </w:t>
      </w:r>
      <w:r w:rsidR="00AE025C">
        <w:t>o</w:t>
      </w:r>
      <w:r>
        <w:t>n holi</w:t>
      </w:r>
      <w:r w:rsidR="001575DE">
        <w:t>d</w:t>
      </w:r>
      <w:r>
        <w:t>ay in</w:t>
      </w:r>
      <w:r w:rsidR="001575DE">
        <w:t xml:space="preserve"> </w:t>
      </w:r>
      <w:r>
        <w:t>2005 and dec</w:t>
      </w:r>
      <w:r w:rsidR="001575DE">
        <w:t>i</w:t>
      </w:r>
      <w:r>
        <w:t>ded to buy an apartment</w:t>
      </w:r>
      <w:r w:rsidR="001575DE">
        <w:t xml:space="preserve"> at Eden Island. They lived </w:t>
      </w:r>
      <w:r w:rsidR="004547B2">
        <w:t>t</w:t>
      </w:r>
      <w:r w:rsidR="001575DE">
        <w:t xml:space="preserve">here for five years and </w:t>
      </w:r>
      <w:r w:rsidR="001575DE" w:rsidRPr="00AE025C">
        <w:rPr>
          <w:u w:val="single"/>
        </w:rPr>
        <w:t xml:space="preserve">moved the </w:t>
      </w:r>
      <w:proofErr w:type="spellStart"/>
      <w:r w:rsidR="001575DE" w:rsidRPr="00AE025C">
        <w:rPr>
          <w:u w:val="single"/>
        </w:rPr>
        <w:t>Contactlenses</w:t>
      </w:r>
      <w:proofErr w:type="spellEnd"/>
      <w:r w:rsidR="001575DE" w:rsidRPr="00AE025C">
        <w:rPr>
          <w:u w:val="single"/>
        </w:rPr>
        <w:t xml:space="preserve"> business to Seychelles</w:t>
      </w:r>
      <w:r w:rsidR="00AE025C">
        <w:rPr>
          <w:u w:val="single"/>
        </w:rPr>
        <w:t xml:space="preserve"> (emphasis added)</w:t>
      </w:r>
      <w:r w:rsidR="001575DE">
        <w:t>.</w:t>
      </w:r>
    </w:p>
    <w:p w14:paraId="1210558F" w14:textId="2F37DF80" w:rsidR="001575DE" w:rsidRDefault="001575DE" w:rsidP="00A47A6C">
      <w:pPr>
        <w:pStyle w:val="JudgmentText"/>
        <w:numPr>
          <w:ilvl w:val="0"/>
          <w:numId w:val="13"/>
        </w:numPr>
      </w:pPr>
      <w:r>
        <w:t xml:space="preserve">The First Respondent’s source of income is from himself personally and </w:t>
      </w:r>
      <w:r w:rsidR="002328AD">
        <w:t xml:space="preserve">from his operation of an </w:t>
      </w:r>
      <w:r>
        <w:t>online contact lens retail</w:t>
      </w:r>
      <w:r w:rsidR="002328AD">
        <w:t xml:space="preserve"> business. </w:t>
      </w:r>
    </w:p>
    <w:p w14:paraId="2CB97E6D" w14:textId="2160C3A2" w:rsidR="001575DE" w:rsidRDefault="001575DE" w:rsidP="00A47A6C">
      <w:pPr>
        <w:pStyle w:val="JudgmentText"/>
        <w:numPr>
          <w:ilvl w:val="0"/>
          <w:numId w:val="13"/>
        </w:numPr>
      </w:pPr>
      <w:r>
        <w:t>The First Respondent has five bank accounts with Barclays Bank Seychelles as detailed in the Applicant’s affidavit.</w:t>
      </w:r>
    </w:p>
    <w:p w14:paraId="183DE0B1" w14:textId="2D9E04B5" w:rsidR="001575DE" w:rsidRDefault="001575DE" w:rsidP="00A47A6C">
      <w:pPr>
        <w:pStyle w:val="JudgmentText"/>
        <w:numPr>
          <w:ilvl w:val="0"/>
          <w:numId w:val="13"/>
        </w:numPr>
      </w:pPr>
      <w:r>
        <w:t>After having be</w:t>
      </w:r>
      <w:r w:rsidR="002328AD">
        <w:t>e</w:t>
      </w:r>
      <w:r>
        <w:t xml:space="preserve">n contacted by the </w:t>
      </w:r>
      <w:r w:rsidR="002328AD">
        <w:t>B</w:t>
      </w:r>
      <w:r>
        <w:t xml:space="preserve">ank that they </w:t>
      </w:r>
      <w:r w:rsidR="00543DAA">
        <w:t>c</w:t>
      </w:r>
      <w:r>
        <w:t xml:space="preserve">ould no longer provide </w:t>
      </w:r>
      <w:r w:rsidR="00543DAA">
        <w:t>it</w:t>
      </w:r>
      <w:r>
        <w:t xml:space="preserve"> with a service</w:t>
      </w:r>
      <w:r w:rsidR="003708E2">
        <w:t>,</w:t>
      </w:r>
      <w:r>
        <w:t xml:space="preserve"> </w:t>
      </w:r>
      <w:r w:rsidR="00543DAA">
        <w:t>it</w:t>
      </w:r>
      <w:r>
        <w:t xml:space="preserve"> received </w:t>
      </w:r>
      <w:r w:rsidR="00543DAA">
        <w:t>communications</w:t>
      </w:r>
      <w:r>
        <w:t xml:space="preserve"> f</w:t>
      </w:r>
      <w:r w:rsidR="00543DAA">
        <w:t>r</w:t>
      </w:r>
      <w:r>
        <w:t>om the Appl</w:t>
      </w:r>
      <w:r w:rsidR="00543DAA">
        <w:t>icant</w:t>
      </w:r>
      <w:r>
        <w:t xml:space="preserve"> and </w:t>
      </w:r>
      <w:r w:rsidR="00543DAA">
        <w:t>sent a consolidated response on 12 January 2</w:t>
      </w:r>
      <w:r w:rsidR="00EC1A9C">
        <w:t xml:space="preserve">015 </w:t>
      </w:r>
      <w:r w:rsidR="00543DAA">
        <w:t xml:space="preserve">with supporting documentation showing invoices and documents illustrating good faith trading between the First Respondent and two of the worlds’ largest contact lens manufacturers.  </w:t>
      </w:r>
    </w:p>
    <w:p w14:paraId="3580713D" w14:textId="32355329" w:rsidR="00543DAA" w:rsidRDefault="00543DAA" w:rsidP="00A47A6C">
      <w:pPr>
        <w:pStyle w:val="JudgmentText"/>
        <w:numPr>
          <w:ilvl w:val="0"/>
          <w:numId w:val="13"/>
        </w:numPr>
      </w:pPr>
      <w:r>
        <w:t xml:space="preserve">On 14 September </w:t>
      </w:r>
      <w:r w:rsidR="00EC1A9C">
        <w:t xml:space="preserve">2015 </w:t>
      </w:r>
      <w:r>
        <w:t xml:space="preserve">it was asked for further information, which it eventually supplied. Further affidavits between the Applicant and the company ensued. </w:t>
      </w:r>
    </w:p>
    <w:p w14:paraId="3F172452" w14:textId="60B0EFC2" w:rsidR="00543DAA" w:rsidRDefault="00543DAA" w:rsidP="00A47A6C">
      <w:pPr>
        <w:pStyle w:val="JudgmentText"/>
        <w:numPr>
          <w:ilvl w:val="0"/>
          <w:numId w:val="13"/>
        </w:numPr>
      </w:pPr>
      <w:r>
        <w:t>It denies that the specified properties are derived from criminal conduct or breach the AMLA o</w:t>
      </w:r>
      <w:r w:rsidR="00AE025C">
        <w:t>r</w:t>
      </w:r>
      <w:r>
        <w:t xml:space="preserve"> POCA.</w:t>
      </w:r>
    </w:p>
    <w:p w14:paraId="1F88796C" w14:textId="59D1908E" w:rsidR="00543DAA" w:rsidRDefault="00543DAA" w:rsidP="00A47A6C">
      <w:pPr>
        <w:pStyle w:val="JudgmentText"/>
        <w:numPr>
          <w:ilvl w:val="0"/>
          <w:numId w:val="13"/>
        </w:numPr>
      </w:pPr>
      <w:r>
        <w:t xml:space="preserve">British Revenue did make queries regarding the company and whether it should be taxed by but have not taken any legal action against any of the Respondents. </w:t>
      </w:r>
    </w:p>
    <w:p w14:paraId="57A374A5" w14:textId="73B15D17" w:rsidR="00543DAA" w:rsidRDefault="00543DAA" w:rsidP="00A47A6C">
      <w:pPr>
        <w:pStyle w:val="JudgmentText"/>
        <w:numPr>
          <w:ilvl w:val="0"/>
          <w:numId w:val="13"/>
        </w:numPr>
      </w:pPr>
      <w:r>
        <w:t>The Se</w:t>
      </w:r>
      <w:r w:rsidR="003A7D0D">
        <w:t>c</w:t>
      </w:r>
      <w:r>
        <w:t xml:space="preserve">ond </w:t>
      </w:r>
      <w:r w:rsidR="003A7D0D">
        <w:t>Respondent</w:t>
      </w:r>
      <w:r>
        <w:t xml:space="preserve"> denies taking extreme steps to </w:t>
      </w:r>
      <w:r w:rsidR="003A7D0D">
        <w:t>conceal</w:t>
      </w:r>
      <w:r>
        <w:t xml:space="preserve"> his invo</w:t>
      </w:r>
      <w:r w:rsidR="003A7D0D">
        <w:t>l</w:t>
      </w:r>
      <w:r>
        <w:t>vement with the F</w:t>
      </w:r>
      <w:r w:rsidR="003A7D0D">
        <w:t>irst Respondent</w:t>
      </w:r>
      <w:r>
        <w:t xml:space="preserve"> but avers that Carlyle </w:t>
      </w:r>
      <w:r w:rsidR="003A7D0D">
        <w:t>Executives Ltd was appointed to provide directorship services to the First Respondent.</w:t>
      </w:r>
    </w:p>
    <w:p w14:paraId="764D21B4" w14:textId="4B172131" w:rsidR="003A7D0D" w:rsidRDefault="003A7D0D" w:rsidP="00A47A6C">
      <w:pPr>
        <w:pStyle w:val="JudgmentText"/>
        <w:numPr>
          <w:ilvl w:val="0"/>
          <w:numId w:val="13"/>
        </w:numPr>
      </w:pPr>
      <w:r>
        <w:t>The First Respondent not only traded in the UK but also in many countries but its tax residence is Seychelles. Although a Seychell</w:t>
      </w:r>
      <w:r w:rsidR="00F03954">
        <w:t>ois</w:t>
      </w:r>
      <w:r>
        <w:t xml:space="preserve"> IBC cannot carry on business in Seychelles</w:t>
      </w:r>
      <w:r w:rsidR="003708E2">
        <w:t xml:space="preserve"> </w:t>
      </w:r>
      <w:r w:rsidR="003708E2" w:rsidRPr="003708E2">
        <w:rPr>
          <w:u w:val="single"/>
        </w:rPr>
        <w:t xml:space="preserve">it </w:t>
      </w:r>
      <w:r w:rsidRPr="003708E2">
        <w:rPr>
          <w:u w:val="single"/>
        </w:rPr>
        <w:t xml:space="preserve">is not precluded by law to carry on business </w:t>
      </w:r>
      <w:r w:rsidRPr="003708E2">
        <w:rPr>
          <w:u w:val="single"/>
        </w:rPr>
        <w:lastRenderedPageBreak/>
        <w:t>outside Seychelles from Seychelles</w:t>
      </w:r>
      <w:r>
        <w:t xml:space="preserve">. </w:t>
      </w:r>
      <w:r w:rsidRPr="00AE025C">
        <w:rPr>
          <w:u w:val="single"/>
        </w:rPr>
        <w:t xml:space="preserve">Its principal place of business, </w:t>
      </w:r>
      <w:r w:rsidR="000A6E50" w:rsidRPr="00AE025C">
        <w:rPr>
          <w:u w:val="single"/>
        </w:rPr>
        <w:t>management</w:t>
      </w:r>
      <w:r w:rsidRPr="00AE025C">
        <w:rPr>
          <w:u w:val="single"/>
        </w:rPr>
        <w:t xml:space="preserve"> and permanent establishment is in </w:t>
      </w:r>
      <w:r w:rsidR="000A6E50" w:rsidRPr="00AE025C">
        <w:rPr>
          <w:u w:val="single"/>
        </w:rPr>
        <w:t>Seychelles</w:t>
      </w:r>
      <w:r w:rsidRPr="00AE025C">
        <w:rPr>
          <w:u w:val="single"/>
        </w:rPr>
        <w:t xml:space="preserve"> solely.</w:t>
      </w:r>
      <w:r>
        <w:t xml:space="preserve"> Hence it committed no tax offence in </w:t>
      </w:r>
      <w:r w:rsidR="00F03954">
        <w:t xml:space="preserve">the </w:t>
      </w:r>
      <w:r>
        <w:t xml:space="preserve">UK as </w:t>
      </w:r>
      <w:r w:rsidRPr="00AE025C">
        <w:rPr>
          <w:u w:val="single"/>
        </w:rPr>
        <w:t xml:space="preserve">it was tax domiciled </w:t>
      </w:r>
      <w:r w:rsidR="000A6E50" w:rsidRPr="00AE025C">
        <w:rPr>
          <w:u w:val="single"/>
        </w:rPr>
        <w:t xml:space="preserve">and resident </w:t>
      </w:r>
      <w:r w:rsidRPr="00AE025C">
        <w:rPr>
          <w:u w:val="single"/>
        </w:rPr>
        <w:t>in Seychelles</w:t>
      </w:r>
      <w:r w:rsidR="003708E2">
        <w:t xml:space="preserve"> (emphasis added). </w:t>
      </w:r>
    </w:p>
    <w:p w14:paraId="46B18930" w14:textId="3F2DACAD" w:rsidR="000A6E50" w:rsidRDefault="003A7D0D" w:rsidP="00A47A6C">
      <w:pPr>
        <w:pStyle w:val="JudgmentText"/>
        <w:numPr>
          <w:ilvl w:val="0"/>
          <w:numId w:val="13"/>
        </w:numPr>
      </w:pPr>
      <w:r>
        <w:t xml:space="preserve">The reason why the bank account mentioned an address in UK is because </w:t>
      </w:r>
      <w:r w:rsidR="003708E2">
        <w:t>t</w:t>
      </w:r>
      <w:r>
        <w:t>he</w:t>
      </w:r>
      <w:r w:rsidR="003708E2">
        <w:t xml:space="preserve"> second Respondent </w:t>
      </w:r>
      <w:r>
        <w:t xml:space="preserve">had </w:t>
      </w:r>
      <w:r w:rsidR="000A6E50">
        <w:t>previously</w:t>
      </w:r>
      <w:r>
        <w:t xml:space="preserve"> been s</w:t>
      </w:r>
      <w:r w:rsidR="000A6E50">
        <w:t>t</w:t>
      </w:r>
      <w:r>
        <w:t>a</w:t>
      </w:r>
      <w:r w:rsidR="000A6E50">
        <w:t>y</w:t>
      </w:r>
      <w:r>
        <w:t>ing there and wanted t</w:t>
      </w:r>
      <w:r w:rsidR="000A6E50">
        <w:t>o</w:t>
      </w:r>
      <w:r>
        <w:t xml:space="preserve"> rec</w:t>
      </w:r>
      <w:r w:rsidR="000A6E50">
        <w:t>e</w:t>
      </w:r>
      <w:r>
        <w:t>ive directly the bank statements</w:t>
      </w:r>
      <w:r w:rsidR="000A6E50">
        <w:t>.</w:t>
      </w:r>
    </w:p>
    <w:p w14:paraId="4763ECA1" w14:textId="2FBCAAA6" w:rsidR="003A7D0D" w:rsidRDefault="000A6E50" w:rsidP="00A47A6C">
      <w:pPr>
        <w:pStyle w:val="JudgmentText"/>
        <w:numPr>
          <w:ilvl w:val="0"/>
          <w:numId w:val="13"/>
        </w:numPr>
      </w:pPr>
      <w:r>
        <w:t>It confirmed its bank account with HSBC, which remains unfrozen and transfers from there to Seychelles were intercompany transfers.</w:t>
      </w:r>
      <w:r w:rsidR="003A7D0D">
        <w:t xml:space="preserve"> </w:t>
      </w:r>
      <w:r>
        <w:t xml:space="preserve">The transfer of business from </w:t>
      </w:r>
      <w:proofErr w:type="spellStart"/>
      <w:r>
        <w:t>Contactlenses</w:t>
      </w:r>
      <w:proofErr w:type="spellEnd"/>
      <w:r>
        <w:t xml:space="preserve"> (UK) Ltd. to </w:t>
      </w:r>
      <w:proofErr w:type="spellStart"/>
      <w:r>
        <w:t>Contactlenses</w:t>
      </w:r>
      <w:proofErr w:type="spellEnd"/>
      <w:r>
        <w:t xml:space="preserve"> Ltd (that is, the Seychell</w:t>
      </w:r>
      <w:r w:rsidR="00F03954">
        <w:t>ois</w:t>
      </w:r>
      <w:r>
        <w:t xml:space="preserve"> IBC was a tax planning strategy taking advantage of the tax legislation in Seychelles. </w:t>
      </w:r>
    </w:p>
    <w:p w14:paraId="6C3A8BCF" w14:textId="672C8789" w:rsidR="000A6E50" w:rsidRDefault="000A6E50" w:rsidP="00A47A6C">
      <w:pPr>
        <w:pStyle w:val="JudgmentText"/>
        <w:numPr>
          <w:ilvl w:val="0"/>
          <w:numId w:val="13"/>
        </w:numPr>
      </w:pPr>
      <w:r>
        <w:t>Unpaid issued shares is neither uncommon nor illegal.</w:t>
      </w:r>
    </w:p>
    <w:p w14:paraId="32588ABB" w14:textId="79C83F8A" w:rsidR="000A6E50" w:rsidRDefault="000A6E50" w:rsidP="00A47A6C">
      <w:pPr>
        <w:pStyle w:val="JudgmentText"/>
        <w:numPr>
          <w:ilvl w:val="0"/>
          <w:numId w:val="13"/>
        </w:numPr>
      </w:pPr>
      <w:r>
        <w:t xml:space="preserve">Similarly, there is nothing extraordinary in using the same name </w:t>
      </w:r>
      <w:proofErr w:type="spellStart"/>
      <w:r>
        <w:t>Stratta</w:t>
      </w:r>
      <w:proofErr w:type="spellEnd"/>
      <w:r>
        <w:t xml:space="preserve"> in a Seychelles IBC whilst availing of the tax legislation in Seychelles.</w:t>
      </w:r>
    </w:p>
    <w:p w14:paraId="0D5B11D8" w14:textId="42C41241" w:rsidR="000A6E50" w:rsidRDefault="000A6E50" w:rsidP="00A47A6C">
      <w:pPr>
        <w:pStyle w:val="JudgmentText"/>
        <w:numPr>
          <w:ilvl w:val="0"/>
          <w:numId w:val="13"/>
        </w:numPr>
      </w:pPr>
      <w:r>
        <w:t xml:space="preserve">Purchasing the yacht Mojo from the First Respondent’s funds does not prove tax fraud by the Second Respondent. It only has to be reflected in the company’s accounting statements and </w:t>
      </w:r>
      <w:r w:rsidR="00B14D42">
        <w:t>it</w:t>
      </w:r>
      <w:r>
        <w:t xml:space="preserve"> could </w:t>
      </w:r>
      <w:r w:rsidR="00B14D42">
        <w:t xml:space="preserve">also </w:t>
      </w:r>
      <w:r>
        <w:t>not commit ta</w:t>
      </w:r>
      <w:r w:rsidR="00B14D42">
        <w:t xml:space="preserve">x fraud as it </w:t>
      </w:r>
      <w:r w:rsidR="00EC1A9C">
        <w:t xml:space="preserve">is </w:t>
      </w:r>
      <w:r w:rsidR="00B14D42">
        <w:t xml:space="preserve">tax domiciled in Seychelles and availing of the tax legislation of Seychelles meant it had not tax liability. </w:t>
      </w:r>
    </w:p>
    <w:p w14:paraId="093C3CEC" w14:textId="343FF812" w:rsidR="00B14D42" w:rsidRDefault="00B14D42" w:rsidP="00A47A6C">
      <w:pPr>
        <w:pStyle w:val="JudgmentText"/>
        <w:numPr>
          <w:ilvl w:val="0"/>
          <w:numId w:val="13"/>
        </w:numPr>
      </w:pPr>
      <w:r>
        <w:t xml:space="preserve">The Applicant does not explain the allegations that the mortgage repayments were the benefit of criminal conduct. </w:t>
      </w:r>
    </w:p>
    <w:p w14:paraId="2ABE192B" w14:textId="2E56628C" w:rsidR="00B14D42" w:rsidRDefault="00B14D42" w:rsidP="00A47A6C">
      <w:pPr>
        <w:pStyle w:val="JudgmentText"/>
        <w:numPr>
          <w:ilvl w:val="0"/>
          <w:numId w:val="13"/>
        </w:numPr>
      </w:pPr>
      <w:r>
        <w:t xml:space="preserve">The transfer of USD 280,000 by the First Respondent is normal and common with IBCs as the company belongs to the beneficial owner, that is, the Second Respondent. </w:t>
      </w:r>
    </w:p>
    <w:p w14:paraId="430F5154" w14:textId="720F6E85" w:rsidR="00B14D42" w:rsidRDefault="00B14D42" w:rsidP="00A47A6C">
      <w:pPr>
        <w:pStyle w:val="JudgmentText"/>
        <w:numPr>
          <w:ilvl w:val="0"/>
          <w:numId w:val="13"/>
        </w:numPr>
      </w:pPr>
      <w:r>
        <w:t>The purchase of the apartment at Eden Island was from a loan f</w:t>
      </w:r>
      <w:r w:rsidR="004547B2">
        <w:t>r</w:t>
      </w:r>
      <w:r>
        <w:t xml:space="preserve">om HSBC and is not proceeds from crime. </w:t>
      </w:r>
    </w:p>
    <w:p w14:paraId="3869C257" w14:textId="62537645" w:rsidR="00B14D42" w:rsidRDefault="00B14D42" w:rsidP="006F1467">
      <w:pPr>
        <w:pStyle w:val="JudgmentText"/>
      </w:pPr>
      <w:r>
        <w:lastRenderedPageBreak/>
        <w:t xml:space="preserve">There is no supporting documentation of the averments made but an affidavit </w:t>
      </w:r>
      <w:proofErr w:type="spellStart"/>
      <w:r>
        <w:t>deponed</w:t>
      </w:r>
      <w:proofErr w:type="spellEnd"/>
      <w:r>
        <w:t xml:space="preserve"> by one Bobby Brantley of Sterling </w:t>
      </w:r>
      <w:r w:rsidR="003708E2">
        <w:t>T</w:t>
      </w:r>
      <w:r>
        <w:t xml:space="preserve">rust is also submitted. </w:t>
      </w:r>
    </w:p>
    <w:p w14:paraId="259FF246" w14:textId="2872F227" w:rsidR="00B14D42" w:rsidRDefault="00B14D42" w:rsidP="006F1467">
      <w:pPr>
        <w:pStyle w:val="JudgmentText"/>
      </w:pPr>
      <w:r>
        <w:t xml:space="preserve">In it he </w:t>
      </w:r>
      <w:r w:rsidR="003F021F">
        <w:t>avers that</w:t>
      </w:r>
      <w:r>
        <w:t>:</w:t>
      </w:r>
    </w:p>
    <w:p w14:paraId="5FCFF248" w14:textId="3B8591A2" w:rsidR="00B14D42" w:rsidRDefault="00B14D42" w:rsidP="00B14D42">
      <w:pPr>
        <w:pStyle w:val="JudgmentText"/>
        <w:numPr>
          <w:ilvl w:val="0"/>
          <w:numId w:val="14"/>
        </w:numPr>
      </w:pPr>
      <w:r>
        <w:t xml:space="preserve">He knows </w:t>
      </w:r>
      <w:r w:rsidR="003F021F">
        <w:t>t</w:t>
      </w:r>
      <w:r>
        <w:t xml:space="preserve">he </w:t>
      </w:r>
      <w:r w:rsidR="003F021F">
        <w:t>Second</w:t>
      </w:r>
      <w:r>
        <w:t xml:space="preserve"> and </w:t>
      </w:r>
      <w:r w:rsidR="003F021F">
        <w:t>Third</w:t>
      </w:r>
      <w:r>
        <w:t xml:space="preserve"> </w:t>
      </w:r>
      <w:r w:rsidR="003F021F">
        <w:t>R</w:t>
      </w:r>
      <w:r>
        <w:t>es</w:t>
      </w:r>
      <w:r w:rsidR="003F021F">
        <w:t>p</w:t>
      </w:r>
      <w:r>
        <w:t>on</w:t>
      </w:r>
      <w:r w:rsidR="003F021F">
        <w:t>dents</w:t>
      </w:r>
      <w:r>
        <w:t xml:space="preserve"> personally</w:t>
      </w:r>
      <w:r w:rsidR="008F18AE">
        <w:t>.</w:t>
      </w:r>
      <w:r>
        <w:t xml:space="preserve"> </w:t>
      </w:r>
      <w:r w:rsidR="008F18AE">
        <w:t>T</w:t>
      </w:r>
      <w:r>
        <w:t xml:space="preserve">he First </w:t>
      </w:r>
      <w:r w:rsidR="003F021F">
        <w:t>Respondent</w:t>
      </w:r>
      <w:r>
        <w:t xml:space="preserve"> is a </w:t>
      </w:r>
      <w:r w:rsidR="003F021F">
        <w:t>company-registered</w:t>
      </w:r>
      <w:r>
        <w:t xml:space="preserve"> </w:t>
      </w:r>
      <w:r w:rsidR="003F021F">
        <w:t>w</w:t>
      </w:r>
      <w:r>
        <w:t>ith Ster</w:t>
      </w:r>
      <w:r w:rsidR="003F021F">
        <w:t>ling Trust</w:t>
      </w:r>
      <w:r>
        <w:t>, a cor</w:t>
      </w:r>
      <w:r w:rsidR="003F021F">
        <w:t>po</w:t>
      </w:r>
      <w:r>
        <w:t>rate ser</w:t>
      </w:r>
      <w:r w:rsidR="003F021F">
        <w:t>vice</w:t>
      </w:r>
      <w:r>
        <w:t xml:space="preserve"> </w:t>
      </w:r>
      <w:r w:rsidR="003F021F">
        <w:t>provider</w:t>
      </w:r>
      <w:r>
        <w:t xml:space="preserve"> wh</w:t>
      </w:r>
      <w:r w:rsidR="003F021F">
        <w:t>ich</w:t>
      </w:r>
      <w:r>
        <w:t xml:space="preserve"> he represents in his capacity as director. </w:t>
      </w:r>
    </w:p>
    <w:p w14:paraId="1D5E8D7B" w14:textId="5455B7FC" w:rsidR="003F021F" w:rsidRDefault="005C6655" w:rsidP="00B14D42">
      <w:pPr>
        <w:pStyle w:val="JudgmentText"/>
        <w:numPr>
          <w:ilvl w:val="0"/>
          <w:numId w:val="14"/>
        </w:numPr>
      </w:pPr>
      <w:r>
        <w:t>He is director of five other different Seychell</w:t>
      </w:r>
      <w:r w:rsidR="00F03954">
        <w:t>ois</w:t>
      </w:r>
      <w:r>
        <w:t xml:space="preserve"> companies </w:t>
      </w:r>
      <w:r w:rsidR="008F18AE">
        <w:t xml:space="preserve">and holds </w:t>
      </w:r>
      <w:r w:rsidR="003708E2">
        <w:t xml:space="preserve">nine </w:t>
      </w:r>
      <w:r>
        <w:t>different financial services licences, and is the chief executive officer of Trop X</w:t>
      </w:r>
      <w:r w:rsidR="003708E2">
        <w:t xml:space="preserve"> </w:t>
      </w:r>
      <w:r>
        <w:t xml:space="preserve">(Seychelles ) Limited, Seychelles Securities </w:t>
      </w:r>
      <w:r w:rsidR="00F03954">
        <w:t>E</w:t>
      </w:r>
      <w:r>
        <w:t>xchange.</w:t>
      </w:r>
    </w:p>
    <w:p w14:paraId="2991E5A0" w14:textId="7FBC76EB" w:rsidR="005C6655" w:rsidRDefault="005C6655" w:rsidP="00B14D42">
      <w:pPr>
        <w:pStyle w:val="JudgmentText"/>
        <w:numPr>
          <w:ilvl w:val="0"/>
          <w:numId w:val="14"/>
        </w:numPr>
      </w:pPr>
      <w:r>
        <w:t xml:space="preserve">He has a Master’s in Business </w:t>
      </w:r>
      <w:r w:rsidR="0099419A">
        <w:t>Administration</w:t>
      </w:r>
      <w:r>
        <w:t xml:space="preserve"> and is a member of the International Tax Planners Association and a member of the Society of Trust and </w:t>
      </w:r>
      <w:r w:rsidR="0099419A">
        <w:t>E</w:t>
      </w:r>
      <w:r>
        <w:t>s</w:t>
      </w:r>
      <w:r w:rsidR="0099419A">
        <w:t>t</w:t>
      </w:r>
      <w:r>
        <w:t xml:space="preserve">ate </w:t>
      </w:r>
      <w:r w:rsidR="0099419A">
        <w:t>P</w:t>
      </w:r>
      <w:r>
        <w:t>ractiti</w:t>
      </w:r>
      <w:r w:rsidR="0099419A">
        <w:t>oners.</w:t>
      </w:r>
      <w:r>
        <w:t xml:space="preserve"> He is currently the Vice Chair of the Seych</w:t>
      </w:r>
      <w:r w:rsidR="0099419A">
        <w:t>ell</w:t>
      </w:r>
      <w:r>
        <w:t>es Financi</w:t>
      </w:r>
      <w:r w:rsidR="0099419A">
        <w:t>a</w:t>
      </w:r>
      <w:r>
        <w:t>l Servi</w:t>
      </w:r>
      <w:r w:rsidR="0099419A">
        <w:t>c</w:t>
      </w:r>
      <w:r>
        <w:t xml:space="preserve">es </w:t>
      </w:r>
      <w:r w:rsidR="0099419A">
        <w:t>M</w:t>
      </w:r>
      <w:r>
        <w:t>ar</w:t>
      </w:r>
      <w:r w:rsidR="0099419A">
        <w:t>k</w:t>
      </w:r>
      <w:r>
        <w:t xml:space="preserve">eting </w:t>
      </w:r>
      <w:r w:rsidR="0099419A">
        <w:t>C</w:t>
      </w:r>
      <w:r>
        <w:t xml:space="preserve">ommittee.  </w:t>
      </w:r>
    </w:p>
    <w:p w14:paraId="7C2B12CC" w14:textId="59D4F9F6" w:rsidR="0099419A" w:rsidRDefault="008F18AE" w:rsidP="00B14D42">
      <w:pPr>
        <w:pStyle w:val="JudgmentText"/>
        <w:numPr>
          <w:ilvl w:val="0"/>
          <w:numId w:val="14"/>
        </w:numPr>
      </w:pPr>
      <w:r>
        <w:t>He has considerable experience and knowledge of the laws relative to the Financial Services Authority including the International Business Companies Act as well as practical experience in the field of advising “third parties on various multi-jurisdictional structures including potential tax issues as regards matters of residency of the entities within these structures.</w:t>
      </w:r>
      <w:r w:rsidR="00754394">
        <w:t>”</w:t>
      </w:r>
    </w:p>
    <w:p w14:paraId="5A862BE8" w14:textId="4C4F7613" w:rsidR="00754394" w:rsidRDefault="00754394" w:rsidP="00B14D42">
      <w:pPr>
        <w:pStyle w:val="JudgmentText"/>
        <w:numPr>
          <w:ilvl w:val="0"/>
          <w:numId w:val="14"/>
        </w:numPr>
      </w:pPr>
      <w:r>
        <w:t>I</w:t>
      </w:r>
      <w:r w:rsidR="005F53DE">
        <w:t>t</w:t>
      </w:r>
      <w:r>
        <w:t xml:space="preserve"> </w:t>
      </w:r>
      <w:r w:rsidR="005F53DE">
        <w:t>is</w:t>
      </w:r>
      <w:r>
        <w:t xml:space="preserve"> common in the financial </w:t>
      </w:r>
      <w:r w:rsidR="005F53DE">
        <w:t>services</w:t>
      </w:r>
      <w:r>
        <w:t xml:space="preserve"> industry </w:t>
      </w:r>
      <w:r w:rsidR="00EC1A9C">
        <w:t xml:space="preserve">for corporate service providers to provide nominee shareholders and directorship services for a client wishing to set up an IBC in Seychelles. </w:t>
      </w:r>
    </w:p>
    <w:p w14:paraId="7A620503" w14:textId="4D6A03D8" w:rsidR="00EC1A9C" w:rsidRDefault="00EC1A9C" w:rsidP="00B14D42">
      <w:pPr>
        <w:pStyle w:val="JudgmentText"/>
        <w:numPr>
          <w:ilvl w:val="0"/>
          <w:numId w:val="14"/>
        </w:numPr>
      </w:pPr>
      <w:r>
        <w:t>There is no time limit in the Act for the allotted shares to be paid up and not uncommon for them to b</w:t>
      </w:r>
      <w:r w:rsidR="00D56456">
        <w:t>e</w:t>
      </w:r>
      <w:r>
        <w:t xml:space="preserve"> unpaid until a call is made on the shares. </w:t>
      </w:r>
    </w:p>
    <w:p w14:paraId="77224CE8" w14:textId="07452014" w:rsidR="00D56456" w:rsidRDefault="00D56456" w:rsidP="00B14D42">
      <w:pPr>
        <w:pStyle w:val="JudgmentText"/>
        <w:numPr>
          <w:ilvl w:val="0"/>
          <w:numId w:val="14"/>
        </w:numPr>
      </w:pPr>
      <w:r>
        <w:t>IBCs are incorporated in Seychelles as part of the tax planning strategy of persons.</w:t>
      </w:r>
    </w:p>
    <w:p w14:paraId="7044278F" w14:textId="5F0B53FD" w:rsidR="00D56456" w:rsidRDefault="00D56456" w:rsidP="00B14D42">
      <w:pPr>
        <w:pStyle w:val="JudgmentText"/>
        <w:numPr>
          <w:ilvl w:val="0"/>
          <w:numId w:val="14"/>
        </w:numPr>
      </w:pPr>
      <w:r>
        <w:lastRenderedPageBreak/>
        <w:t>A Seychellois IBC is resident in Seychelles for tax purposes and it is only if the IBC establishes a permanent establishment in another country that it acquires a second residence. This would then make the IBC a dual resident for tax purposes</w:t>
      </w:r>
      <w:r w:rsidR="000F3360">
        <w:t>.</w:t>
      </w:r>
      <w:r>
        <w:t xml:space="preserve"> </w:t>
      </w:r>
    </w:p>
    <w:p w14:paraId="5D6030E2" w14:textId="1F1C461D" w:rsidR="00D56456" w:rsidRDefault="00D56456" w:rsidP="00B14D42">
      <w:pPr>
        <w:pStyle w:val="JudgmentText"/>
        <w:numPr>
          <w:ilvl w:val="0"/>
          <w:numId w:val="14"/>
        </w:numPr>
      </w:pPr>
      <w:r>
        <w:t>In the present matter no permanent establishment has been created in any country outside Seychelles.</w:t>
      </w:r>
    </w:p>
    <w:p w14:paraId="07B4F693" w14:textId="7C166887" w:rsidR="00D56456" w:rsidRPr="00D56456" w:rsidRDefault="00D56456" w:rsidP="00D56456">
      <w:pPr>
        <w:pStyle w:val="JudgmentText"/>
        <w:numPr>
          <w:ilvl w:val="0"/>
          <w:numId w:val="0"/>
        </w:numPr>
        <w:ind w:left="720" w:hanging="720"/>
        <w:rPr>
          <w:b/>
        </w:rPr>
      </w:pPr>
      <w:r w:rsidRPr="00D56456">
        <w:rPr>
          <w:b/>
        </w:rPr>
        <w:t xml:space="preserve">The </w:t>
      </w:r>
      <w:r>
        <w:rPr>
          <w:b/>
        </w:rPr>
        <w:t xml:space="preserve">applicable </w:t>
      </w:r>
      <w:r w:rsidRPr="00D56456">
        <w:rPr>
          <w:b/>
        </w:rPr>
        <w:t>law</w:t>
      </w:r>
    </w:p>
    <w:p w14:paraId="49A38C4D" w14:textId="68421033" w:rsidR="006F1467" w:rsidRDefault="006F1467" w:rsidP="00CF01AC">
      <w:pPr>
        <w:pStyle w:val="JudgmentText"/>
      </w:pPr>
      <w:r>
        <w:t>Section 4 of POCA provides in relevant part that:</w:t>
      </w:r>
    </w:p>
    <w:p w14:paraId="5F001591" w14:textId="313620B1" w:rsidR="00C32772" w:rsidRPr="00370F02" w:rsidRDefault="006F1467" w:rsidP="00C32772">
      <w:pPr>
        <w:pStyle w:val="estatutes-1-section"/>
        <w:shd w:val="clear" w:color="auto" w:fill="FFFFFF"/>
        <w:spacing w:line="360" w:lineRule="auto"/>
        <w:ind w:left="2160"/>
        <w:jc w:val="both"/>
        <w:rPr>
          <w:i/>
          <w:color w:val="000000"/>
        </w:rPr>
      </w:pPr>
      <w:r w:rsidRPr="00370F02">
        <w:rPr>
          <w:i/>
          <w:color w:val="000000"/>
        </w:rPr>
        <w:t xml:space="preserve"> </w:t>
      </w:r>
      <w:r w:rsidR="00C32772" w:rsidRPr="00370F02">
        <w:rPr>
          <w:i/>
          <w:color w:val="000000"/>
        </w:rPr>
        <w:t>“(1) Where, on an</w:t>
      </w:r>
      <w:r w:rsidR="00C32772" w:rsidRPr="00370F02">
        <w:rPr>
          <w:rStyle w:val="apple-converted-space"/>
          <w:i/>
          <w:color w:val="000000"/>
        </w:rPr>
        <w:t> </w:t>
      </w:r>
      <w:r w:rsidR="00C32772" w:rsidRPr="00370F02">
        <w:rPr>
          <w:i/>
          <w:iCs/>
          <w:color w:val="000000"/>
        </w:rPr>
        <w:t xml:space="preserve">inter </w:t>
      </w:r>
      <w:proofErr w:type="spellStart"/>
      <w:r w:rsidR="00C32772" w:rsidRPr="00370F02">
        <w:rPr>
          <w:i/>
          <w:iCs/>
          <w:color w:val="000000"/>
        </w:rPr>
        <w:t>partes</w:t>
      </w:r>
      <w:proofErr w:type="spellEnd"/>
      <w:r w:rsidR="00C32772" w:rsidRPr="00370F02">
        <w:rPr>
          <w:rStyle w:val="apple-converted-space"/>
          <w:i/>
          <w:color w:val="000000"/>
        </w:rPr>
        <w:t> </w:t>
      </w:r>
      <w:r w:rsidR="00C32772" w:rsidRPr="00370F02">
        <w:rPr>
          <w:i/>
          <w:color w:val="000000"/>
        </w:rPr>
        <w:t>application to Court, in that behalf by the applicant, it appears to the Court, on evidence, including evidence admissible by virtue of section 9, tendered by the applicant, that —</w:t>
      </w:r>
    </w:p>
    <w:p w14:paraId="2148349E" w14:textId="77777777" w:rsidR="00C32772" w:rsidRPr="00370F02" w:rsidRDefault="00C32772" w:rsidP="00C32772">
      <w:pPr>
        <w:pStyle w:val="estatutes-3-paragraph"/>
        <w:shd w:val="clear" w:color="auto" w:fill="FFFFFF"/>
        <w:spacing w:line="360" w:lineRule="auto"/>
        <w:ind w:left="2160" w:firstLine="720"/>
        <w:jc w:val="both"/>
        <w:rPr>
          <w:i/>
          <w:color w:val="000000"/>
        </w:rPr>
      </w:pPr>
      <w:r w:rsidRPr="00370F02">
        <w:rPr>
          <w:i/>
          <w:color w:val="000000"/>
        </w:rPr>
        <w:t xml:space="preserve">(a) </w:t>
      </w:r>
      <w:proofErr w:type="gramStart"/>
      <w:r w:rsidRPr="00370F02">
        <w:rPr>
          <w:i/>
          <w:color w:val="000000"/>
        </w:rPr>
        <w:t>a</w:t>
      </w:r>
      <w:proofErr w:type="gramEnd"/>
      <w:r w:rsidRPr="00370F02">
        <w:rPr>
          <w:i/>
          <w:color w:val="000000"/>
        </w:rPr>
        <w:t xml:space="preserve"> person is in possession or control of</w:t>
      </w:r>
      <w:r w:rsidRPr="00370F02">
        <w:rPr>
          <w:rStyle w:val="apple-converted-space"/>
          <w:i/>
          <w:color w:val="000000"/>
        </w:rPr>
        <w:t> </w:t>
      </w:r>
      <w:r w:rsidRPr="00370F02">
        <w:rPr>
          <w:i/>
          <w:color w:val="000000"/>
        </w:rPr>
        <w:t>—</w:t>
      </w:r>
    </w:p>
    <w:p w14:paraId="6A175C2D" w14:textId="77777777" w:rsidR="00C32772" w:rsidRPr="00370F02" w:rsidRDefault="00C32772" w:rsidP="00C32772">
      <w:pPr>
        <w:pStyle w:val="estatutes-4-subparagraph"/>
        <w:shd w:val="clear" w:color="auto" w:fill="FFFFFF"/>
        <w:spacing w:line="360" w:lineRule="auto"/>
        <w:ind w:left="2880"/>
        <w:jc w:val="both"/>
        <w:rPr>
          <w:i/>
          <w:color w:val="000000"/>
        </w:rPr>
      </w:pPr>
      <w:r w:rsidRPr="00370F02">
        <w:rPr>
          <w:i/>
          <w:color w:val="000000"/>
        </w:rPr>
        <w:t>(</w:t>
      </w:r>
      <w:proofErr w:type="spellStart"/>
      <w:proofErr w:type="gramStart"/>
      <w:r w:rsidRPr="00370F02">
        <w:rPr>
          <w:i/>
          <w:color w:val="000000"/>
        </w:rPr>
        <w:t>i</w:t>
      </w:r>
      <w:proofErr w:type="spellEnd"/>
      <w:proofErr w:type="gramEnd"/>
      <w:r w:rsidRPr="00370F02">
        <w:rPr>
          <w:i/>
          <w:color w:val="000000"/>
        </w:rPr>
        <w:t xml:space="preserve">) specified property and that the property constitutes, directly or indirectly, </w:t>
      </w:r>
      <w:r w:rsidRPr="00211F22">
        <w:rPr>
          <w:i/>
          <w:color w:val="000000"/>
          <w:u w:val="single"/>
        </w:rPr>
        <w:t>benefit from criminal conduct</w:t>
      </w:r>
      <w:r w:rsidRPr="00370F02">
        <w:rPr>
          <w:i/>
          <w:color w:val="000000"/>
        </w:rPr>
        <w:t>; or</w:t>
      </w:r>
    </w:p>
    <w:p w14:paraId="1D380ED4" w14:textId="77777777" w:rsidR="00C32772" w:rsidRPr="00370F02" w:rsidRDefault="00C32772" w:rsidP="00C32772">
      <w:pPr>
        <w:pStyle w:val="estatutes-4-subparagraph"/>
        <w:shd w:val="clear" w:color="auto" w:fill="FFFFFF"/>
        <w:spacing w:line="360" w:lineRule="auto"/>
        <w:ind w:left="2880"/>
        <w:jc w:val="both"/>
        <w:rPr>
          <w:i/>
          <w:color w:val="000000"/>
        </w:rPr>
      </w:pPr>
      <w:r w:rsidRPr="00370F02">
        <w:rPr>
          <w:i/>
          <w:color w:val="000000"/>
        </w:rPr>
        <w:t>(ii) specified property that was acquired, in whole or in part, with or in connection with property that, directly or indirectly, constitutes benefit from criminal conduct; and</w:t>
      </w:r>
    </w:p>
    <w:p w14:paraId="0A9DA4C0" w14:textId="77777777" w:rsidR="00C32772" w:rsidRPr="00370F02" w:rsidRDefault="00C32772" w:rsidP="00C32772">
      <w:pPr>
        <w:pStyle w:val="estatutes-3-paragraph"/>
        <w:shd w:val="clear" w:color="auto" w:fill="FFFFFF"/>
        <w:spacing w:line="360" w:lineRule="auto"/>
        <w:ind w:left="2880"/>
        <w:jc w:val="both"/>
        <w:rPr>
          <w:i/>
          <w:color w:val="000000"/>
        </w:rPr>
      </w:pPr>
      <w:r w:rsidRPr="00370F02">
        <w:rPr>
          <w:i/>
          <w:color w:val="000000"/>
        </w:rPr>
        <w:t xml:space="preserve">(b) </w:t>
      </w:r>
      <w:proofErr w:type="gramStart"/>
      <w:r w:rsidRPr="00370F02">
        <w:rPr>
          <w:i/>
          <w:color w:val="000000"/>
        </w:rPr>
        <w:t>the</w:t>
      </w:r>
      <w:proofErr w:type="gramEnd"/>
      <w:r w:rsidRPr="00370F02">
        <w:rPr>
          <w:i/>
          <w:color w:val="000000"/>
        </w:rPr>
        <w:t xml:space="preserve"> value of the property or the total value of the property referred to in sub-paragraphs (</w:t>
      </w:r>
      <w:proofErr w:type="spellStart"/>
      <w:r w:rsidRPr="00370F02">
        <w:rPr>
          <w:i/>
          <w:color w:val="000000"/>
        </w:rPr>
        <w:t>i</w:t>
      </w:r>
      <w:proofErr w:type="spellEnd"/>
      <w:r w:rsidRPr="00370F02">
        <w:rPr>
          <w:i/>
          <w:color w:val="000000"/>
        </w:rPr>
        <w:t>) and (ii) of paragraph (a) is not less than R50,000,</w:t>
      </w:r>
    </w:p>
    <w:p w14:paraId="5CC60309" w14:textId="77777777" w:rsidR="00C32772" w:rsidRPr="00F81E4E" w:rsidRDefault="00C32772" w:rsidP="00C32772">
      <w:pPr>
        <w:pStyle w:val="estatutes-2-subsection"/>
        <w:shd w:val="clear" w:color="auto" w:fill="FFFFFF"/>
        <w:spacing w:line="360" w:lineRule="auto"/>
        <w:ind w:left="2160"/>
        <w:jc w:val="both"/>
        <w:rPr>
          <w:i/>
          <w:color w:val="000000"/>
        </w:rPr>
      </w:pPr>
      <w:r w:rsidRPr="00370F02">
        <w:rPr>
          <w:i/>
          <w:color w:val="000000"/>
        </w:rPr>
        <w:t xml:space="preserve">the Court shall make an interlocutory order prohibiting the person specified in the order or any other person having notice of the making of the order from </w:t>
      </w:r>
      <w:r w:rsidRPr="00F81E4E">
        <w:rPr>
          <w:i/>
          <w:color w:val="000000"/>
        </w:rPr>
        <w:t xml:space="preserve">disposing of or otherwise dealing with the whole or, any part of the property, or diminishing its value, unless, it is shown to the satisfaction of </w:t>
      </w:r>
      <w:r w:rsidRPr="00F81E4E">
        <w:rPr>
          <w:i/>
          <w:color w:val="000000"/>
        </w:rPr>
        <w:lastRenderedPageBreak/>
        <w:t>the Court, on evidence tendered by the respondent or any other person, that</w:t>
      </w:r>
      <w:r w:rsidRPr="00F81E4E">
        <w:rPr>
          <w:rStyle w:val="apple-converted-space"/>
          <w:i/>
          <w:color w:val="000000"/>
        </w:rPr>
        <w:t> </w:t>
      </w:r>
      <w:r w:rsidRPr="00F81E4E">
        <w:rPr>
          <w:i/>
          <w:color w:val="000000"/>
        </w:rPr>
        <w:t>—</w:t>
      </w:r>
    </w:p>
    <w:p w14:paraId="336F4D55" w14:textId="77777777" w:rsidR="00C32772" w:rsidRPr="00F81E4E" w:rsidRDefault="00C32772" w:rsidP="00C32772">
      <w:pPr>
        <w:pStyle w:val="estatutes-4-subparagraph"/>
        <w:shd w:val="clear" w:color="auto" w:fill="FFFFFF"/>
        <w:spacing w:line="360" w:lineRule="auto"/>
        <w:ind w:left="2880"/>
        <w:jc w:val="both"/>
        <w:rPr>
          <w:i/>
          <w:color w:val="000000"/>
        </w:rPr>
      </w:pPr>
      <w:r w:rsidRPr="00F81E4E">
        <w:rPr>
          <w:i/>
          <w:color w:val="000000"/>
        </w:rPr>
        <w:t>(</w:t>
      </w:r>
      <w:proofErr w:type="spellStart"/>
      <w:r w:rsidRPr="00F81E4E">
        <w:rPr>
          <w:i/>
          <w:color w:val="000000"/>
        </w:rPr>
        <w:t>i</w:t>
      </w:r>
      <w:proofErr w:type="spellEnd"/>
      <w:r w:rsidRPr="00F81E4E">
        <w:rPr>
          <w:i/>
          <w:color w:val="000000"/>
        </w:rPr>
        <w:t>) the particular property does not constitute, directly or indirectly, benefit from criminal conduct and was not acquired, in whole or in part, with or in connection with property that, directly or indirectly, constitutes benefit from criminal conduct; or</w:t>
      </w:r>
    </w:p>
    <w:p w14:paraId="4FF68048" w14:textId="77777777" w:rsidR="00C32772" w:rsidRPr="00F81E4E" w:rsidRDefault="00C32772" w:rsidP="00C32772">
      <w:pPr>
        <w:pStyle w:val="estatutes-4-subparagraph"/>
        <w:shd w:val="clear" w:color="auto" w:fill="FFFFFF"/>
        <w:spacing w:line="360" w:lineRule="auto"/>
        <w:ind w:left="2880"/>
        <w:jc w:val="both"/>
        <w:rPr>
          <w:i/>
          <w:color w:val="000000"/>
        </w:rPr>
      </w:pPr>
      <w:r w:rsidRPr="00F81E4E">
        <w:rPr>
          <w:i/>
          <w:color w:val="000000"/>
        </w:rPr>
        <w:t xml:space="preserve">(ii) </w:t>
      </w:r>
      <w:proofErr w:type="gramStart"/>
      <w:r w:rsidRPr="00F81E4E">
        <w:rPr>
          <w:i/>
          <w:color w:val="000000"/>
        </w:rPr>
        <w:t>the</w:t>
      </w:r>
      <w:proofErr w:type="gramEnd"/>
      <w:r w:rsidRPr="00F81E4E">
        <w:rPr>
          <w:i/>
          <w:color w:val="000000"/>
        </w:rPr>
        <w:t xml:space="preserve"> total value of all the</w:t>
      </w:r>
      <w:r w:rsidRPr="00C55F3F">
        <w:rPr>
          <w:color w:val="000000"/>
        </w:rPr>
        <w:t xml:space="preserve"> </w:t>
      </w:r>
      <w:r w:rsidRPr="00F81E4E">
        <w:rPr>
          <w:i/>
          <w:color w:val="000000"/>
        </w:rPr>
        <w:t>property to which the order would relate is less than R50,000:</w:t>
      </w:r>
    </w:p>
    <w:p w14:paraId="3EA43228" w14:textId="77777777" w:rsidR="00C32772" w:rsidRPr="00211F22" w:rsidRDefault="00C32772" w:rsidP="00C32772">
      <w:pPr>
        <w:pStyle w:val="estatutes-2-subsection"/>
        <w:shd w:val="clear" w:color="auto" w:fill="FFFFFF"/>
        <w:spacing w:line="360" w:lineRule="auto"/>
        <w:ind w:left="2160"/>
        <w:jc w:val="both"/>
        <w:rPr>
          <w:color w:val="000000"/>
        </w:rPr>
      </w:pPr>
      <w:r w:rsidRPr="00F81E4E">
        <w:rPr>
          <w:i/>
          <w:color w:val="000000"/>
        </w:rPr>
        <w:t>Provided that the Court shall not make the order if it is satisfied that there would be a risk of injustice to any person (the onus of establishing which shall be on that person), and the Court shall not decline to make the order in whole or in part to the extent that there appears to be knowledge or negligence of the person seeking to establish injustice, as to whether the property was as described in subsection (1) (a) when becoming involved with the property.”</w:t>
      </w:r>
      <w:r>
        <w:rPr>
          <w:color w:val="000000"/>
        </w:rPr>
        <w:t>(Emphasis added)</w:t>
      </w:r>
    </w:p>
    <w:p w14:paraId="3C2506DE" w14:textId="77777777" w:rsidR="00C32772" w:rsidRDefault="00C32772" w:rsidP="00C32772">
      <w:pPr>
        <w:pStyle w:val="JudgmentText"/>
        <w:numPr>
          <w:ilvl w:val="0"/>
          <w:numId w:val="11"/>
        </w:numPr>
      </w:pPr>
      <w:r>
        <w:t>The phrase “benefit from criminal conduct” is defined in section 2 of POCA as the “</w:t>
      </w:r>
      <w:r w:rsidRPr="00211F22">
        <w:t>meaning set out in the Anti-Money Laundering Act, 2006</w:t>
      </w:r>
      <w:r>
        <w:t>.” Section 3 of AMLA provides in relevant part:</w:t>
      </w:r>
    </w:p>
    <w:p w14:paraId="7385406C" w14:textId="77777777" w:rsidR="00C32772" w:rsidRDefault="00C32772" w:rsidP="00C32772">
      <w:pPr>
        <w:pStyle w:val="JudgmentText"/>
        <w:numPr>
          <w:ilvl w:val="0"/>
          <w:numId w:val="0"/>
        </w:numPr>
        <w:ind w:left="2160"/>
        <w:rPr>
          <w:i/>
        </w:rPr>
      </w:pPr>
      <w:r w:rsidRPr="00B45772">
        <w:rPr>
          <w:i/>
        </w:rPr>
        <w:t>““Benefit from criminal conduct” means any property obtained or received at any time (whether before or after the passing of this Act) by, or as a result of, or in connection with the commission of criminal conduct.”</w:t>
      </w:r>
    </w:p>
    <w:p w14:paraId="48A849C8" w14:textId="15FC165A" w:rsidR="00F03954" w:rsidRDefault="00F03954" w:rsidP="00F03954">
      <w:pPr>
        <w:pStyle w:val="JudgmentText"/>
        <w:numPr>
          <w:ilvl w:val="0"/>
          <w:numId w:val="0"/>
        </w:numPr>
        <w:spacing w:after="0"/>
        <w:ind w:left="900"/>
      </w:pPr>
      <w:r>
        <w:tab/>
        <w:t xml:space="preserve">    This provision was amended on 7 September 2017 by the AMLA </w:t>
      </w:r>
      <w:r>
        <w:tab/>
        <w:t xml:space="preserve"> </w:t>
      </w:r>
      <w:r>
        <w:tab/>
        <w:t xml:space="preserve"> </w:t>
      </w:r>
    </w:p>
    <w:p w14:paraId="09C9AD68" w14:textId="3281687D" w:rsidR="00F03954" w:rsidRDefault="00F03954" w:rsidP="00F03954">
      <w:pPr>
        <w:pStyle w:val="JudgmentText"/>
        <w:numPr>
          <w:ilvl w:val="0"/>
          <w:numId w:val="0"/>
        </w:numPr>
        <w:ind w:left="900"/>
      </w:pPr>
      <w:r>
        <w:t xml:space="preserve">             Amendment Act 2017 (Act 16 of 2017) as is explained infra. </w:t>
      </w:r>
    </w:p>
    <w:p w14:paraId="5A055DE7" w14:textId="77777777" w:rsidR="00C32772" w:rsidRDefault="00C32772" w:rsidP="00C32772">
      <w:pPr>
        <w:pStyle w:val="JudgmentText"/>
        <w:numPr>
          <w:ilvl w:val="0"/>
          <w:numId w:val="11"/>
        </w:numPr>
      </w:pPr>
      <w:r>
        <w:t>Section 9 of POCA provides the definition of “evidence” admissible under section 4(1) supra as follows:</w:t>
      </w:r>
    </w:p>
    <w:p w14:paraId="1AF04BB3" w14:textId="77777777" w:rsidR="00C32772" w:rsidRPr="00C55F3F" w:rsidRDefault="00C32772" w:rsidP="00C32772">
      <w:pPr>
        <w:widowControl/>
        <w:shd w:val="clear" w:color="auto" w:fill="FFFFFF"/>
        <w:autoSpaceDE/>
        <w:autoSpaceDN/>
        <w:adjustRightInd/>
        <w:spacing w:before="100" w:beforeAutospacing="1" w:after="100" w:afterAutospacing="1" w:line="360" w:lineRule="auto"/>
        <w:ind w:left="2160"/>
        <w:jc w:val="both"/>
        <w:rPr>
          <w:rFonts w:eastAsia="Times New Roman"/>
          <w:i/>
          <w:color w:val="000000"/>
          <w:sz w:val="24"/>
          <w:szCs w:val="24"/>
          <w:lang w:val="en-US"/>
        </w:rPr>
      </w:pPr>
      <w:r w:rsidRPr="00F81E4E">
        <w:rPr>
          <w:rFonts w:eastAsia="Times New Roman"/>
          <w:i/>
          <w:color w:val="000000"/>
          <w:sz w:val="24"/>
          <w:szCs w:val="24"/>
          <w:lang w:val="en-US"/>
        </w:rPr>
        <w:lastRenderedPageBreak/>
        <w:t>“</w:t>
      </w:r>
      <w:r w:rsidRPr="00C55F3F">
        <w:rPr>
          <w:rFonts w:eastAsia="Times New Roman"/>
          <w:i/>
          <w:color w:val="000000"/>
          <w:sz w:val="24"/>
          <w:szCs w:val="24"/>
          <w:lang w:val="en-US"/>
        </w:rPr>
        <w:t>(1) Where the Director or Deputy Director states in proceedings under</w:t>
      </w:r>
      <w:r w:rsidRPr="00F81E4E">
        <w:rPr>
          <w:rFonts w:eastAsia="Times New Roman"/>
          <w:i/>
          <w:color w:val="000000"/>
          <w:sz w:val="24"/>
          <w:szCs w:val="24"/>
          <w:lang w:val="en-US"/>
        </w:rPr>
        <w:t> </w:t>
      </w:r>
      <w:r w:rsidRPr="00C55F3F">
        <w:rPr>
          <w:rFonts w:eastAsia="Times New Roman"/>
          <w:i/>
          <w:iCs/>
          <w:color w:val="000000"/>
          <w:sz w:val="24"/>
          <w:szCs w:val="24"/>
          <w:lang w:val="en-US"/>
        </w:rPr>
        <w:t>section 3</w:t>
      </w:r>
      <w:r w:rsidRPr="00F81E4E">
        <w:rPr>
          <w:rFonts w:eastAsia="Times New Roman"/>
          <w:i/>
          <w:color w:val="000000"/>
          <w:sz w:val="24"/>
          <w:szCs w:val="24"/>
          <w:lang w:val="en-US"/>
        </w:rPr>
        <w:t> </w:t>
      </w:r>
      <w:r w:rsidRPr="00C55F3F">
        <w:rPr>
          <w:rFonts w:eastAsia="Times New Roman"/>
          <w:i/>
          <w:color w:val="000000"/>
          <w:sz w:val="24"/>
          <w:szCs w:val="24"/>
          <w:lang w:val="en-US"/>
        </w:rPr>
        <w:t xml:space="preserve">or 4 on affidavit or, if the Court so permits or directs, in oral evidence, that </w:t>
      </w:r>
      <w:r w:rsidRPr="00C55F3F">
        <w:rPr>
          <w:rFonts w:eastAsia="Times New Roman"/>
          <w:i/>
          <w:color w:val="000000"/>
          <w:sz w:val="24"/>
          <w:szCs w:val="24"/>
          <w:u w:val="single"/>
          <w:lang w:val="en-US"/>
        </w:rPr>
        <w:t>he believes</w:t>
      </w:r>
      <w:r w:rsidRPr="00C55F3F">
        <w:rPr>
          <w:rFonts w:eastAsia="Times New Roman"/>
          <w:i/>
          <w:color w:val="000000"/>
          <w:sz w:val="24"/>
          <w:szCs w:val="24"/>
          <w:lang w:val="en-US"/>
        </w:rPr>
        <w:t>, that —</w:t>
      </w:r>
    </w:p>
    <w:p w14:paraId="0F94D145" w14:textId="77777777" w:rsidR="00C32772" w:rsidRPr="00C55F3F" w:rsidRDefault="00C32772" w:rsidP="00C32772">
      <w:pPr>
        <w:widowControl/>
        <w:shd w:val="clear" w:color="auto" w:fill="FFFFFF"/>
        <w:autoSpaceDE/>
        <w:autoSpaceDN/>
        <w:adjustRightInd/>
        <w:spacing w:before="100" w:beforeAutospacing="1" w:after="100" w:afterAutospacing="1" w:line="360" w:lineRule="auto"/>
        <w:ind w:left="2880"/>
        <w:jc w:val="both"/>
        <w:rPr>
          <w:rFonts w:eastAsia="Times New Roman"/>
          <w:i/>
          <w:color w:val="000000"/>
          <w:sz w:val="24"/>
          <w:szCs w:val="24"/>
          <w:lang w:val="en-US"/>
        </w:rPr>
      </w:pPr>
      <w:r w:rsidRPr="00C55F3F">
        <w:rPr>
          <w:rFonts w:eastAsia="Times New Roman"/>
          <w:i/>
          <w:color w:val="000000"/>
          <w:sz w:val="24"/>
          <w:szCs w:val="24"/>
          <w:lang w:val="en-US"/>
        </w:rPr>
        <w:t xml:space="preserve">(a) </w:t>
      </w:r>
      <w:proofErr w:type="gramStart"/>
      <w:r w:rsidRPr="00C55F3F">
        <w:rPr>
          <w:rFonts w:eastAsia="Times New Roman"/>
          <w:i/>
          <w:color w:val="000000"/>
          <w:sz w:val="24"/>
          <w:szCs w:val="24"/>
          <w:lang w:val="en-US"/>
        </w:rPr>
        <w:t>the</w:t>
      </w:r>
      <w:proofErr w:type="gramEnd"/>
      <w:r w:rsidRPr="00C55F3F">
        <w:rPr>
          <w:rFonts w:eastAsia="Times New Roman"/>
          <w:i/>
          <w:color w:val="000000"/>
          <w:sz w:val="24"/>
          <w:szCs w:val="24"/>
          <w:lang w:val="en-US"/>
        </w:rPr>
        <w:t xml:space="preserve"> respondent is in possession or control of specified property and that the property constitutes, directly or indirectly, benefit from criminal conduct; or</w:t>
      </w:r>
    </w:p>
    <w:p w14:paraId="5B2D033B" w14:textId="77777777" w:rsidR="00C32772" w:rsidRPr="00C55F3F" w:rsidRDefault="00C32772" w:rsidP="00C32772">
      <w:pPr>
        <w:widowControl/>
        <w:shd w:val="clear" w:color="auto" w:fill="FFFFFF"/>
        <w:autoSpaceDE/>
        <w:autoSpaceDN/>
        <w:adjustRightInd/>
        <w:spacing w:before="100" w:beforeAutospacing="1" w:after="100" w:afterAutospacing="1" w:line="360" w:lineRule="auto"/>
        <w:ind w:left="2880"/>
        <w:jc w:val="both"/>
        <w:rPr>
          <w:rFonts w:eastAsia="Times New Roman"/>
          <w:i/>
          <w:color w:val="000000"/>
          <w:sz w:val="24"/>
          <w:szCs w:val="24"/>
          <w:lang w:val="en-US"/>
        </w:rPr>
      </w:pPr>
      <w:r w:rsidRPr="00C55F3F">
        <w:rPr>
          <w:rFonts w:eastAsia="Times New Roman"/>
          <w:i/>
          <w:color w:val="000000"/>
          <w:sz w:val="24"/>
          <w:szCs w:val="24"/>
          <w:lang w:val="en-US"/>
        </w:rPr>
        <w:t>(b) the respondent is in possession or control of specified property and that the property was acquired, in whole or in part, with or in connection with property that, directly or indirectly, constitutes benefit from criminal conduct; and</w:t>
      </w:r>
    </w:p>
    <w:p w14:paraId="68E1CCFE" w14:textId="77777777" w:rsidR="00C32772" w:rsidRPr="00C55F3F" w:rsidRDefault="00C32772" w:rsidP="00C32772">
      <w:pPr>
        <w:widowControl/>
        <w:shd w:val="clear" w:color="auto" w:fill="FFFFFF"/>
        <w:autoSpaceDE/>
        <w:autoSpaceDN/>
        <w:adjustRightInd/>
        <w:spacing w:before="100" w:beforeAutospacing="1" w:after="100" w:afterAutospacing="1" w:line="360" w:lineRule="auto"/>
        <w:ind w:left="2880"/>
        <w:jc w:val="both"/>
        <w:rPr>
          <w:rFonts w:eastAsia="Times New Roman"/>
          <w:i/>
          <w:color w:val="000000"/>
          <w:sz w:val="24"/>
          <w:szCs w:val="24"/>
          <w:lang w:val="en-US"/>
        </w:rPr>
      </w:pPr>
      <w:r w:rsidRPr="00C55F3F">
        <w:rPr>
          <w:rFonts w:eastAsia="Times New Roman"/>
          <w:i/>
          <w:color w:val="000000"/>
          <w:sz w:val="24"/>
          <w:szCs w:val="24"/>
          <w:lang w:val="en-US"/>
        </w:rPr>
        <w:t xml:space="preserve">(c) the value of the property or as the case may be the total value of the property referred to in both paragraphs (a) and (b) is not less than </w:t>
      </w:r>
      <w:r>
        <w:rPr>
          <w:rFonts w:eastAsia="Times New Roman"/>
          <w:i/>
          <w:color w:val="000000"/>
          <w:sz w:val="24"/>
          <w:szCs w:val="24"/>
          <w:lang w:val="en-US"/>
        </w:rPr>
        <w:t xml:space="preserve"> </w:t>
      </w:r>
      <w:r w:rsidRPr="00C55F3F">
        <w:rPr>
          <w:rFonts w:eastAsia="Times New Roman"/>
          <w:i/>
          <w:color w:val="000000"/>
          <w:sz w:val="24"/>
          <w:szCs w:val="24"/>
          <w:lang w:val="en-US"/>
        </w:rPr>
        <w:t>R50, 000,</w:t>
      </w:r>
    </w:p>
    <w:p w14:paraId="39820EF4" w14:textId="77777777" w:rsidR="00C32772" w:rsidRPr="00C55F3F" w:rsidRDefault="00C32772" w:rsidP="00C32772">
      <w:pPr>
        <w:widowControl/>
        <w:shd w:val="clear" w:color="auto" w:fill="FFFFFF"/>
        <w:autoSpaceDE/>
        <w:autoSpaceDN/>
        <w:adjustRightInd/>
        <w:spacing w:before="100" w:beforeAutospacing="1" w:after="100" w:afterAutospacing="1" w:line="360" w:lineRule="auto"/>
        <w:ind w:left="2160"/>
        <w:rPr>
          <w:rFonts w:eastAsia="Times New Roman"/>
          <w:i/>
          <w:color w:val="000000"/>
          <w:sz w:val="24"/>
          <w:szCs w:val="24"/>
          <w:u w:val="single"/>
          <w:lang w:val="en-US"/>
        </w:rPr>
      </w:pPr>
      <w:r w:rsidRPr="00C55F3F">
        <w:rPr>
          <w:rFonts w:eastAsia="Times New Roman"/>
          <w:i/>
          <w:color w:val="000000"/>
          <w:sz w:val="24"/>
          <w:szCs w:val="24"/>
          <w:u w:val="single"/>
          <w:lang w:val="en-US"/>
        </w:rPr>
        <w:t>then, if the Court is satisfied that there are reasonable grounds for the belief aforesaid,</w:t>
      </w:r>
      <w:r w:rsidRPr="00C55F3F">
        <w:rPr>
          <w:rFonts w:eastAsia="Times New Roman"/>
          <w:i/>
          <w:color w:val="000000"/>
          <w:sz w:val="24"/>
          <w:szCs w:val="24"/>
          <w:lang w:val="en-US"/>
        </w:rPr>
        <w:t xml:space="preserve"> </w:t>
      </w:r>
      <w:r w:rsidRPr="00C55F3F">
        <w:rPr>
          <w:rFonts w:eastAsia="Times New Roman"/>
          <w:i/>
          <w:color w:val="000000"/>
          <w:sz w:val="24"/>
          <w:szCs w:val="24"/>
          <w:u w:val="single"/>
          <w:lang w:val="en-US"/>
        </w:rPr>
        <w:t>the statement shall be evidence of the matters referred to in paragraph (a) or in paragraph (b) or in both paragraphs (a) and (b), as may be appropriate, and of the value of the property.</w:t>
      </w:r>
    </w:p>
    <w:p w14:paraId="4D8488F2" w14:textId="77777777" w:rsidR="00C32772" w:rsidRPr="00C55F3F" w:rsidRDefault="00C32772" w:rsidP="00C32772">
      <w:pPr>
        <w:widowControl/>
        <w:shd w:val="clear" w:color="auto" w:fill="FFFFFF"/>
        <w:autoSpaceDE/>
        <w:autoSpaceDN/>
        <w:adjustRightInd/>
        <w:spacing w:before="100" w:beforeAutospacing="1" w:after="100" w:afterAutospacing="1" w:line="360" w:lineRule="auto"/>
        <w:ind w:left="2160"/>
        <w:rPr>
          <w:rFonts w:eastAsia="Times New Roman"/>
          <w:i/>
          <w:color w:val="000000"/>
          <w:sz w:val="24"/>
          <w:szCs w:val="24"/>
          <w:u w:val="single"/>
          <w:lang w:val="en-US"/>
        </w:rPr>
      </w:pPr>
      <w:r w:rsidRPr="00C55F3F">
        <w:rPr>
          <w:rFonts w:eastAsia="Times New Roman"/>
          <w:i/>
          <w:color w:val="000000"/>
          <w:sz w:val="24"/>
          <w:szCs w:val="24"/>
          <w:u w:val="single"/>
          <w:lang w:val="en-US"/>
        </w:rPr>
        <w:t>(2) The applicant shall not make an application under section 3 or 4 or submit evidence of his belief described in this section, except after reasonable enquiries and investigations and on the basis of credible and reliable information that he has reasonable grounds for suspecting</w:t>
      </w:r>
      <w:r w:rsidRPr="00F81E4E">
        <w:rPr>
          <w:rFonts w:eastAsia="Times New Roman"/>
          <w:i/>
          <w:color w:val="000000"/>
          <w:sz w:val="24"/>
          <w:szCs w:val="24"/>
          <w:u w:val="single"/>
          <w:lang w:val="en-US"/>
        </w:rPr>
        <w:t> </w:t>
      </w:r>
      <w:r w:rsidRPr="00C55F3F">
        <w:rPr>
          <w:rFonts w:eastAsia="Times New Roman"/>
          <w:i/>
          <w:color w:val="000000"/>
          <w:sz w:val="24"/>
          <w:szCs w:val="24"/>
          <w:u w:val="single"/>
          <w:lang w:val="en-US"/>
        </w:rPr>
        <w:t>—</w:t>
      </w:r>
    </w:p>
    <w:p w14:paraId="708691BD" w14:textId="77777777" w:rsidR="00C32772" w:rsidRPr="00C55F3F" w:rsidRDefault="00C32772" w:rsidP="00C32772">
      <w:pPr>
        <w:widowControl/>
        <w:shd w:val="clear" w:color="auto" w:fill="FFFFFF"/>
        <w:autoSpaceDE/>
        <w:autoSpaceDN/>
        <w:adjustRightInd/>
        <w:spacing w:before="100" w:beforeAutospacing="1" w:after="100" w:afterAutospacing="1" w:line="360" w:lineRule="auto"/>
        <w:ind w:left="2880"/>
        <w:rPr>
          <w:rFonts w:eastAsia="Times New Roman"/>
          <w:i/>
          <w:color w:val="000000"/>
          <w:sz w:val="24"/>
          <w:szCs w:val="24"/>
          <w:u w:val="single"/>
          <w:lang w:val="en-US"/>
        </w:rPr>
      </w:pPr>
      <w:r w:rsidRPr="00C55F3F">
        <w:rPr>
          <w:rFonts w:eastAsia="Times New Roman"/>
          <w:i/>
          <w:color w:val="000000"/>
          <w:sz w:val="24"/>
          <w:szCs w:val="24"/>
          <w:u w:val="single"/>
          <w:lang w:val="en-US"/>
        </w:rPr>
        <w:t xml:space="preserve">(a) </w:t>
      </w:r>
      <w:proofErr w:type="gramStart"/>
      <w:r w:rsidRPr="00C55F3F">
        <w:rPr>
          <w:rFonts w:eastAsia="Times New Roman"/>
          <w:i/>
          <w:color w:val="000000"/>
          <w:sz w:val="24"/>
          <w:szCs w:val="24"/>
          <w:u w:val="single"/>
          <w:lang w:val="en-US"/>
        </w:rPr>
        <w:t>the</w:t>
      </w:r>
      <w:proofErr w:type="gramEnd"/>
      <w:r w:rsidRPr="00C55F3F">
        <w:rPr>
          <w:rFonts w:eastAsia="Times New Roman"/>
          <w:i/>
          <w:color w:val="000000"/>
          <w:sz w:val="24"/>
          <w:szCs w:val="24"/>
          <w:u w:val="single"/>
          <w:lang w:val="en-US"/>
        </w:rPr>
        <w:t xml:space="preserve"> respondent is in possession or control of specified property and that the property constitutes, directly or indirectly, benefit from criminal conduct; or</w:t>
      </w:r>
    </w:p>
    <w:p w14:paraId="7591FA17" w14:textId="5988A47C" w:rsidR="00C32772" w:rsidRPr="00C55F3F" w:rsidRDefault="00C32772" w:rsidP="00C32772">
      <w:pPr>
        <w:widowControl/>
        <w:shd w:val="clear" w:color="auto" w:fill="FFFFFF"/>
        <w:autoSpaceDE/>
        <w:autoSpaceDN/>
        <w:adjustRightInd/>
        <w:spacing w:before="100" w:beforeAutospacing="1" w:after="100" w:afterAutospacing="1" w:line="360" w:lineRule="auto"/>
        <w:ind w:left="2880"/>
        <w:rPr>
          <w:rFonts w:eastAsia="Times New Roman"/>
          <w:color w:val="000000"/>
          <w:sz w:val="24"/>
          <w:szCs w:val="24"/>
          <w:lang w:val="en-US"/>
        </w:rPr>
      </w:pPr>
      <w:r w:rsidRPr="00C55F3F">
        <w:rPr>
          <w:rFonts w:eastAsia="Times New Roman"/>
          <w:i/>
          <w:color w:val="000000"/>
          <w:sz w:val="24"/>
          <w:szCs w:val="24"/>
          <w:u w:val="single"/>
          <w:lang w:val="en-US"/>
        </w:rPr>
        <w:t xml:space="preserve">(b) the respondent is in possession or control of specified property and that the property was acquired, in whole or in part, with or in </w:t>
      </w:r>
      <w:r w:rsidRPr="00C55F3F">
        <w:rPr>
          <w:rFonts w:eastAsia="Times New Roman"/>
          <w:i/>
          <w:color w:val="000000"/>
          <w:sz w:val="24"/>
          <w:szCs w:val="24"/>
          <w:u w:val="single"/>
          <w:lang w:val="en-US"/>
        </w:rPr>
        <w:lastRenderedPageBreak/>
        <w:t>connection with property that, directly or indirectly, constitutes benefit from criminal conduct, and that the value of the property or as the case may be the total value of the property referred to in subsection (1) (a) and (b) is not less than R50, 000</w:t>
      </w:r>
      <w:r w:rsidRPr="00F81E4E">
        <w:rPr>
          <w:rFonts w:eastAsia="Times New Roman"/>
          <w:i/>
          <w:color w:val="000000"/>
          <w:sz w:val="24"/>
          <w:szCs w:val="24"/>
          <w:u w:val="single"/>
          <w:lang w:val="en-US"/>
        </w:rPr>
        <w:t>”</w:t>
      </w:r>
      <w:r>
        <w:rPr>
          <w:rFonts w:eastAsia="Times New Roman"/>
          <w:i/>
          <w:color w:val="000000"/>
          <w:sz w:val="24"/>
          <w:szCs w:val="24"/>
          <w:u w:val="single"/>
          <w:lang w:val="en-US"/>
        </w:rPr>
        <w:t xml:space="preserve"> </w:t>
      </w:r>
      <w:r w:rsidRPr="003708E2">
        <w:rPr>
          <w:rFonts w:eastAsia="Times New Roman"/>
          <w:color w:val="000000"/>
          <w:sz w:val="24"/>
          <w:szCs w:val="24"/>
          <w:lang w:val="en-US"/>
        </w:rPr>
        <w:t>(</w:t>
      </w:r>
      <w:r w:rsidR="003708E2" w:rsidRPr="003708E2">
        <w:rPr>
          <w:rFonts w:eastAsia="Times New Roman"/>
          <w:color w:val="000000"/>
          <w:sz w:val="24"/>
          <w:szCs w:val="24"/>
          <w:lang w:val="en-US"/>
        </w:rPr>
        <w:t>e</w:t>
      </w:r>
      <w:r>
        <w:rPr>
          <w:rFonts w:eastAsia="Times New Roman"/>
          <w:color w:val="000000"/>
          <w:sz w:val="24"/>
          <w:szCs w:val="24"/>
          <w:lang w:val="en-US"/>
        </w:rPr>
        <w:t>mphasis added</w:t>
      </w:r>
      <w:r w:rsidR="004547B2">
        <w:rPr>
          <w:rFonts w:eastAsia="Times New Roman"/>
          <w:color w:val="000000"/>
          <w:sz w:val="24"/>
          <w:szCs w:val="24"/>
          <w:lang w:val="en-US"/>
        </w:rPr>
        <w:t>).</w:t>
      </w:r>
    </w:p>
    <w:p w14:paraId="7C343D10" w14:textId="596E096F" w:rsidR="00C32772" w:rsidRDefault="000A5A0F" w:rsidP="00C32772">
      <w:pPr>
        <w:pStyle w:val="JudgmentText"/>
        <w:numPr>
          <w:ilvl w:val="0"/>
          <w:numId w:val="11"/>
        </w:numPr>
      </w:pPr>
      <w:r w:rsidRPr="000A5A0F">
        <w:t>The courts in</w:t>
      </w:r>
      <w:r>
        <w:t xml:space="preserve"> Seychelles have established in previous cases,</w:t>
      </w:r>
      <w:r w:rsidR="004855F5">
        <w:t xml:space="preserve"> </w:t>
      </w:r>
      <w:r w:rsidR="00C32772">
        <w:t xml:space="preserve">namely </w:t>
      </w:r>
      <w:r w:rsidR="00C32772" w:rsidRPr="00F81E4E">
        <w:rPr>
          <w:i/>
        </w:rPr>
        <w:t>FIU v Mares</w:t>
      </w:r>
      <w:r w:rsidR="00C32772">
        <w:t xml:space="preserve"> </w:t>
      </w:r>
      <w:r w:rsidR="00C32772" w:rsidRPr="00E01258">
        <w:t>(2011) SLR 405</w:t>
      </w:r>
      <w:r w:rsidR="00C32772">
        <w:t xml:space="preserve">, </w:t>
      </w:r>
      <w:r w:rsidR="00C32772" w:rsidRPr="00F81E4E">
        <w:rPr>
          <w:i/>
        </w:rPr>
        <w:t xml:space="preserve">Financial Intelligence Unit v Sentry Global Securities Ltd &amp; </w:t>
      </w:r>
      <w:proofErr w:type="spellStart"/>
      <w:r w:rsidR="00C32772" w:rsidRPr="00F81E4E">
        <w:rPr>
          <w:i/>
        </w:rPr>
        <w:t>Ors</w:t>
      </w:r>
      <w:proofErr w:type="spellEnd"/>
      <w:r w:rsidR="00C32772">
        <w:t xml:space="preserve"> </w:t>
      </w:r>
      <w:r w:rsidR="00C32772" w:rsidRPr="00E01258">
        <w:t>(2012) SLR 331</w:t>
      </w:r>
      <w:r w:rsidR="00C32772">
        <w:t xml:space="preserve">, and </w:t>
      </w:r>
      <w:r w:rsidR="00C32772" w:rsidRPr="00F81E4E">
        <w:rPr>
          <w:i/>
        </w:rPr>
        <w:t>Financial Intelligence Unit v Cyber Space Ltd</w:t>
      </w:r>
      <w:r w:rsidR="00C32772" w:rsidRPr="00F81E4E">
        <w:t xml:space="preserve"> (2013) SLR 97 </w:t>
      </w:r>
      <w:r>
        <w:t xml:space="preserve"> </w:t>
      </w:r>
      <w:r w:rsidR="002019D0">
        <w:t xml:space="preserve">that the provisions above should be interpreted to mean </w:t>
      </w:r>
      <w:r w:rsidR="00C32772">
        <w:t xml:space="preserve">:   </w:t>
      </w:r>
    </w:p>
    <w:p w14:paraId="7B1780A0" w14:textId="77777777" w:rsidR="00C32772" w:rsidRDefault="00C32772" w:rsidP="00C32772">
      <w:pPr>
        <w:pStyle w:val="JudgmentText"/>
        <w:numPr>
          <w:ilvl w:val="0"/>
          <w:numId w:val="12"/>
        </w:numPr>
        <w:rPr>
          <w:i/>
        </w:rPr>
      </w:pPr>
      <w:r w:rsidRPr="003E4850">
        <w:rPr>
          <w:i/>
        </w:rPr>
        <w:t xml:space="preserve">“…that once the applicant provides the Court with prima facie evidence that is, reasonable grounds for his belief in compliance with section 9(1) in terms of his application under section 4(1) of POCCCA, the evidential burden shifts to the respondent to show on a balance of probability that the property is not the proceeds of crime…” (Mares </w:t>
      </w:r>
      <w:r w:rsidRPr="00F0408A">
        <w:t>supra</w:t>
      </w:r>
      <w:r w:rsidRPr="003E4850">
        <w:rPr>
          <w:i/>
        </w:rPr>
        <w:t>)</w:t>
      </w:r>
    </w:p>
    <w:p w14:paraId="4FAE7708" w14:textId="1A5FBC7C" w:rsidR="00C32772" w:rsidRPr="005871DD" w:rsidRDefault="00C32772" w:rsidP="00C32772">
      <w:pPr>
        <w:pStyle w:val="JudgmentText"/>
        <w:numPr>
          <w:ilvl w:val="0"/>
          <w:numId w:val="12"/>
        </w:numPr>
      </w:pPr>
      <w:r>
        <w:rPr>
          <w:i/>
        </w:rPr>
        <w:t>“…</w:t>
      </w:r>
      <w:r w:rsidRPr="00F81E4E">
        <w:rPr>
          <w:i/>
        </w:rPr>
        <w:t xml:space="preserve">All that is necessary is “a reasonable belief” that the property has been obtained or derived from criminal conduct by the designated officer of the FIU. That belief pertains to the designated officer and hence involves a subjective element. It is therefore only prima facie evidence or belief evidence. No criminal offence need be proved, nor </w:t>
      </w:r>
      <w:proofErr w:type="spellStart"/>
      <w:r w:rsidRPr="00F81E4E">
        <w:rPr>
          <w:i/>
        </w:rPr>
        <w:t>mens</w:t>
      </w:r>
      <w:proofErr w:type="spellEnd"/>
      <w:r w:rsidRPr="00F81E4E">
        <w:rPr>
          <w:i/>
        </w:rPr>
        <w:t xml:space="preserve"> </w:t>
      </w:r>
      <w:proofErr w:type="spellStart"/>
      <w:r w:rsidRPr="00F81E4E">
        <w:rPr>
          <w:i/>
        </w:rPr>
        <w:t>rea</w:t>
      </w:r>
      <w:proofErr w:type="spellEnd"/>
      <w:r w:rsidRPr="00F81E4E">
        <w:rPr>
          <w:i/>
        </w:rPr>
        <w:t xml:space="preserve"> be shown…If the FIU relies on belief evidence under section 9 the court has to examine the grounds for the belief and if it satisfied that there are reasonable grounds for the belief it should grant the order. There are appropriate and serious protections for the respondents as at different stages they are permitted to adduce evidence to show the Court that the property does not constitute benefit from criminal conduct. Their burden in this endeavour is that “</w:t>
      </w:r>
      <w:r w:rsidR="002019D0">
        <w:rPr>
          <w:i/>
        </w:rPr>
        <w:t>on a balance of probabilities.”</w:t>
      </w:r>
      <w:r w:rsidRPr="00F81E4E">
        <w:rPr>
          <w:i/>
        </w:rPr>
        <w:t xml:space="preserve"> In other words, once the applicant establishes his belief that the property is the proceeds of crime, the burden of proof shifts to the respondent to show that it is </w:t>
      </w:r>
      <w:r w:rsidRPr="00F81E4E">
        <w:rPr>
          <w:i/>
        </w:rPr>
        <w:lastRenderedPageBreak/>
        <w:t xml:space="preserve">not.  Hence, unless the court doubts the belief of the officer of the FIU which is reasonably made he cannot refuse the order. </w:t>
      </w:r>
      <w:r w:rsidRPr="005871DD">
        <w:t>(</w:t>
      </w:r>
      <w:r w:rsidRPr="00CF3C33">
        <w:rPr>
          <w:i/>
        </w:rPr>
        <w:t>Sentry</w:t>
      </w:r>
      <w:r w:rsidRPr="005871DD">
        <w:t xml:space="preserve"> supra)</w:t>
      </w:r>
    </w:p>
    <w:p w14:paraId="728FF00F" w14:textId="16F97115" w:rsidR="00D56456" w:rsidRPr="00D56456" w:rsidRDefault="00D56456" w:rsidP="00D56456">
      <w:pPr>
        <w:pStyle w:val="JudgmentText"/>
        <w:numPr>
          <w:ilvl w:val="0"/>
          <w:numId w:val="0"/>
        </w:numPr>
        <w:rPr>
          <w:b/>
        </w:rPr>
      </w:pPr>
      <w:r w:rsidRPr="00D56456">
        <w:rPr>
          <w:b/>
        </w:rPr>
        <w:t xml:space="preserve">Discussion </w:t>
      </w:r>
    </w:p>
    <w:p w14:paraId="2AB74983" w14:textId="127A6CE8" w:rsidR="00C32772" w:rsidRDefault="00CF01AC" w:rsidP="00BF0046">
      <w:pPr>
        <w:pStyle w:val="JudgmentText"/>
      </w:pPr>
      <w:r>
        <w:t xml:space="preserve">I have examined the evidence against these legal propositions. </w:t>
      </w:r>
      <w:r w:rsidR="00C86326">
        <w:t>It is the FIU’s officers’ belief that the funds used to purchase the specified property are derived from criminal conduct. The criminal conduct is the predicate offence of tax fraud or tax evasion. The plank of the FIU’s belief evidence is that the First Respondent as a Seychell</w:t>
      </w:r>
      <w:r w:rsidR="00AE025C">
        <w:t>ois</w:t>
      </w:r>
      <w:r w:rsidR="00C86326">
        <w:t xml:space="preserve"> IBC cannot do business in Seychelles, that it is trading in the UK and has paid neither VAT nor other taxes in the UK and that the money in the bank accounts in Seychelles and the </w:t>
      </w:r>
      <w:r w:rsidR="000A5A0F">
        <w:t xml:space="preserve">money </w:t>
      </w:r>
      <w:r w:rsidR="00C86326">
        <w:t xml:space="preserve">transferred from the UK to purchase the specified property is therefore derived from that criminal conduct. </w:t>
      </w:r>
    </w:p>
    <w:p w14:paraId="6588C3A3" w14:textId="186E9868" w:rsidR="002019D0" w:rsidRDefault="002019D0" w:rsidP="00BF0046">
      <w:pPr>
        <w:pStyle w:val="JudgmentText"/>
      </w:pPr>
      <w:r>
        <w:t>In view of the provisions of section 9 of POCA, the Respondents have to demonstrate on a balance of probability</w:t>
      </w:r>
      <w:r w:rsidR="00E269E6">
        <w:t xml:space="preserve"> (but note infra paragraph 33) </w:t>
      </w:r>
      <w:r>
        <w:t>that the specified property does not constitute benefit f</w:t>
      </w:r>
      <w:r w:rsidR="004855F5">
        <w:t>r</w:t>
      </w:r>
      <w:r>
        <w:t xml:space="preserve">om the tax fraud or evasion alleged. </w:t>
      </w:r>
    </w:p>
    <w:p w14:paraId="4369BF43" w14:textId="61621E19" w:rsidR="00970CA0" w:rsidRDefault="00C86326" w:rsidP="00BF0046">
      <w:pPr>
        <w:pStyle w:val="JudgmentText"/>
      </w:pPr>
      <w:r>
        <w:t>The First Respondent does not deny not paying taxes in the UK but avers that it d</w:t>
      </w:r>
      <w:r w:rsidR="00EC442B">
        <w:t>o</w:t>
      </w:r>
      <w:r>
        <w:t xml:space="preserve">es not do so because it </w:t>
      </w:r>
      <w:r w:rsidR="005F53DE">
        <w:t>is</w:t>
      </w:r>
      <w:r>
        <w:t xml:space="preserve"> not resident in the UK but solely domiciled and resident in </w:t>
      </w:r>
      <w:r w:rsidR="005F53DE">
        <w:t>Seychelles</w:t>
      </w:r>
      <w:r>
        <w:t xml:space="preserve"> and “carries on business outside Seychelles f</w:t>
      </w:r>
      <w:r w:rsidR="005F53DE">
        <w:t>r</w:t>
      </w:r>
      <w:r>
        <w:t>o</w:t>
      </w:r>
      <w:r w:rsidR="005F53DE">
        <w:t>m Seychell</w:t>
      </w:r>
      <w:r>
        <w:t>es” (se</w:t>
      </w:r>
      <w:r w:rsidR="005F53DE">
        <w:t>e</w:t>
      </w:r>
      <w:r>
        <w:t xml:space="preserve"> </w:t>
      </w:r>
      <w:r w:rsidR="005F53DE">
        <w:t xml:space="preserve">John Dreyer’s </w:t>
      </w:r>
      <w:r>
        <w:t>affidavit date</w:t>
      </w:r>
      <w:r w:rsidR="005F53DE">
        <w:t>d</w:t>
      </w:r>
      <w:r>
        <w:t xml:space="preserve"> 4 October 2017</w:t>
      </w:r>
      <w:r w:rsidR="00AE025C">
        <w:t>, paragraph 35 supra )</w:t>
      </w:r>
      <w:r>
        <w:t>.</w:t>
      </w:r>
      <w:r w:rsidR="00203907">
        <w:t xml:space="preserve"> In its answer to the statutory request from the FIU</w:t>
      </w:r>
      <w:r w:rsidR="002019D0">
        <w:t>,</w:t>
      </w:r>
      <w:r w:rsidR="00203907">
        <w:t xml:space="preserve"> received by the FIU on 30 September 2014 (</w:t>
      </w:r>
      <w:r w:rsidR="00970CA0">
        <w:t>see Exhibit FOLM3), the following answers to the questions posed by the Applicant are provided:</w:t>
      </w:r>
    </w:p>
    <w:p w14:paraId="5B9F465A" w14:textId="37B348BA" w:rsidR="00970CA0" w:rsidRPr="00EC442B" w:rsidRDefault="00970CA0" w:rsidP="00970CA0">
      <w:pPr>
        <w:pStyle w:val="JudgmentText"/>
        <w:numPr>
          <w:ilvl w:val="0"/>
          <w:numId w:val="0"/>
        </w:numPr>
        <w:ind w:left="1440"/>
        <w:rPr>
          <w:i/>
        </w:rPr>
      </w:pPr>
      <w:r w:rsidRPr="00EC442B">
        <w:rPr>
          <w:i/>
        </w:rPr>
        <w:t xml:space="preserve">Q.4 + Q5 Particularise fully and vouch the business activities of the company; insofar as the </w:t>
      </w:r>
      <w:r w:rsidR="00EC442B" w:rsidRPr="00EC442B">
        <w:rPr>
          <w:i/>
        </w:rPr>
        <w:t>company</w:t>
      </w:r>
      <w:r w:rsidRPr="00EC442B">
        <w:rPr>
          <w:i/>
        </w:rPr>
        <w:t xml:space="preserve"> engages with any other person by way of subsidiary, holding or </w:t>
      </w:r>
      <w:r w:rsidR="00EC442B" w:rsidRPr="00EC442B">
        <w:rPr>
          <w:i/>
        </w:rPr>
        <w:t>associating</w:t>
      </w:r>
      <w:r w:rsidRPr="00EC442B">
        <w:rPr>
          <w:i/>
        </w:rPr>
        <w:t xml:space="preserve"> company, partners and consultants, particularise fully and vouch the structure in question, furnish copies of any agreements and state and vouch all payments made over the past three years:</w:t>
      </w:r>
    </w:p>
    <w:p w14:paraId="3AD6F41A" w14:textId="76BA0E06" w:rsidR="00970CA0" w:rsidRPr="00EC442B" w:rsidRDefault="00EC442B" w:rsidP="00970CA0">
      <w:pPr>
        <w:pStyle w:val="JudgmentText"/>
        <w:numPr>
          <w:ilvl w:val="0"/>
          <w:numId w:val="0"/>
        </w:numPr>
        <w:ind w:left="1440"/>
        <w:rPr>
          <w:i/>
        </w:rPr>
      </w:pPr>
      <w:r w:rsidRPr="00EC442B">
        <w:rPr>
          <w:i/>
        </w:rPr>
        <w:t xml:space="preserve">Answer </w:t>
      </w:r>
      <w:proofErr w:type="spellStart"/>
      <w:r w:rsidRPr="00EC442B">
        <w:rPr>
          <w:i/>
        </w:rPr>
        <w:t>Contactlenses</w:t>
      </w:r>
      <w:proofErr w:type="spellEnd"/>
      <w:r w:rsidRPr="00EC442B">
        <w:rPr>
          <w:i/>
        </w:rPr>
        <w:t xml:space="preserve"> Ltd</w:t>
      </w:r>
      <w:r w:rsidR="00970CA0" w:rsidRPr="00EC442B">
        <w:rPr>
          <w:i/>
        </w:rPr>
        <w:t xml:space="preserve"> is a direct to consumer replacement contact lens supplier…</w:t>
      </w:r>
      <w:proofErr w:type="spellStart"/>
      <w:r w:rsidRPr="00EC442B">
        <w:rPr>
          <w:i/>
        </w:rPr>
        <w:t>Contactlenses</w:t>
      </w:r>
      <w:proofErr w:type="spellEnd"/>
      <w:r w:rsidRPr="00EC442B">
        <w:rPr>
          <w:i/>
        </w:rPr>
        <w:t xml:space="preserve"> Ltd operates wholly on the internet through various country specific “</w:t>
      </w:r>
      <w:proofErr w:type="spellStart"/>
      <w:r w:rsidRPr="00EC442B">
        <w:rPr>
          <w:i/>
        </w:rPr>
        <w:t>contactlenses</w:t>
      </w:r>
      <w:proofErr w:type="spellEnd"/>
      <w:r w:rsidRPr="00EC442B">
        <w:rPr>
          <w:i/>
        </w:rPr>
        <w:t xml:space="preserve">” domain names… </w:t>
      </w:r>
    </w:p>
    <w:p w14:paraId="7A84D881" w14:textId="73A2C41A" w:rsidR="00EC442B" w:rsidRPr="00EC442B" w:rsidRDefault="00EC442B" w:rsidP="00970CA0">
      <w:pPr>
        <w:pStyle w:val="JudgmentText"/>
        <w:numPr>
          <w:ilvl w:val="0"/>
          <w:numId w:val="0"/>
        </w:numPr>
        <w:ind w:left="1440"/>
        <w:rPr>
          <w:i/>
        </w:rPr>
      </w:pPr>
      <w:r w:rsidRPr="00EC442B">
        <w:rPr>
          <w:i/>
        </w:rPr>
        <w:lastRenderedPageBreak/>
        <w:t>Question 6 If not specified in the reply of number 4 above, detail each state and jurisdiction where the company carries out its business activities</w:t>
      </w:r>
    </w:p>
    <w:p w14:paraId="0560F4FA" w14:textId="179DE494" w:rsidR="00EC442B" w:rsidRPr="00EC442B" w:rsidRDefault="00EC442B" w:rsidP="00970CA0">
      <w:pPr>
        <w:pStyle w:val="JudgmentText"/>
        <w:numPr>
          <w:ilvl w:val="0"/>
          <w:numId w:val="0"/>
        </w:numPr>
        <w:ind w:left="1440"/>
        <w:rPr>
          <w:i/>
        </w:rPr>
      </w:pPr>
      <w:r w:rsidRPr="00EC442B">
        <w:rPr>
          <w:i/>
        </w:rPr>
        <w:t>Answer “</w:t>
      </w:r>
      <w:proofErr w:type="spellStart"/>
      <w:r w:rsidRPr="00EC442B">
        <w:rPr>
          <w:i/>
        </w:rPr>
        <w:t>Contactlenses</w:t>
      </w:r>
      <w:proofErr w:type="spellEnd"/>
      <w:r w:rsidRPr="00EC442B">
        <w:rPr>
          <w:i/>
        </w:rPr>
        <w:t xml:space="preserve"> Ltd” is a totally online company with completely outsourced functions. There is no single state or jurisdiction where</w:t>
      </w:r>
      <w:r w:rsidR="00AB0744">
        <w:rPr>
          <w:i/>
        </w:rPr>
        <w:t xml:space="preserve"> the</w:t>
      </w:r>
      <w:r w:rsidRPr="00EC442B">
        <w:rPr>
          <w:i/>
        </w:rPr>
        <w:t xml:space="preserve"> company operates from…</w:t>
      </w:r>
    </w:p>
    <w:p w14:paraId="4F441DAC" w14:textId="1F56D264" w:rsidR="00EC442B" w:rsidRPr="00EC442B" w:rsidRDefault="00EC442B" w:rsidP="00970CA0">
      <w:pPr>
        <w:pStyle w:val="JudgmentText"/>
        <w:numPr>
          <w:ilvl w:val="0"/>
          <w:numId w:val="0"/>
        </w:numPr>
        <w:ind w:left="1440"/>
        <w:rPr>
          <w:i/>
        </w:rPr>
      </w:pPr>
      <w:r w:rsidRPr="00EC442B">
        <w:rPr>
          <w:i/>
        </w:rPr>
        <w:t xml:space="preserve">Question 8 State where the company </w:t>
      </w:r>
      <w:r w:rsidR="00AB0744">
        <w:rPr>
          <w:i/>
        </w:rPr>
        <w:t xml:space="preserve">is </w:t>
      </w:r>
      <w:r w:rsidRPr="00EC442B">
        <w:rPr>
          <w:i/>
        </w:rPr>
        <w:t>domiciled for tax purposes and furnish certified copies of all tax returns since the formation of the company.</w:t>
      </w:r>
    </w:p>
    <w:p w14:paraId="584C60F7" w14:textId="5C13B50B" w:rsidR="00EC442B" w:rsidRPr="00EC442B" w:rsidRDefault="00EC442B" w:rsidP="00970CA0">
      <w:pPr>
        <w:pStyle w:val="JudgmentText"/>
        <w:numPr>
          <w:ilvl w:val="0"/>
          <w:numId w:val="0"/>
        </w:numPr>
        <w:ind w:left="1440"/>
        <w:rPr>
          <w:i/>
        </w:rPr>
      </w:pPr>
      <w:r w:rsidRPr="00EC442B">
        <w:rPr>
          <w:i/>
        </w:rPr>
        <w:t xml:space="preserve">Answer </w:t>
      </w:r>
      <w:proofErr w:type="spellStart"/>
      <w:r w:rsidRPr="00EC442B">
        <w:rPr>
          <w:i/>
        </w:rPr>
        <w:t>Contactlenses</w:t>
      </w:r>
      <w:proofErr w:type="spellEnd"/>
      <w:r w:rsidRPr="00EC442B">
        <w:rPr>
          <w:i/>
        </w:rPr>
        <w:t xml:space="preserve"> Ltd is registered in Seychelles. It is operated internationally and there are no tax returns filled. </w:t>
      </w:r>
    </w:p>
    <w:p w14:paraId="65404DCC" w14:textId="41C94B05" w:rsidR="00EC442B" w:rsidRPr="00EC442B" w:rsidRDefault="00EC442B" w:rsidP="00970CA0">
      <w:pPr>
        <w:pStyle w:val="JudgmentText"/>
        <w:numPr>
          <w:ilvl w:val="0"/>
          <w:numId w:val="0"/>
        </w:numPr>
        <w:ind w:left="1440"/>
        <w:rPr>
          <w:i/>
        </w:rPr>
      </w:pPr>
      <w:r w:rsidRPr="00EC442B">
        <w:rPr>
          <w:i/>
        </w:rPr>
        <w:t xml:space="preserve">Question 9 State if the company is registered for Valued Added Tax or any comparable tax in any jurisdiction; </w:t>
      </w:r>
    </w:p>
    <w:p w14:paraId="6EF57954" w14:textId="513A033D" w:rsidR="00EC442B" w:rsidRPr="00EC442B" w:rsidRDefault="00EC442B" w:rsidP="00970CA0">
      <w:pPr>
        <w:pStyle w:val="JudgmentText"/>
        <w:numPr>
          <w:ilvl w:val="0"/>
          <w:numId w:val="0"/>
        </w:numPr>
        <w:ind w:left="1440"/>
        <w:rPr>
          <w:i/>
        </w:rPr>
      </w:pPr>
      <w:r w:rsidRPr="00EC442B">
        <w:rPr>
          <w:i/>
        </w:rPr>
        <w:t>Answer No.</w:t>
      </w:r>
    </w:p>
    <w:p w14:paraId="399B263C" w14:textId="2D346B53" w:rsidR="00EC442B" w:rsidRPr="00EC442B" w:rsidRDefault="00EC442B" w:rsidP="00970CA0">
      <w:pPr>
        <w:pStyle w:val="JudgmentText"/>
        <w:numPr>
          <w:ilvl w:val="0"/>
          <w:numId w:val="0"/>
        </w:numPr>
        <w:ind w:left="1440"/>
        <w:rPr>
          <w:i/>
        </w:rPr>
      </w:pPr>
      <w:r w:rsidRPr="00EC442B">
        <w:rPr>
          <w:i/>
        </w:rPr>
        <w:t>Question 10 Furnish and vouch details of all employees of the company…</w:t>
      </w:r>
    </w:p>
    <w:p w14:paraId="7A4BF6B3" w14:textId="51B9E84D" w:rsidR="00EC442B" w:rsidRPr="00EC442B" w:rsidRDefault="00EC442B" w:rsidP="00EC442B">
      <w:pPr>
        <w:pStyle w:val="JudgmentText"/>
        <w:numPr>
          <w:ilvl w:val="0"/>
          <w:numId w:val="0"/>
        </w:numPr>
        <w:ind w:left="1440"/>
        <w:rPr>
          <w:i/>
        </w:rPr>
      </w:pPr>
      <w:r w:rsidRPr="00EC442B">
        <w:rPr>
          <w:i/>
        </w:rPr>
        <w:t xml:space="preserve">Answer </w:t>
      </w:r>
      <w:proofErr w:type="spellStart"/>
      <w:r w:rsidRPr="00EC442B">
        <w:rPr>
          <w:i/>
        </w:rPr>
        <w:t>Contactlenses</w:t>
      </w:r>
      <w:proofErr w:type="spellEnd"/>
      <w:r w:rsidRPr="00EC442B">
        <w:rPr>
          <w:i/>
        </w:rPr>
        <w:t xml:space="preserve"> Ltd has no employees</w:t>
      </w:r>
    </w:p>
    <w:p w14:paraId="3655955E" w14:textId="750A81CE" w:rsidR="00EC442B" w:rsidRDefault="00EC442B" w:rsidP="005F53DE">
      <w:pPr>
        <w:pStyle w:val="JudgmentText"/>
        <w:rPr>
          <w:lang w:val="en-US"/>
        </w:rPr>
      </w:pPr>
      <w:r>
        <w:rPr>
          <w:lang w:val="en-US"/>
        </w:rPr>
        <w:t>Bobby Brantley</w:t>
      </w:r>
      <w:r w:rsidR="00D069B7">
        <w:rPr>
          <w:lang w:val="en-US"/>
        </w:rPr>
        <w:t>’s averment in his</w:t>
      </w:r>
      <w:r w:rsidR="00642999">
        <w:rPr>
          <w:lang w:val="en-US"/>
        </w:rPr>
        <w:t xml:space="preserve"> </w:t>
      </w:r>
      <w:r>
        <w:rPr>
          <w:lang w:val="en-US"/>
        </w:rPr>
        <w:t xml:space="preserve">affidavit in support of the Respondents’ assertion on this </w:t>
      </w:r>
      <w:r w:rsidR="00F03954">
        <w:rPr>
          <w:lang w:val="en-US"/>
        </w:rPr>
        <w:t>issue</w:t>
      </w:r>
      <w:r>
        <w:rPr>
          <w:lang w:val="en-US"/>
        </w:rPr>
        <w:t xml:space="preserve"> is to the effect that the First Respondent has no “permanent establishment” in any country outside Seychelles. </w:t>
      </w:r>
      <w:r w:rsidR="000A5A0F">
        <w:rPr>
          <w:lang w:val="en-US"/>
        </w:rPr>
        <w:t>He gives other opinions in respect of the foreign tax residency rules and the legislation of Seychelles. This court views these opinions with circumspection as Mr. Brantley is n</w:t>
      </w:r>
      <w:r w:rsidR="00645363">
        <w:rPr>
          <w:lang w:val="en-US"/>
        </w:rPr>
        <w:t>either</w:t>
      </w:r>
      <w:r w:rsidR="000A5A0F">
        <w:rPr>
          <w:lang w:val="en-US"/>
        </w:rPr>
        <w:t xml:space="preserve"> a taxation </w:t>
      </w:r>
      <w:r w:rsidR="00645363">
        <w:rPr>
          <w:lang w:val="en-US"/>
        </w:rPr>
        <w:t>n</w:t>
      </w:r>
      <w:r w:rsidR="000A5A0F">
        <w:rPr>
          <w:lang w:val="en-US"/>
        </w:rPr>
        <w:t xml:space="preserve">or </w:t>
      </w:r>
      <w:r w:rsidR="00645363">
        <w:rPr>
          <w:lang w:val="en-US"/>
        </w:rPr>
        <w:t xml:space="preserve">a </w:t>
      </w:r>
      <w:r w:rsidR="000A5A0F">
        <w:rPr>
          <w:lang w:val="en-US"/>
        </w:rPr>
        <w:t>legal expert</w:t>
      </w:r>
      <w:r w:rsidR="00642999">
        <w:rPr>
          <w:lang w:val="en-US"/>
        </w:rPr>
        <w:t xml:space="preserve"> and the Respondents did not seek to admit his evidence as that of an expert in the field.</w:t>
      </w:r>
      <w:r w:rsidR="000A5A0F">
        <w:rPr>
          <w:lang w:val="en-US"/>
        </w:rPr>
        <w:t xml:space="preserve"> </w:t>
      </w:r>
    </w:p>
    <w:p w14:paraId="16F57ED0" w14:textId="18769B3B" w:rsidR="000A5A0F" w:rsidRDefault="002019D0" w:rsidP="005F53DE">
      <w:pPr>
        <w:pStyle w:val="JudgmentText"/>
        <w:rPr>
          <w:lang w:val="en-US"/>
        </w:rPr>
      </w:pPr>
      <w:r>
        <w:rPr>
          <w:lang w:val="en-US"/>
        </w:rPr>
        <w:t xml:space="preserve">It is my understanding that the UK </w:t>
      </w:r>
      <w:proofErr w:type="spellStart"/>
      <w:r>
        <w:rPr>
          <w:lang w:val="en-US"/>
        </w:rPr>
        <w:t>Contactlenses</w:t>
      </w:r>
      <w:proofErr w:type="spellEnd"/>
      <w:r>
        <w:rPr>
          <w:lang w:val="en-US"/>
        </w:rPr>
        <w:t xml:space="preserve"> company transferred its business operations to the </w:t>
      </w:r>
      <w:proofErr w:type="spellStart"/>
      <w:r>
        <w:rPr>
          <w:lang w:val="en-US"/>
        </w:rPr>
        <w:t>Contactlenses</w:t>
      </w:r>
      <w:proofErr w:type="spellEnd"/>
      <w:r>
        <w:rPr>
          <w:lang w:val="en-US"/>
        </w:rPr>
        <w:t xml:space="preserve"> Seychell</w:t>
      </w:r>
      <w:r w:rsidR="00F03954">
        <w:rPr>
          <w:lang w:val="en-US"/>
        </w:rPr>
        <w:t>ois</w:t>
      </w:r>
      <w:r>
        <w:rPr>
          <w:lang w:val="en-US"/>
        </w:rPr>
        <w:t xml:space="preserve"> IBC to take advantage of what it describes as tax incentives prescribed in the laws of Seychelles, that is, not to pay any taxes in </w:t>
      </w:r>
      <w:r w:rsidR="0022561B">
        <w:rPr>
          <w:lang w:val="en-US"/>
        </w:rPr>
        <w:t>S</w:t>
      </w:r>
      <w:r>
        <w:rPr>
          <w:lang w:val="en-US"/>
        </w:rPr>
        <w:t>eych</w:t>
      </w:r>
      <w:r w:rsidR="0022561B">
        <w:rPr>
          <w:lang w:val="en-US"/>
        </w:rPr>
        <w:t>e</w:t>
      </w:r>
      <w:r>
        <w:rPr>
          <w:lang w:val="en-US"/>
        </w:rPr>
        <w:t xml:space="preserve">lles or anywhere else in the world. </w:t>
      </w:r>
    </w:p>
    <w:p w14:paraId="367F19A1" w14:textId="77777777" w:rsidR="00F73082" w:rsidRDefault="00F73082" w:rsidP="00642999">
      <w:pPr>
        <w:pStyle w:val="JudgmentText"/>
        <w:numPr>
          <w:ilvl w:val="0"/>
          <w:numId w:val="0"/>
        </w:numPr>
        <w:rPr>
          <w:b/>
          <w:lang w:val="en-US"/>
        </w:rPr>
      </w:pPr>
    </w:p>
    <w:p w14:paraId="474A6FC5" w14:textId="2B3C16F9" w:rsidR="00642999" w:rsidRPr="00642999" w:rsidRDefault="00642999" w:rsidP="00642999">
      <w:pPr>
        <w:pStyle w:val="JudgmentText"/>
        <w:numPr>
          <w:ilvl w:val="0"/>
          <w:numId w:val="0"/>
        </w:numPr>
        <w:rPr>
          <w:b/>
          <w:lang w:val="en-US"/>
        </w:rPr>
      </w:pPr>
      <w:r w:rsidRPr="00642999">
        <w:rPr>
          <w:b/>
          <w:lang w:val="en-US"/>
        </w:rPr>
        <w:lastRenderedPageBreak/>
        <w:t xml:space="preserve">The significance of </w:t>
      </w:r>
      <w:r>
        <w:rPr>
          <w:b/>
          <w:lang w:val="en-US"/>
        </w:rPr>
        <w:t>o</w:t>
      </w:r>
      <w:r w:rsidRPr="00642999">
        <w:rPr>
          <w:b/>
          <w:lang w:val="en-US"/>
        </w:rPr>
        <w:t xml:space="preserve">ther Seychellois legislation </w:t>
      </w:r>
      <w:r>
        <w:rPr>
          <w:b/>
          <w:lang w:val="en-US"/>
        </w:rPr>
        <w:t>and issues arising</w:t>
      </w:r>
    </w:p>
    <w:p w14:paraId="24B514CE" w14:textId="192DD677" w:rsidR="0022561B" w:rsidRDefault="00642999" w:rsidP="005F53DE">
      <w:pPr>
        <w:pStyle w:val="JudgmentText"/>
        <w:rPr>
          <w:lang w:val="en-US"/>
        </w:rPr>
      </w:pPr>
      <w:r>
        <w:rPr>
          <w:lang w:val="en-US"/>
        </w:rPr>
        <w:t xml:space="preserve">In assessing whether the Respondents have committed a predicate crime or breached any provisions of Seychellois law, I take notice of </w:t>
      </w:r>
      <w:r w:rsidR="0022561B">
        <w:rPr>
          <w:lang w:val="en-US"/>
        </w:rPr>
        <w:t xml:space="preserve"> section 5 </w:t>
      </w:r>
      <w:r>
        <w:rPr>
          <w:lang w:val="en-US"/>
        </w:rPr>
        <w:t xml:space="preserve">of </w:t>
      </w:r>
      <w:r w:rsidR="0022561B">
        <w:rPr>
          <w:lang w:val="en-US"/>
        </w:rPr>
        <w:t xml:space="preserve">the International Business Companies Act </w:t>
      </w:r>
      <w:r w:rsidR="00443493">
        <w:rPr>
          <w:lang w:val="en-US"/>
        </w:rPr>
        <w:t>(IBC Act)</w:t>
      </w:r>
      <w:r w:rsidR="00F03954">
        <w:rPr>
          <w:lang w:val="en-US"/>
        </w:rPr>
        <w:t xml:space="preserve"> </w:t>
      </w:r>
      <w:r>
        <w:rPr>
          <w:lang w:val="en-US"/>
        </w:rPr>
        <w:t xml:space="preserve">which </w:t>
      </w:r>
      <w:r w:rsidR="00443493">
        <w:rPr>
          <w:lang w:val="en-US"/>
        </w:rPr>
        <w:t xml:space="preserve"> </w:t>
      </w:r>
      <w:r w:rsidR="0022561B">
        <w:rPr>
          <w:lang w:val="en-US"/>
        </w:rPr>
        <w:t>provides that:</w:t>
      </w:r>
    </w:p>
    <w:p w14:paraId="668A0365" w14:textId="2EF1CDEF" w:rsidR="0022561B" w:rsidRPr="0022561B" w:rsidRDefault="0022561B" w:rsidP="0022561B">
      <w:pPr>
        <w:pStyle w:val="JudgmentText"/>
        <w:numPr>
          <w:ilvl w:val="0"/>
          <w:numId w:val="0"/>
        </w:numPr>
        <w:ind w:left="1500"/>
        <w:rPr>
          <w:i/>
          <w:lang w:val="en-US"/>
        </w:rPr>
      </w:pPr>
      <w:r>
        <w:rPr>
          <w:i/>
        </w:rPr>
        <w:t>“</w:t>
      </w:r>
      <w:r w:rsidRPr="0022561B">
        <w:rPr>
          <w:i/>
        </w:rPr>
        <w:t>(1) </w:t>
      </w:r>
      <w:proofErr w:type="gramStart"/>
      <w:r w:rsidRPr="0022561B">
        <w:rPr>
          <w:i/>
        </w:rPr>
        <w:t>For</w:t>
      </w:r>
      <w:proofErr w:type="gramEnd"/>
      <w:r w:rsidRPr="0022561B">
        <w:rPr>
          <w:i/>
        </w:rPr>
        <w:t xml:space="preserve"> the purposes of this Act, an International Business Company is a Company that does not -</w:t>
      </w:r>
    </w:p>
    <w:p w14:paraId="60236758" w14:textId="04403438" w:rsidR="00443493" w:rsidRPr="00443493" w:rsidRDefault="0022561B" w:rsidP="00443493">
      <w:pPr>
        <w:pStyle w:val="JudgmentText"/>
        <w:numPr>
          <w:ilvl w:val="0"/>
          <w:numId w:val="0"/>
        </w:numPr>
        <w:ind w:left="720" w:firstLine="720"/>
        <w:rPr>
          <w:i/>
          <w:lang w:val="en-US"/>
        </w:rPr>
      </w:pPr>
      <w:r w:rsidRPr="0022561B">
        <w:rPr>
          <w:i/>
        </w:rPr>
        <w:t>(</w:t>
      </w:r>
      <w:proofErr w:type="gramStart"/>
      <w:r w:rsidRPr="0022561B">
        <w:rPr>
          <w:i/>
        </w:rPr>
        <w:t>a</w:t>
      </w:r>
      <w:proofErr w:type="gramEnd"/>
      <w:r w:rsidRPr="0022561B">
        <w:rPr>
          <w:i/>
        </w:rPr>
        <w:t>) carry on business in Seychelles;</w:t>
      </w:r>
      <w:r>
        <w:rPr>
          <w:i/>
        </w:rPr>
        <w:t>”</w:t>
      </w:r>
    </w:p>
    <w:p w14:paraId="0C833280" w14:textId="74310E7F" w:rsidR="00443493" w:rsidRPr="0022561B" w:rsidRDefault="00443493" w:rsidP="00443493">
      <w:pPr>
        <w:pStyle w:val="JudgmentText"/>
        <w:rPr>
          <w:lang w:val="en-US"/>
        </w:rPr>
      </w:pPr>
      <w:r>
        <w:rPr>
          <w:lang w:val="en-US"/>
        </w:rPr>
        <w:t>I also note that s</w:t>
      </w:r>
      <w:r w:rsidRPr="0022561B">
        <w:rPr>
          <w:lang w:val="en-US"/>
        </w:rPr>
        <w:t>ection 2 (1) of the Business Tax Act defines “resident person” as inter alia:</w:t>
      </w:r>
    </w:p>
    <w:p w14:paraId="20352275" w14:textId="77777777" w:rsidR="00443493" w:rsidRPr="00203907" w:rsidRDefault="00443493" w:rsidP="00443493">
      <w:pPr>
        <w:pStyle w:val="JudgmentText"/>
        <w:numPr>
          <w:ilvl w:val="0"/>
          <w:numId w:val="0"/>
        </w:numPr>
        <w:ind w:left="720" w:firstLine="720"/>
        <w:rPr>
          <w:i/>
          <w:lang w:val="en-US"/>
        </w:rPr>
      </w:pPr>
      <w:r w:rsidRPr="00203907">
        <w:rPr>
          <w:i/>
          <w:lang w:val="en-US"/>
        </w:rPr>
        <w:t xml:space="preserve"> (b) </w:t>
      </w:r>
      <w:proofErr w:type="gramStart"/>
      <w:r w:rsidRPr="00203907">
        <w:rPr>
          <w:i/>
          <w:lang w:val="en-US"/>
        </w:rPr>
        <w:t>an</w:t>
      </w:r>
      <w:proofErr w:type="gramEnd"/>
      <w:r w:rsidRPr="00203907">
        <w:rPr>
          <w:i/>
          <w:lang w:val="en-US"/>
        </w:rPr>
        <w:t xml:space="preserve"> entity —</w:t>
      </w:r>
    </w:p>
    <w:p w14:paraId="3177A0B2" w14:textId="77777777" w:rsidR="00443493" w:rsidRPr="00203907" w:rsidRDefault="00443493" w:rsidP="00443493">
      <w:pPr>
        <w:pStyle w:val="JudgmentText"/>
        <w:numPr>
          <w:ilvl w:val="0"/>
          <w:numId w:val="0"/>
        </w:numPr>
        <w:ind w:left="2160"/>
        <w:rPr>
          <w:i/>
          <w:lang w:val="en-US"/>
        </w:rPr>
      </w:pPr>
      <w:r w:rsidRPr="00203907">
        <w:rPr>
          <w:i/>
          <w:lang w:val="en-US"/>
        </w:rPr>
        <w:t>(</w:t>
      </w:r>
      <w:proofErr w:type="spellStart"/>
      <w:r w:rsidRPr="00203907">
        <w:rPr>
          <w:i/>
          <w:lang w:val="en-US"/>
        </w:rPr>
        <w:t>i</w:t>
      </w:r>
      <w:proofErr w:type="spellEnd"/>
      <w:r w:rsidRPr="00203907">
        <w:rPr>
          <w:i/>
          <w:lang w:val="en-US"/>
        </w:rPr>
        <w:t xml:space="preserve">) </w:t>
      </w:r>
      <w:proofErr w:type="gramStart"/>
      <w:r w:rsidRPr="00203907">
        <w:rPr>
          <w:i/>
          <w:lang w:val="en-US"/>
        </w:rPr>
        <w:t>incorporated</w:t>
      </w:r>
      <w:proofErr w:type="gramEnd"/>
      <w:r w:rsidRPr="00203907">
        <w:rPr>
          <w:i/>
          <w:lang w:val="en-US"/>
        </w:rPr>
        <w:t xml:space="preserve">, formed, </w:t>
      </w:r>
      <w:proofErr w:type="spellStart"/>
      <w:r w:rsidRPr="00203907">
        <w:rPr>
          <w:i/>
          <w:lang w:val="en-US"/>
        </w:rPr>
        <w:t>organised</w:t>
      </w:r>
      <w:proofErr w:type="spellEnd"/>
      <w:r w:rsidRPr="00203907">
        <w:rPr>
          <w:i/>
          <w:lang w:val="en-US"/>
        </w:rPr>
        <w:t>, or otherwise established in Seychelles; or</w:t>
      </w:r>
    </w:p>
    <w:p w14:paraId="599DC155" w14:textId="19060B63" w:rsidR="00443493" w:rsidRDefault="00443493" w:rsidP="00443493">
      <w:pPr>
        <w:pStyle w:val="JudgmentText"/>
        <w:numPr>
          <w:ilvl w:val="0"/>
          <w:numId w:val="0"/>
        </w:numPr>
        <w:ind w:left="1440" w:firstLine="720"/>
        <w:rPr>
          <w:i/>
          <w:lang w:val="en-US"/>
        </w:rPr>
      </w:pPr>
      <w:r w:rsidRPr="00203907">
        <w:rPr>
          <w:i/>
          <w:lang w:val="en-US"/>
        </w:rPr>
        <w:t xml:space="preserve">(ii) </w:t>
      </w:r>
      <w:proofErr w:type="gramStart"/>
      <w:r w:rsidRPr="00203907">
        <w:rPr>
          <w:i/>
          <w:lang w:val="en-US"/>
        </w:rPr>
        <w:t>managed</w:t>
      </w:r>
      <w:proofErr w:type="gramEnd"/>
      <w:r w:rsidRPr="00203907">
        <w:rPr>
          <w:i/>
          <w:lang w:val="en-US"/>
        </w:rPr>
        <w:t xml:space="preserve"> and controlled in Seychelles; …”</w:t>
      </w:r>
    </w:p>
    <w:p w14:paraId="3351E6DB" w14:textId="77777777" w:rsidR="00DC24E6" w:rsidRPr="00DC24E6" w:rsidRDefault="00DC24E6" w:rsidP="00DC24E6">
      <w:pPr>
        <w:pStyle w:val="JudgmentText"/>
        <w:rPr>
          <w:lang w:val="en-US"/>
        </w:rPr>
      </w:pPr>
      <w:r w:rsidRPr="00DC24E6">
        <w:rPr>
          <w:lang w:val="en-US"/>
        </w:rPr>
        <w:t>Business tax is imposed on income derived by a business from sources in Seychelles. Section 5 of the Business Tax Act in respect of sources of income provides that :</w:t>
      </w:r>
    </w:p>
    <w:p w14:paraId="68123187" w14:textId="5E2348BC" w:rsidR="00DC24E6" w:rsidRPr="00DC24E6" w:rsidRDefault="00DC24E6" w:rsidP="00DC24E6">
      <w:pPr>
        <w:pStyle w:val="JudgmentText"/>
        <w:numPr>
          <w:ilvl w:val="0"/>
          <w:numId w:val="0"/>
        </w:numPr>
        <w:rPr>
          <w:i/>
          <w:lang w:val="en-US"/>
        </w:rPr>
      </w:pPr>
      <w:r>
        <w:rPr>
          <w:lang w:val="en-US"/>
        </w:rPr>
        <w:tab/>
      </w:r>
      <w:r>
        <w:rPr>
          <w:lang w:val="en-US"/>
        </w:rPr>
        <w:tab/>
      </w:r>
      <w:r w:rsidRPr="00DC24E6">
        <w:rPr>
          <w:i/>
          <w:lang w:val="en-US"/>
        </w:rPr>
        <w:t xml:space="preserve">“(1) An amount derived by a resident person in carrying on a business is derived </w:t>
      </w:r>
      <w:r w:rsidRPr="00DC24E6">
        <w:rPr>
          <w:i/>
          <w:lang w:val="en-US"/>
        </w:rPr>
        <w:tab/>
      </w:r>
      <w:r w:rsidRPr="00DC24E6">
        <w:rPr>
          <w:i/>
          <w:lang w:val="en-US"/>
        </w:rPr>
        <w:tab/>
      </w:r>
      <w:r w:rsidRPr="00DC24E6">
        <w:rPr>
          <w:i/>
          <w:lang w:val="en-US"/>
        </w:rPr>
        <w:tab/>
        <w:t xml:space="preserve">from sources in Seychelles except to the extent that it is attributable to a business </w:t>
      </w:r>
      <w:r w:rsidRPr="00DC24E6">
        <w:rPr>
          <w:i/>
          <w:lang w:val="en-US"/>
        </w:rPr>
        <w:tab/>
      </w:r>
      <w:r w:rsidRPr="00DC24E6">
        <w:rPr>
          <w:i/>
          <w:lang w:val="en-US"/>
        </w:rPr>
        <w:tab/>
      </w:r>
      <w:r w:rsidRPr="00DC24E6">
        <w:rPr>
          <w:i/>
          <w:lang w:val="en-US"/>
        </w:rPr>
        <w:tab/>
        <w:t>carried on through a permanent establishment of the person outside Seychelles.</w:t>
      </w:r>
    </w:p>
    <w:p w14:paraId="1D02FD4F" w14:textId="46ED272F" w:rsidR="00DC24E6" w:rsidRPr="00DC24E6" w:rsidRDefault="00DC24E6" w:rsidP="00DC24E6">
      <w:pPr>
        <w:pStyle w:val="JudgmentText"/>
        <w:numPr>
          <w:ilvl w:val="0"/>
          <w:numId w:val="0"/>
        </w:numPr>
        <w:rPr>
          <w:i/>
          <w:lang w:val="en-US"/>
        </w:rPr>
      </w:pPr>
      <w:r w:rsidRPr="00DC24E6">
        <w:rPr>
          <w:i/>
          <w:lang w:val="en-US"/>
        </w:rPr>
        <w:tab/>
      </w:r>
      <w:r w:rsidRPr="00DC24E6">
        <w:rPr>
          <w:i/>
          <w:lang w:val="en-US"/>
        </w:rPr>
        <w:tab/>
        <w:t xml:space="preserve">(2) An amount derived by a non-resident person in carrying on a business is derived </w:t>
      </w:r>
      <w:r w:rsidRPr="00DC24E6">
        <w:rPr>
          <w:i/>
          <w:lang w:val="en-US"/>
        </w:rPr>
        <w:tab/>
      </w:r>
      <w:r w:rsidRPr="00DC24E6">
        <w:rPr>
          <w:i/>
          <w:lang w:val="en-US"/>
        </w:rPr>
        <w:tab/>
        <w:t xml:space="preserve">from sources in Seychelles to the extent that it is attributable to a business carried </w:t>
      </w:r>
      <w:r w:rsidRPr="00DC24E6">
        <w:rPr>
          <w:i/>
          <w:lang w:val="en-US"/>
        </w:rPr>
        <w:tab/>
      </w:r>
      <w:r w:rsidRPr="00DC24E6">
        <w:rPr>
          <w:i/>
          <w:lang w:val="en-US"/>
        </w:rPr>
        <w:tab/>
        <w:t>on through a permanent establishment of the person in Seychelles.</w:t>
      </w:r>
    </w:p>
    <w:p w14:paraId="16BC7D71" w14:textId="74ACC449" w:rsidR="00DC24E6" w:rsidRPr="00DC24E6" w:rsidRDefault="00DC24E6" w:rsidP="00DC24E6">
      <w:pPr>
        <w:pStyle w:val="JudgmentText"/>
        <w:numPr>
          <w:ilvl w:val="0"/>
          <w:numId w:val="0"/>
        </w:numPr>
        <w:rPr>
          <w:i/>
          <w:lang w:val="en-US"/>
        </w:rPr>
      </w:pPr>
      <w:r w:rsidRPr="00DC24E6">
        <w:rPr>
          <w:i/>
          <w:lang w:val="en-US"/>
        </w:rPr>
        <w:tab/>
      </w:r>
      <w:r w:rsidRPr="00DC24E6">
        <w:rPr>
          <w:i/>
          <w:lang w:val="en-US"/>
        </w:rPr>
        <w:tab/>
        <w:t xml:space="preserve">(3) Notwithstanding subsections (1) and (2), the following amounts are derived </w:t>
      </w:r>
      <w:r w:rsidRPr="00DC24E6">
        <w:rPr>
          <w:i/>
          <w:lang w:val="en-US"/>
        </w:rPr>
        <w:tab/>
      </w:r>
      <w:r w:rsidRPr="00DC24E6">
        <w:rPr>
          <w:i/>
          <w:lang w:val="en-US"/>
        </w:rPr>
        <w:tab/>
      </w:r>
      <w:r w:rsidRPr="00DC24E6">
        <w:rPr>
          <w:i/>
          <w:lang w:val="en-US"/>
        </w:rPr>
        <w:tab/>
        <w:t>from sources in Seychelles —</w:t>
      </w:r>
    </w:p>
    <w:p w14:paraId="5825254D" w14:textId="48888F1D" w:rsidR="00DC24E6" w:rsidRPr="00DC24E6" w:rsidRDefault="00DC24E6" w:rsidP="00DC24E6">
      <w:pPr>
        <w:pStyle w:val="JudgmentText"/>
        <w:numPr>
          <w:ilvl w:val="0"/>
          <w:numId w:val="0"/>
        </w:numPr>
        <w:rPr>
          <w:i/>
          <w:lang w:val="en-US"/>
        </w:rPr>
      </w:pPr>
      <w:r w:rsidRPr="00DC24E6">
        <w:rPr>
          <w:i/>
          <w:lang w:val="en-US"/>
        </w:rPr>
        <w:tab/>
      </w:r>
      <w:r w:rsidRPr="00DC24E6">
        <w:rPr>
          <w:i/>
          <w:lang w:val="en-US"/>
        </w:rPr>
        <w:tab/>
        <w:t>(a) a fee for services performed in Seychelles;</w:t>
      </w:r>
      <w:r>
        <w:rPr>
          <w:i/>
          <w:lang w:val="en-US"/>
        </w:rPr>
        <w:t>”</w:t>
      </w:r>
    </w:p>
    <w:p w14:paraId="6BA9CF34" w14:textId="57482303" w:rsidR="00443493" w:rsidRDefault="00443493" w:rsidP="005F53DE">
      <w:pPr>
        <w:pStyle w:val="JudgmentText"/>
        <w:rPr>
          <w:lang w:val="en-US"/>
        </w:rPr>
      </w:pPr>
      <w:r>
        <w:rPr>
          <w:lang w:val="en-US"/>
        </w:rPr>
        <w:lastRenderedPageBreak/>
        <w:t xml:space="preserve">Two questions arise from these </w:t>
      </w:r>
      <w:r w:rsidR="00DC24E6">
        <w:rPr>
          <w:lang w:val="en-US"/>
        </w:rPr>
        <w:t>provisions:</w:t>
      </w:r>
      <w:r w:rsidR="00642999">
        <w:rPr>
          <w:lang w:val="en-US"/>
        </w:rPr>
        <w:t xml:space="preserve"> </w:t>
      </w:r>
      <w:r>
        <w:rPr>
          <w:lang w:val="en-US"/>
        </w:rPr>
        <w:t xml:space="preserve">(1) whether an IBC can transact business from Seychelles for activities outside Seychelles and not breach Section 5(1) (a) of the IBC Act and (2) whether an IBC is resident in Seychelles for tax purposes when it transacts business from Seychelles. </w:t>
      </w:r>
    </w:p>
    <w:p w14:paraId="79A72F89" w14:textId="61895499" w:rsidR="00443493" w:rsidRPr="00443493" w:rsidRDefault="00C76FAC" w:rsidP="0090368C">
      <w:pPr>
        <w:pStyle w:val="JudgmentText"/>
      </w:pPr>
      <w:r>
        <w:t>The Respondents</w:t>
      </w:r>
      <w:r w:rsidR="00D069B7">
        <w:t xml:space="preserve"> categorically </w:t>
      </w:r>
      <w:r>
        <w:t>aver that that their only permanent establishment is Seychelles.</w:t>
      </w:r>
    </w:p>
    <w:p w14:paraId="34D15361" w14:textId="741C7585" w:rsidR="00642999" w:rsidRDefault="00E124BE" w:rsidP="00E124BE">
      <w:pPr>
        <w:pStyle w:val="JudgmentText"/>
      </w:pPr>
      <w:r w:rsidRPr="00E124BE">
        <w:t>As its preamble indicates, the IBC Act was enacted to</w:t>
      </w:r>
      <w:r w:rsidR="00642999">
        <w:t>:</w:t>
      </w:r>
    </w:p>
    <w:p w14:paraId="02D574C5" w14:textId="00D92867" w:rsidR="00642999" w:rsidRDefault="00642999" w:rsidP="00642999">
      <w:pPr>
        <w:pStyle w:val="JudgmentText"/>
        <w:numPr>
          <w:ilvl w:val="0"/>
          <w:numId w:val="0"/>
        </w:numPr>
      </w:pPr>
      <w:r>
        <w:tab/>
      </w:r>
      <w:r>
        <w:tab/>
      </w:r>
      <w:r w:rsidR="00E124BE" w:rsidRPr="00E124BE">
        <w:t xml:space="preserve"> </w:t>
      </w:r>
      <w:r w:rsidR="00E124BE" w:rsidRPr="00642999">
        <w:rPr>
          <w:i/>
        </w:rPr>
        <w:t>“</w:t>
      </w:r>
      <w:proofErr w:type="gramStart"/>
      <w:r w:rsidR="00E124BE" w:rsidRPr="00642999">
        <w:rPr>
          <w:i/>
        </w:rPr>
        <w:t>consolidate</w:t>
      </w:r>
      <w:proofErr w:type="gramEnd"/>
      <w:r w:rsidR="00E124BE" w:rsidRPr="00642999">
        <w:rPr>
          <w:i/>
        </w:rPr>
        <w:t xml:space="preserve"> and modernise the law relating to the International Business </w:t>
      </w:r>
      <w:r w:rsidRPr="00642999">
        <w:rPr>
          <w:i/>
        </w:rPr>
        <w:tab/>
      </w:r>
      <w:r w:rsidRPr="00642999">
        <w:rPr>
          <w:i/>
        </w:rPr>
        <w:tab/>
      </w:r>
      <w:r w:rsidRPr="00642999">
        <w:rPr>
          <w:i/>
        </w:rPr>
        <w:tab/>
      </w:r>
      <w:r w:rsidR="00E124BE" w:rsidRPr="00642999">
        <w:rPr>
          <w:i/>
        </w:rPr>
        <w:t>Companies in line with the changes in the international field</w:t>
      </w:r>
      <w:r w:rsidR="00E124BE" w:rsidRPr="00E124BE">
        <w:t xml:space="preserve">” and matters </w:t>
      </w:r>
      <w:r>
        <w:tab/>
      </w:r>
      <w:r>
        <w:tab/>
      </w:r>
      <w:r>
        <w:tab/>
      </w:r>
      <w:r>
        <w:tab/>
      </w:r>
      <w:r w:rsidR="00E124BE" w:rsidRPr="00E124BE">
        <w:t xml:space="preserve">connected. </w:t>
      </w:r>
    </w:p>
    <w:p w14:paraId="5A00579E" w14:textId="2558BBE2" w:rsidR="00E124BE" w:rsidRPr="00E124BE" w:rsidRDefault="00E124BE" w:rsidP="00E124BE">
      <w:pPr>
        <w:pStyle w:val="JudgmentText"/>
      </w:pPr>
      <w:r w:rsidRPr="00E124BE">
        <w:t xml:space="preserve">While this preamble suggests that it may be adapted to address modern business issues, the IBC </w:t>
      </w:r>
      <w:r w:rsidR="00DC24E6">
        <w:t xml:space="preserve">Act </w:t>
      </w:r>
      <w:r w:rsidRPr="00E124BE">
        <w:t>does not directly address how electronic commercial activities should be regulated. Indeed, as attested by various OECD and UN publications, the proper regulation of electronic commerce (“e-commerce”) is increasingly a subject of concern at the intersection of tax, anti-money laundering, and proceeds of crime regulations.</w:t>
      </w:r>
    </w:p>
    <w:p w14:paraId="582CA597" w14:textId="3BF45D05" w:rsidR="00DC24E6" w:rsidRDefault="00642999" w:rsidP="009369A4">
      <w:pPr>
        <w:pStyle w:val="JudgmentText"/>
      </w:pPr>
      <w:r>
        <w:t>In this context at the ins</w:t>
      </w:r>
      <w:r w:rsidR="00E91A7E">
        <w:t>tance</w:t>
      </w:r>
      <w:r>
        <w:t xml:space="preserve"> of the court and to fur</w:t>
      </w:r>
      <w:r w:rsidR="00E91A7E">
        <w:t>t</w:t>
      </w:r>
      <w:r>
        <w:t>her clarify the matter</w:t>
      </w:r>
      <w:r w:rsidR="00D069B7">
        <w:t>,</w:t>
      </w:r>
      <w:r>
        <w:t xml:space="preserve"> th</w:t>
      </w:r>
      <w:r w:rsidR="00D069B7">
        <w:t>is</w:t>
      </w:r>
      <w:r>
        <w:t xml:space="preserve"> </w:t>
      </w:r>
      <w:r w:rsidR="00E91A7E">
        <w:t>Court</w:t>
      </w:r>
      <w:r>
        <w:t xml:space="preserve"> asked the </w:t>
      </w:r>
      <w:r w:rsidR="00E91A7E">
        <w:t>parties</w:t>
      </w:r>
      <w:r>
        <w:t xml:space="preserve"> concerned to </w:t>
      </w:r>
      <w:r w:rsidR="00D069B7">
        <w:t xml:space="preserve">provide expert evidence </w:t>
      </w:r>
      <w:r>
        <w:t>to ans</w:t>
      </w:r>
      <w:r w:rsidR="00E91A7E">
        <w:t>w</w:t>
      </w:r>
      <w:r>
        <w:t xml:space="preserve">er </w:t>
      </w:r>
      <w:r w:rsidR="00645363">
        <w:t xml:space="preserve">the issues raised above. </w:t>
      </w:r>
      <w:proofErr w:type="spellStart"/>
      <w:r w:rsidR="00DC24E6">
        <w:t>Mr.</w:t>
      </w:r>
      <w:proofErr w:type="spellEnd"/>
      <w:r w:rsidR="00DC24E6">
        <w:t xml:space="preserve"> Steve Fanny for the Financial Services Authority</w:t>
      </w:r>
      <w:r w:rsidR="00645363">
        <w:t xml:space="preserve"> </w:t>
      </w:r>
      <w:r w:rsidR="00C6566D">
        <w:t>testified</w:t>
      </w:r>
      <w:r w:rsidR="00DC24E6">
        <w:t xml:space="preserve"> </w:t>
      </w:r>
      <w:r w:rsidR="004209FC">
        <w:t>that</w:t>
      </w:r>
      <w:r w:rsidR="00DC24E6">
        <w:t xml:space="preserve"> an IBC </w:t>
      </w:r>
      <w:r w:rsidR="004209FC">
        <w:t>can provide directorship service</w:t>
      </w:r>
      <w:r w:rsidR="00A42F0C">
        <w:t>s</w:t>
      </w:r>
      <w:r w:rsidR="004209FC">
        <w:t xml:space="preserve"> </w:t>
      </w:r>
      <w:r w:rsidR="00A42F0C">
        <w:t>and</w:t>
      </w:r>
      <w:r w:rsidR="004209FC">
        <w:t xml:space="preserve"> other limited services and not fall foul of the IBC </w:t>
      </w:r>
      <w:r w:rsidR="00A42F0C">
        <w:t>Act</w:t>
      </w:r>
      <w:r w:rsidR="004209FC">
        <w:t xml:space="preserve">. In the present case, </w:t>
      </w:r>
      <w:proofErr w:type="spellStart"/>
      <w:r w:rsidR="004209FC">
        <w:t>ContactLenses</w:t>
      </w:r>
      <w:proofErr w:type="spellEnd"/>
      <w:r w:rsidR="004209FC">
        <w:t xml:space="preserve"> </w:t>
      </w:r>
      <w:r w:rsidR="00C6566D">
        <w:t xml:space="preserve">was </w:t>
      </w:r>
      <w:r w:rsidR="004209FC">
        <w:t xml:space="preserve">operating in a type of vacuum and </w:t>
      </w:r>
      <w:r w:rsidR="00C6566D">
        <w:t xml:space="preserve">was </w:t>
      </w:r>
      <w:r w:rsidR="004209FC">
        <w:t>engag</w:t>
      </w:r>
      <w:r w:rsidR="00C6566D">
        <w:t xml:space="preserve">ing </w:t>
      </w:r>
      <w:r w:rsidR="004209FC">
        <w:t xml:space="preserve">in </w:t>
      </w:r>
      <w:r w:rsidR="004209FC" w:rsidRPr="00645363">
        <w:rPr>
          <w:i/>
        </w:rPr>
        <w:t>regulatory arbitrage</w:t>
      </w:r>
      <w:r w:rsidR="00C6566D">
        <w:t xml:space="preserve">, in other words it was </w:t>
      </w:r>
      <w:r w:rsidR="00C6566D" w:rsidRPr="00C6566D">
        <w:t>conducting business</w:t>
      </w:r>
      <w:r w:rsidR="0017078D">
        <w:t xml:space="preserve"> or</w:t>
      </w:r>
      <w:r w:rsidR="00C6566D" w:rsidRPr="00C6566D">
        <w:t xml:space="preserve"> creating services in certain locations that </w:t>
      </w:r>
      <w:r w:rsidR="00C6566D">
        <w:t>were</w:t>
      </w:r>
      <w:r w:rsidR="00C6566D" w:rsidRPr="00C6566D">
        <w:t xml:space="preserve"> outside the purview of regulators.</w:t>
      </w:r>
      <w:r w:rsidR="004209FC" w:rsidRPr="004209FC">
        <w:t xml:space="preserve"> </w:t>
      </w:r>
      <w:r w:rsidR="00C6566D">
        <w:t xml:space="preserve">Although they were operating in Seychelles they were deriving income from outside Seychelles. In his view they were exploiting a legal loophole. </w:t>
      </w:r>
      <w:r w:rsidR="004209FC" w:rsidRPr="004209FC">
        <w:t xml:space="preserve"> </w:t>
      </w:r>
    </w:p>
    <w:p w14:paraId="72BFC2CD" w14:textId="595A3C31" w:rsidR="0017078D" w:rsidRDefault="0017078D" w:rsidP="0017078D">
      <w:pPr>
        <w:pStyle w:val="JudgmentText"/>
      </w:pPr>
      <w:proofErr w:type="spellStart"/>
      <w:r>
        <w:t>Mrs.</w:t>
      </w:r>
      <w:proofErr w:type="spellEnd"/>
      <w:r>
        <w:t xml:space="preserve"> Maria Woodcock, the </w:t>
      </w:r>
      <w:r w:rsidR="00645363">
        <w:t>D</w:t>
      </w:r>
      <w:r>
        <w:t xml:space="preserve">irector for Taxpayers Services </w:t>
      </w:r>
      <w:r w:rsidR="00645363">
        <w:t xml:space="preserve">at </w:t>
      </w:r>
      <w:r>
        <w:t>Seychelles Revenue Commission</w:t>
      </w:r>
      <w:r w:rsidR="00645363">
        <w:t>,</w:t>
      </w:r>
      <w:r>
        <w:t xml:space="preserve"> stated that under the Business Tax Act a business can only be taxed if its source of income is within Seychelles. Taxes can only be imposed for business transacted on the territory of Seychelles. </w:t>
      </w:r>
      <w:r w:rsidR="00645363">
        <w:t xml:space="preserve">She stated that a company transacting business should be </w:t>
      </w:r>
      <w:r w:rsidR="00645363">
        <w:lastRenderedPageBreak/>
        <w:t xml:space="preserve">paying taxes somewhere. </w:t>
      </w:r>
      <w:r>
        <w:t xml:space="preserve">She added that that there were no provisions in place for online business activities. She confirmed that that was a </w:t>
      </w:r>
      <w:r w:rsidR="00645363">
        <w:t xml:space="preserve">serious </w:t>
      </w:r>
      <w:r>
        <w:t xml:space="preserve">loophole under current legislation. </w:t>
      </w:r>
      <w:r w:rsidR="00F03954">
        <w:t xml:space="preserve">I could not obtain any clear evidence as to whether or not the First Respondent was indeed resident in Seychelles. </w:t>
      </w:r>
    </w:p>
    <w:p w14:paraId="06122CE3" w14:textId="28CC99E8" w:rsidR="00282CCE" w:rsidRDefault="00282CCE" w:rsidP="003637D5">
      <w:pPr>
        <w:pStyle w:val="JudgmentText"/>
      </w:pPr>
      <w:r>
        <w:t xml:space="preserve">It is clear from the evidence </w:t>
      </w:r>
      <w:r w:rsidR="00F03954">
        <w:t xml:space="preserve">adduced </w:t>
      </w:r>
      <w:r>
        <w:t>in this case and the views of the experts that the F</w:t>
      </w:r>
      <w:r w:rsidR="00F03954">
        <w:t xml:space="preserve">irst </w:t>
      </w:r>
      <w:r>
        <w:t xml:space="preserve">Respondent has structured its business activities namely its online activities to avoid the application of national laws. </w:t>
      </w:r>
    </w:p>
    <w:p w14:paraId="2EC6B92F" w14:textId="209C46A9" w:rsidR="00E269E6" w:rsidRDefault="00E269E6" w:rsidP="003637D5">
      <w:pPr>
        <w:pStyle w:val="JudgmentText"/>
      </w:pPr>
      <w:r>
        <w:t xml:space="preserve">I note further and in particular that the definition of criminal conduct in the POCA is that as defined in section 3 of the Anti-Money Laundering Act. The latter was amended in 2017 to redefine criminal conduct and to exclude from its definition </w:t>
      </w:r>
      <w:r w:rsidR="00645363">
        <w:t>“</w:t>
      </w:r>
      <w:r>
        <w:t>an act or omission against any law of another country</w:t>
      </w:r>
      <w:r w:rsidR="00645363">
        <w:t>”</w:t>
      </w:r>
      <w:r>
        <w:t xml:space="preserve">; by the deletion of the standard or proof applicable to decide whether property is the benefit of criminal conduct; </w:t>
      </w:r>
      <w:r w:rsidR="00645363">
        <w:t xml:space="preserve">and </w:t>
      </w:r>
      <w:r>
        <w:t>by the exclusion of tax evasion, tax non-compliance, or other tax related offences “except if a request has been received by the Central Authority” in relation to the Mutual Assistance Act.</w:t>
      </w:r>
    </w:p>
    <w:p w14:paraId="5C1BDC8F" w14:textId="4B47F537" w:rsidR="000D11C4" w:rsidRDefault="00F03954" w:rsidP="003637D5">
      <w:pPr>
        <w:pStyle w:val="JudgmentText"/>
      </w:pPr>
      <w:r>
        <w:t>In this context</w:t>
      </w:r>
      <w:r w:rsidR="00025727">
        <w:t>,</w:t>
      </w:r>
      <w:r>
        <w:t xml:space="preserve"> I note that n</w:t>
      </w:r>
      <w:r w:rsidR="00E269E6">
        <w:t xml:space="preserve">o evidence of assistance from the UK or other authorities was adduced by the Applicant in this case. </w:t>
      </w:r>
      <w:r>
        <w:t xml:space="preserve">I also note that the provisions of POCA were amended on 3 July 2017 </w:t>
      </w:r>
      <w:r w:rsidR="0046168A">
        <w:t>(POCA Amendment Act 2017, Act 10 of 2017) to add a new section 26 to permit actions commenced before the amendment to proceed under the provisions of POCA 2008</w:t>
      </w:r>
    </w:p>
    <w:p w14:paraId="264F8D73" w14:textId="6BB25B6A" w:rsidR="00645363" w:rsidRDefault="0046168A" w:rsidP="003637D5">
      <w:pPr>
        <w:pStyle w:val="JudgmentText"/>
      </w:pPr>
      <w:r>
        <w:t>I wish to point out however, that the recent amendments</w:t>
      </w:r>
      <w:r w:rsidR="00645363">
        <w:t xml:space="preserve"> </w:t>
      </w:r>
      <w:r>
        <w:t xml:space="preserve">to both AMLA and POCA </w:t>
      </w:r>
      <w:r w:rsidR="00645363">
        <w:t>create an internal</w:t>
      </w:r>
      <w:r w:rsidR="00054C3A">
        <w:t xml:space="preserve"> and unworkable</w:t>
      </w:r>
      <w:r w:rsidR="00645363">
        <w:t xml:space="preserve"> </w:t>
      </w:r>
      <w:r w:rsidR="00054C3A">
        <w:t xml:space="preserve">contradictory </w:t>
      </w:r>
      <w:r w:rsidR="00645363">
        <w:t>regime within the anti</w:t>
      </w:r>
      <w:r w:rsidR="00054C3A">
        <w:t>-</w:t>
      </w:r>
      <w:r w:rsidR="00645363">
        <w:t xml:space="preserve">money laundering </w:t>
      </w:r>
      <w:r w:rsidR="00054C3A">
        <w:t xml:space="preserve">legislation. The fact that the standard of proof is now uncertain does not guide the Court in any way in coming to a conclusion on whether certain activities amount to money laundering.  </w:t>
      </w:r>
    </w:p>
    <w:p w14:paraId="7C21E878" w14:textId="77777777" w:rsidR="00AC6057" w:rsidRPr="00AC6057" w:rsidRDefault="00AC6057" w:rsidP="00AC6057">
      <w:pPr>
        <w:pStyle w:val="JudgmentText"/>
        <w:numPr>
          <w:ilvl w:val="0"/>
          <w:numId w:val="0"/>
        </w:numPr>
        <w:rPr>
          <w:b/>
        </w:rPr>
      </w:pPr>
      <w:r w:rsidRPr="00AC6057">
        <w:rPr>
          <w:b/>
        </w:rPr>
        <w:t>Decision</w:t>
      </w:r>
    </w:p>
    <w:p w14:paraId="34DAFBC0" w14:textId="6A2A03B4" w:rsidR="004544C7" w:rsidRDefault="00A0757C" w:rsidP="004544C7">
      <w:pPr>
        <w:pStyle w:val="JudgmentText"/>
      </w:pPr>
      <w:r>
        <w:t xml:space="preserve">There </w:t>
      </w:r>
      <w:r w:rsidR="000F3360">
        <w:t>are many unexplained contradictions in the Respondent’s evidence. The F</w:t>
      </w:r>
      <w:r w:rsidR="004544C7">
        <w:t>irst</w:t>
      </w:r>
      <w:r w:rsidR="000F3360">
        <w:t xml:space="preserve"> Respondent has clearly stated that it “moved the </w:t>
      </w:r>
      <w:proofErr w:type="spellStart"/>
      <w:r w:rsidR="000F3360" w:rsidRPr="000F3360">
        <w:t>Contactlenses</w:t>
      </w:r>
      <w:proofErr w:type="spellEnd"/>
      <w:r w:rsidR="000F3360" w:rsidRPr="000F3360">
        <w:t xml:space="preserve"> business to Seychelles</w:t>
      </w:r>
      <w:r w:rsidR="000F3360">
        <w:t xml:space="preserve">” and that its </w:t>
      </w:r>
      <w:r w:rsidR="000F3360" w:rsidRPr="000F3360">
        <w:t xml:space="preserve">principal place of business, management and permanent establishment is in </w:t>
      </w:r>
      <w:r w:rsidR="000F3360" w:rsidRPr="000F3360">
        <w:lastRenderedPageBreak/>
        <w:t>Seychelles solely</w:t>
      </w:r>
      <w:r w:rsidR="000F3360">
        <w:t>. Yet</w:t>
      </w:r>
      <w:r w:rsidR="00F609E6">
        <w:t>,</w:t>
      </w:r>
      <w:r w:rsidR="000F3360">
        <w:t xml:space="preserve"> no</w:t>
      </w:r>
      <w:r>
        <w:t xml:space="preserve"> evidence </w:t>
      </w:r>
      <w:r w:rsidR="000F3360">
        <w:t xml:space="preserve">of these alleged facts were </w:t>
      </w:r>
      <w:r>
        <w:t>brought by the Respondent</w:t>
      </w:r>
      <w:r w:rsidR="000F3360">
        <w:t>s. In contradiction</w:t>
      </w:r>
      <w:r w:rsidR="00054C3A">
        <w:t xml:space="preserve"> to this averment</w:t>
      </w:r>
      <w:r w:rsidR="000F3360">
        <w:t xml:space="preserve">, the Second Respondent also states that it does not carry out business in Seychelles but rather </w:t>
      </w:r>
      <w:r w:rsidR="004544C7" w:rsidRPr="004544C7">
        <w:t>“carries on business outside Seychelles from Seychelles</w:t>
      </w:r>
      <w:r w:rsidR="004544C7">
        <w:t xml:space="preserve">”. </w:t>
      </w:r>
    </w:p>
    <w:p w14:paraId="0706C9EB" w14:textId="06D24601" w:rsidR="00A0757C" w:rsidRDefault="00FC06CA" w:rsidP="004544C7">
      <w:pPr>
        <w:pStyle w:val="JudgmentText"/>
      </w:pPr>
      <w:r>
        <w:t>It is</w:t>
      </w:r>
      <w:r w:rsidR="004544C7">
        <w:t xml:space="preserve"> clear to the Court from these averments that the First Respondent </w:t>
      </w:r>
      <w:r>
        <w:t>is</w:t>
      </w:r>
      <w:r w:rsidR="004544C7">
        <w:t xml:space="preserve"> involved in a business over the internet provid</w:t>
      </w:r>
      <w:r>
        <w:t>ing</w:t>
      </w:r>
      <w:r w:rsidR="004544C7">
        <w:t xml:space="preserve"> contact lens products to its clients </w:t>
      </w:r>
      <w:r w:rsidR="00F017A9">
        <w:t>and</w:t>
      </w:r>
      <w:r w:rsidR="004544C7">
        <w:t xml:space="preserve"> its explanation of how it carries on such business is not convincing. Phone calls and e-mails to and from </w:t>
      </w:r>
      <w:r>
        <w:t xml:space="preserve">suppliers and </w:t>
      </w:r>
      <w:r w:rsidR="004544C7">
        <w:t xml:space="preserve">warehouses have physical sites and they must be </w:t>
      </w:r>
      <w:r>
        <w:t xml:space="preserve">found </w:t>
      </w:r>
      <w:r w:rsidR="004544C7">
        <w:t xml:space="preserve">in some jurisdiction. </w:t>
      </w:r>
      <w:r w:rsidR="00054C3A">
        <w:t xml:space="preserve">The First Respondent is carrying on business somewhere but not in Seychelles. Those aiding and abetting it are also clearly part of these activities.  </w:t>
      </w:r>
    </w:p>
    <w:p w14:paraId="6EF6E07E" w14:textId="4B02F7C8" w:rsidR="00282CCE" w:rsidRDefault="00FC06CA" w:rsidP="00F017A9">
      <w:pPr>
        <w:pStyle w:val="JudgmentText"/>
      </w:pPr>
      <w:r>
        <w:t>However, i</w:t>
      </w:r>
      <w:r w:rsidR="00282CCE">
        <w:t xml:space="preserve">n order for this </w:t>
      </w:r>
      <w:r w:rsidR="00AC6057">
        <w:t>court</w:t>
      </w:r>
      <w:r w:rsidR="00282CCE">
        <w:t xml:space="preserve"> to issue a </w:t>
      </w:r>
      <w:r w:rsidR="00AC6057">
        <w:t>section</w:t>
      </w:r>
      <w:r w:rsidR="00282CCE">
        <w:t xml:space="preserve"> 4 POCA order it must be satisfied </w:t>
      </w:r>
      <w:r w:rsidR="00934340">
        <w:t xml:space="preserve">on prima facie evidence (or </w:t>
      </w:r>
      <w:r w:rsidR="00282CCE">
        <w:t xml:space="preserve">reasonable </w:t>
      </w:r>
      <w:r w:rsidR="00AC6057">
        <w:t>belief</w:t>
      </w:r>
      <w:r w:rsidR="00282CCE">
        <w:t xml:space="preserve"> </w:t>
      </w:r>
      <w:r w:rsidR="00934340">
        <w:t xml:space="preserve">evidence) that the properties in question constitute directly or indirectly the proceeds of crime. </w:t>
      </w:r>
      <w:r w:rsidR="00F017A9">
        <w:t>Although such belief evi</w:t>
      </w:r>
      <w:r w:rsidR="00CE3D26">
        <w:t>den</w:t>
      </w:r>
      <w:r w:rsidR="00F017A9">
        <w:t>ce is satisfactory, the Respondents have succeeded</w:t>
      </w:r>
      <w:r w:rsidR="00E26604">
        <w:t xml:space="preserve"> to prove,</w:t>
      </w:r>
      <w:r w:rsidR="00F017A9">
        <w:t xml:space="preserve"> supported </w:t>
      </w:r>
      <w:r w:rsidR="00CE3D26">
        <w:t xml:space="preserve">by </w:t>
      </w:r>
      <w:r w:rsidR="00F017A9">
        <w:t xml:space="preserve">the evidence </w:t>
      </w:r>
      <w:r w:rsidR="00CE3D26">
        <w:t>of</w:t>
      </w:r>
      <w:r w:rsidR="00F017A9">
        <w:t xml:space="preserve"> the FSA and the Revenue Commissioner</w:t>
      </w:r>
      <w:r w:rsidR="00E26604">
        <w:t>,</w:t>
      </w:r>
      <w:r w:rsidR="00F017A9">
        <w:t xml:space="preserve"> </w:t>
      </w:r>
      <w:r w:rsidR="00CE3D26">
        <w:t xml:space="preserve">that the specified property is not the benefit of criminal conduct. </w:t>
      </w:r>
    </w:p>
    <w:p w14:paraId="3ED10F85" w14:textId="556BF3BB" w:rsidR="00395E25" w:rsidRDefault="00CE3D26" w:rsidP="003637D5">
      <w:pPr>
        <w:pStyle w:val="JudgmentText"/>
      </w:pPr>
      <w:r>
        <w:t>Both the FSA and the Revenue Commission have</w:t>
      </w:r>
      <w:r w:rsidR="00FC06CA">
        <w:t xml:space="preserve"> stated in evidence that the First Respondent is availing of a tax loophole and avoiding</w:t>
      </w:r>
      <w:r>
        <w:t xml:space="preserve"> (not evading) </w:t>
      </w:r>
      <w:r w:rsidR="00FC06CA">
        <w:t xml:space="preserve">the payment of tax in Seychelles and possibly elsewhere. </w:t>
      </w:r>
      <w:r w:rsidR="00E269E6">
        <w:t>Given the circumstances of the case</w:t>
      </w:r>
      <w:r w:rsidR="00054C3A">
        <w:t>,</w:t>
      </w:r>
      <w:r w:rsidR="00E269E6">
        <w:t xml:space="preserve"> </w:t>
      </w:r>
      <w:r w:rsidR="00FC06CA">
        <w:t xml:space="preserve">together with </w:t>
      </w:r>
      <w:r w:rsidR="00E269E6">
        <w:t xml:space="preserve">the </w:t>
      </w:r>
      <w:r w:rsidR="0046168A">
        <w:t xml:space="preserve">lack of evidence as to the tax fraud or evasion committed elsewhere and the evidence of the experts that the Respondents were engaging in regulatory arbitrage, I cannot find that the properties in question constitute proceeds of crime. </w:t>
      </w:r>
    </w:p>
    <w:p w14:paraId="7D25E334" w14:textId="6901DC10" w:rsidR="00CE3D26" w:rsidRDefault="0046168A" w:rsidP="00827515">
      <w:pPr>
        <w:pStyle w:val="JudgmentText"/>
      </w:pPr>
      <w:r>
        <w:t>Further</w:t>
      </w:r>
      <w:r w:rsidR="00F017A9">
        <w:t xml:space="preserve">, </w:t>
      </w:r>
      <w:r w:rsidR="00CE3D26">
        <w:t>even if</w:t>
      </w:r>
      <w:r>
        <w:t xml:space="preserve"> the Respondents </w:t>
      </w:r>
      <w:r w:rsidR="00CE3D26">
        <w:t>were to have</w:t>
      </w:r>
      <w:r>
        <w:t xml:space="preserve"> contravened tax provisions in other jurisdictions, were this case to be brought under the new anti-money laundering provisions</w:t>
      </w:r>
      <w:r w:rsidR="00CE3D26">
        <w:t>,</w:t>
      </w:r>
      <w:r>
        <w:t xml:space="preserve"> </w:t>
      </w:r>
      <w:r w:rsidR="00A0757C">
        <w:t xml:space="preserve">evidence </w:t>
      </w:r>
      <w:r w:rsidR="00F017A9">
        <w:t xml:space="preserve">would </w:t>
      </w:r>
      <w:r w:rsidR="00CE3D26">
        <w:t>have had</w:t>
      </w:r>
      <w:r w:rsidR="00F017A9">
        <w:t xml:space="preserve"> to be adduced</w:t>
      </w:r>
      <w:r w:rsidR="009B3873">
        <w:t xml:space="preserve"> as con</w:t>
      </w:r>
      <w:r w:rsidR="00A0757C">
        <w:t>c</w:t>
      </w:r>
      <w:r w:rsidR="009B3873">
        <w:t xml:space="preserve">erns </w:t>
      </w:r>
      <w:r w:rsidR="00A0757C">
        <w:t>the necessary mutual assistance sought in this respect.</w:t>
      </w:r>
      <w:r w:rsidR="00FC06CA">
        <w:t xml:space="preserve"> </w:t>
      </w:r>
    </w:p>
    <w:p w14:paraId="522082B2" w14:textId="51038813" w:rsidR="00A0757C" w:rsidRDefault="00F017A9" w:rsidP="00827515">
      <w:pPr>
        <w:pStyle w:val="JudgmentText"/>
      </w:pPr>
      <w:r>
        <w:lastRenderedPageBreak/>
        <w:t>In the narrow set of circumstances, the evidence before me, and the applicable law</w:t>
      </w:r>
      <w:r w:rsidR="00D528C8">
        <w:t>,</w:t>
      </w:r>
      <w:r>
        <w:t xml:space="preserve"> I cannot make</w:t>
      </w:r>
      <w:r w:rsidR="00FC06CA">
        <w:t xml:space="preserve"> a finding that such tax </w:t>
      </w:r>
      <w:r w:rsidR="00CE3D26">
        <w:t>avoidance</w:t>
      </w:r>
      <w:r w:rsidR="00FC06CA">
        <w:t xml:space="preserve"> amounts to criminal conduct</w:t>
      </w:r>
      <w:r>
        <w:t>.</w:t>
      </w:r>
      <w:r w:rsidR="00FC06CA">
        <w:t xml:space="preserve"> </w:t>
      </w:r>
      <w:r w:rsidR="00A0757C">
        <w:t>I</w:t>
      </w:r>
      <w:r w:rsidR="00FC06CA">
        <w:t xml:space="preserve">n the circumstances, I </w:t>
      </w:r>
      <w:r w:rsidR="00A0757C">
        <w:t xml:space="preserve">therefore refuse the </w:t>
      </w:r>
      <w:r w:rsidR="00FC06CA">
        <w:t xml:space="preserve">orders </w:t>
      </w:r>
      <w:r w:rsidR="00A0757C">
        <w:t>sought and dismiss the application.</w:t>
      </w:r>
    </w:p>
    <w:p w14:paraId="1172B3F4" w14:textId="09F3857E" w:rsidR="00054C3A" w:rsidRDefault="00054C3A" w:rsidP="003637D5">
      <w:pPr>
        <w:pStyle w:val="JudgmentText"/>
      </w:pPr>
      <w:r>
        <w:t xml:space="preserve">A copy of this judgement is to be served on the Revenue Commission and the Attorney General to address the </w:t>
      </w:r>
      <w:r w:rsidR="00CE3D26">
        <w:t xml:space="preserve">tax </w:t>
      </w:r>
      <w:r>
        <w:t xml:space="preserve">issues raised in this case. </w:t>
      </w:r>
    </w:p>
    <w:p w14:paraId="1987CDEC" w14:textId="77777777" w:rsidR="00CE3D26" w:rsidRDefault="00CE3D26" w:rsidP="00CE3D26">
      <w:pPr>
        <w:pStyle w:val="JudgmentText"/>
        <w:numPr>
          <w:ilvl w:val="0"/>
          <w:numId w:val="0"/>
        </w:numPr>
        <w:ind w:left="720" w:hanging="720"/>
      </w:pPr>
    </w:p>
    <w:p w14:paraId="152B04FD" w14:textId="77287225"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FC06CA">
        <w:rPr>
          <w:sz w:val="24"/>
          <w:szCs w:val="24"/>
        </w:rPr>
        <w:t>19 June</w:t>
      </w:r>
      <w:r w:rsidR="00596DFF">
        <w:rPr>
          <w:sz w:val="24"/>
          <w:szCs w:val="24"/>
        </w:rPr>
        <w:t xml:space="preserve"> 201</w:t>
      </w:r>
      <w:r w:rsidR="00D528C8">
        <w:rPr>
          <w:sz w:val="24"/>
          <w:szCs w:val="24"/>
        </w:rPr>
        <w:t>8</w:t>
      </w:r>
      <w:r w:rsidR="00596DFF">
        <w:rPr>
          <w:sz w:val="24"/>
          <w:szCs w:val="24"/>
        </w:rPr>
        <w:t>.</w:t>
      </w:r>
    </w:p>
    <w:p w14:paraId="2E6B100A" w14:textId="77777777" w:rsidR="005C5493" w:rsidRDefault="005C5493" w:rsidP="0006489F">
      <w:pPr>
        <w:pStyle w:val="ListParagraph"/>
        <w:widowControl/>
        <w:autoSpaceDE/>
        <w:autoSpaceDN/>
        <w:adjustRightInd/>
        <w:spacing w:line="360" w:lineRule="auto"/>
        <w:ind w:left="0"/>
        <w:contextualSpacing w:val="0"/>
        <w:jc w:val="both"/>
        <w:rPr>
          <w:sz w:val="24"/>
          <w:szCs w:val="24"/>
        </w:rPr>
      </w:pPr>
    </w:p>
    <w:p w14:paraId="2045561A" w14:textId="77777777" w:rsidR="00F017A9" w:rsidRDefault="00F017A9" w:rsidP="0006489F">
      <w:pPr>
        <w:pStyle w:val="ListParagraph"/>
        <w:widowControl/>
        <w:autoSpaceDE/>
        <w:autoSpaceDN/>
        <w:adjustRightInd/>
        <w:spacing w:line="360" w:lineRule="auto"/>
        <w:ind w:left="0"/>
        <w:contextualSpacing w:val="0"/>
        <w:jc w:val="both"/>
        <w:rPr>
          <w:sz w:val="24"/>
          <w:szCs w:val="24"/>
        </w:rPr>
      </w:pPr>
    </w:p>
    <w:p w14:paraId="1F04F0ED" w14:textId="77777777" w:rsidR="00F017A9" w:rsidRDefault="00F017A9" w:rsidP="0006489F">
      <w:pPr>
        <w:pStyle w:val="ListParagraph"/>
        <w:widowControl/>
        <w:autoSpaceDE/>
        <w:autoSpaceDN/>
        <w:adjustRightInd/>
        <w:spacing w:line="360" w:lineRule="auto"/>
        <w:ind w:left="0"/>
        <w:contextualSpacing w:val="0"/>
        <w:jc w:val="both"/>
        <w:rPr>
          <w:sz w:val="24"/>
          <w:szCs w:val="24"/>
        </w:rPr>
      </w:pPr>
    </w:p>
    <w:p w14:paraId="1B9B6C09" w14:textId="77777777" w:rsidR="00F017A9" w:rsidRDefault="00F017A9" w:rsidP="0006489F">
      <w:pPr>
        <w:pStyle w:val="ListParagraph"/>
        <w:widowControl/>
        <w:autoSpaceDE/>
        <w:autoSpaceDN/>
        <w:adjustRightInd/>
        <w:spacing w:line="360" w:lineRule="auto"/>
        <w:ind w:left="0"/>
        <w:contextualSpacing w:val="0"/>
        <w:jc w:val="both"/>
        <w:rPr>
          <w:sz w:val="24"/>
          <w:szCs w:val="24"/>
        </w:rPr>
      </w:pPr>
    </w:p>
    <w:p w14:paraId="484D3108" w14:textId="77777777" w:rsidR="00E33F35"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p w14:paraId="348C4C61" w14:textId="77777777" w:rsidR="00F017A9" w:rsidRPr="000D19C0" w:rsidRDefault="00F017A9" w:rsidP="0006489F">
      <w:pPr>
        <w:pStyle w:val="ListParagraph"/>
        <w:widowControl/>
        <w:autoSpaceDE/>
        <w:autoSpaceDN/>
        <w:adjustRightInd/>
        <w:ind w:left="0"/>
        <w:contextualSpacing w:val="0"/>
        <w:jc w:val="both"/>
        <w:rPr>
          <w:b/>
          <w:sz w:val="24"/>
          <w:szCs w:val="24"/>
        </w:rPr>
      </w:pPr>
    </w:p>
    <w:bookmarkStart w:id="9" w:name="Dropdown7"/>
    <w:p w14:paraId="545ECD15" w14:textId="77777777" w:rsidR="009E05E5" w:rsidRPr="00E33F35" w:rsidRDefault="001E0BA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FD2772">
        <w:rPr>
          <w:b/>
          <w:sz w:val="24"/>
          <w:szCs w:val="24"/>
        </w:rPr>
      </w:r>
      <w:r w:rsidR="00FD2772">
        <w:rPr>
          <w:b/>
          <w:sz w:val="24"/>
          <w:szCs w:val="24"/>
        </w:rPr>
        <w:fldChar w:fldCharType="separate"/>
      </w:r>
      <w:r>
        <w:rPr>
          <w:b/>
          <w:sz w:val="24"/>
          <w:szCs w:val="24"/>
        </w:rPr>
        <w:fldChar w:fldCharType="end"/>
      </w:r>
      <w:bookmarkEnd w:id="9"/>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14874" w14:textId="77777777" w:rsidR="00FD2772" w:rsidRDefault="00FD2772" w:rsidP="00DB6D34">
      <w:r>
        <w:separator/>
      </w:r>
    </w:p>
  </w:endnote>
  <w:endnote w:type="continuationSeparator" w:id="0">
    <w:p w14:paraId="23E2E345" w14:textId="77777777" w:rsidR="00FD2772" w:rsidRDefault="00FD2772"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95592" w14:textId="77777777" w:rsidR="00E56B69" w:rsidRDefault="00E56B69">
    <w:pPr>
      <w:pStyle w:val="Footer"/>
      <w:jc w:val="center"/>
    </w:pPr>
    <w:r>
      <w:fldChar w:fldCharType="begin"/>
    </w:r>
    <w:r>
      <w:instrText xml:space="preserve"> PAGE   \* MERGEFORMAT </w:instrText>
    </w:r>
    <w:r>
      <w:fldChar w:fldCharType="separate"/>
    </w:r>
    <w:r w:rsidR="00F41CA0">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CB2F2" w14:textId="77777777" w:rsidR="00FD2772" w:rsidRDefault="00FD2772" w:rsidP="00DB6D34">
      <w:r>
        <w:separator/>
      </w:r>
    </w:p>
  </w:footnote>
  <w:footnote w:type="continuationSeparator" w:id="0">
    <w:p w14:paraId="42B6CCC7" w14:textId="77777777" w:rsidR="00FD2772" w:rsidRDefault="00FD2772"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78D3E7F"/>
    <w:multiLevelType w:val="multilevel"/>
    <w:tmpl w:val="82989228"/>
    <w:lvl w:ilvl="0">
      <w:start w:val="1"/>
      <w:numFmt w:val="decimal"/>
      <w:lvlText w:val="[%1]"/>
      <w:lvlJc w:val="left"/>
      <w:pPr>
        <w:ind w:left="720" w:hanging="720"/>
      </w:pPr>
      <w:rPr>
        <w:rFonts w:ascii="Times New Roman" w:hAnsi="Times New Roman" w:hint="default"/>
        <w:sz w:val="24"/>
      </w:rPr>
    </w:lvl>
    <w:lvl w:ilvl="1">
      <w:start w:val="1"/>
      <w:numFmt w:val="decimal"/>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nsid w:val="206A4996"/>
    <w:multiLevelType w:val="hybridMultilevel"/>
    <w:tmpl w:val="82462B7A"/>
    <w:lvl w:ilvl="0" w:tplc="7386725E">
      <w:start w:val="1"/>
      <w:numFmt w:val="decimal"/>
      <w:lvlText w:val="%1."/>
      <w:lvlJc w:val="left"/>
      <w:pPr>
        <w:ind w:left="351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4854B5"/>
    <w:multiLevelType w:val="hybridMultilevel"/>
    <w:tmpl w:val="CBD8D7E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nsid w:val="307542D2"/>
    <w:multiLevelType w:val="multilevel"/>
    <w:tmpl w:val="C8202F82"/>
    <w:lvl w:ilvl="0">
      <w:start w:val="1"/>
      <w:numFmt w:val="decimal"/>
      <w:pStyle w:val="JudgmentText"/>
      <w:lvlText w:val="[%1]"/>
      <w:lvlJc w:val="left"/>
      <w:pPr>
        <w:ind w:left="720" w:hanging="720"/>
      </w:pPr>
      <w:rPr>
        <w:rFonts w:ascii="Times New Roman" w:hAnsi="Times New Roman" w:hint="default"/>
        <w:i w:val="0"/>
        <w:sz w:val="24"/>
      </w:rPr>
    </w:lvl>
    <w:lvl w:ilvl="1">
      <w:start w:val="1"/>
      <w:numFmt w:val="lowerLetter"/>
      <w:lvlText w:val="%2."/>
      <w:lvlJc w:val="left"/>
      <w:pPr>
        <w:ind w:left="1440" w:hanging="72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1513DF1"/>
    <w:multiLevelType w:val="multilevel"/>
    <w:tmpl w:val="1CC89892"/>
    <w:styleLink w:val="Judgments"/>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8E438C"/>
    <w:multiLevelType w:val="hybridMultilevel"/>
    <w:tmpl w:val="0CC2B6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2F54844"/>
    <w:multiLevelType w:val="multilevel"/>
    <w:tmpl w:val="14D8F77A"/>
    <w:lvl w:ilvl="0">
      <w:start w:val="1"/>
      <w:numFmt w:val="decimal"/>
      <w:lvlText w:val="[%1]"/>
      <w:lvlJc w:val="left"/>
      <w:pPr>
        <w:ind w:left="720" w:hanging="720"/>
      </w:pPr>
      <w:rPr>
        <w:rFonts w:ascii="Times New Roman" w:hAnsi="Times New Roman" w:hint="default"/>
        <w:sz w:val="24"/>
      </w:rPr>
    </w:lvl>
    <w:lvl w:ilvl="1">
      <w:start w:val="1"/>
      <w:numFmt w:val="decimal"/>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nsid w:val="55E74820"/>
    <w:multiLevelType w:val="multilevel"/>
    <w:tmpl w:val="1CC89892"/>
    <w:numStyleLink w:val="Judgments"/>
  </w:abstractNum>
  <w:abstractNum w:abstractNumId="10">
    <w:nsid w:val="5B761702"/>
    <w:multiLevelType w:val="hybridMultilevel"/>
    <w:tmpl w:val="C8C855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846981"/>
    <w:multiLevelType w:val="multilevel"/>
    <w:tmpl w:val="7F50A6C4"/>
    <w:lvl w:ilvl="0">
      <w:start w:val="1"/>
      <w:numFmt w:val="decimal"/>
      <w:lvlText w:val="[%1]"/>
      <w:lvlJc w:val="left"/>
      <w:pPr>
        <w:ind w:left="720" w:hanging="720"/>
      </w:pPr>
      <w:rPr>
        <w:rFonts w:ascii="Times New Roman" w:hAnsi="Times New Roman" w:hint="default"/>
        <w:sz w:val="24"/>
      </w:rPr>
    </w:lvl>
    <w:lvl w:ilvl="1">
      <w:start w:val="1"/>
      <w:numFmt w:val="decimal"/>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6"/>
  </w:num>
  <w:num w:numId="2">
    <w:abstractNumId w:val="11"/>
  </w:num>
  <w:num w:numId="3">
    <w:abstractNumId w:val="0"/>
  </w:num>
  <w:num w:numId="4">
    <w:abstractNumId w:val="5"/>
  </w:num>
  <w:num w:numId="5">
    <w:abstractNumId w:val="9"/>
  </w:num>
  <w:num w:numId="6">
    <w:abstractNumId w:val="4"/>
  </w:num>
  <w:num w:numId="7">
    <w:abstractNumId w:val="2"/>
  </w:num>
  <w:num w:numId="8">
    <w:abstractNumId w:val="1"/>
  </w:num>
  <w:num w:numId="9">
    <w:abstractNumId w:val="12"/>
  </w:num>
  <w:num w:numId="10">
    <w:abstractNumId w:val="8"/>
  </w:num>
  <w:num w:numId="11">
    <w:abstractNumId w:val="4"/>
    <w:lvlOverride w:ilvl="0">
      <w:lvl w:ilvl="0">
        <w:start w:val="1"/>
        <w:numFmt w:val="decimal"/>
        <w:pStyle w:val="JudgmentText"/>
        <w:lvlText w:val="[%1]"/>
        <w:lvlJc w:val="left"/>
        <w:pPr>
          <w:ind w:left="16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2">
    <w:abstractNumId w:val="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C0"/>
    <w:rsid w:val="00005BEF"/>
    <w:rsid w:val="00025727"/>
    <w:rsid w:val="00030C81"/>
    <w:rsid w:val="000514E3"/>
    <w:rsid w:val="00054C3A"/>
    <w:rsid w:val="0006489F"/>
    <w:rsid w:val="00066C7C"/>
    <w:rsid w:val="00067B0A"/>
    <w:rsid w:val="00071083"/>
    <w:rsid w:val="00075016"/>
    <w:rsid w:val="00075573"/>
    <w:rsid w:val="00082AAF"/>
    <w:rsid w:val="000903CA"/>
    <w:rsid w:val="00091036"/>
    <w:rsid w:val="00093512"/>
    <w:rsid w:val="00094849"/>
    <w:rsid w:val="000A10B8"/>
    <w:rsid w:val="000A5A0F"/>
    <w:rsid w:val="000A6E50"/>
    <w:rsid w:val="000D11C4"/>
    <w:rsid w:val="000D19C0"/>
    <w:rsid w:val="000D1DD3"/>
    <w:rsid w:val="000E0EDE"/>
    <w:rsid w:val="000E39A5"/>
    <w:rsid w:val="000E7400"/>
    <w:rsid w:val="000F3360"/>
    <w:rsid w:val="001008BC"/>
    <w:rsid w:val="00101D12"/>
    <w:rsid w:val="00104284"/>
    <w:rsid w:val="00117CBF"/>
    <w:rsid w:val="00120484"/>
    <w:rsid w:val="00126A10"/>
    <w:rsid w:val="001376AB"/>
    <w:rsid w:val="00137B2F"/>
    <w:rsid w:val="001439BF"/>
    <w:rsid w:val="00144612"/>
    <w:rsid w:val="001529B0"/>
    <w:rsid w:val="001575DE"/>
    <w:rsid w:val="0016510C"/>
    <w:rsid w:val="0017078D"/>
    <w:rsid w:val="00180158"/>
    <w:rsid w:val="001961E9"/>
    <w:rsid w:val="00196529"/>
    <w:rsid w:val="001A6258"/>
    <w:rsid w:val="001B044A"/>
    <w:rsid w:val="001B2993"/>
    <w:rsid w:val="001C4BF2"/>
    <w:rsid w:val="001D30F7"/>
    <w:rsid w:val="001E0BA2"/>
    <w:rsid w:val="001E4ED8"/>
    <w:rsid w:val="002019D0"/>
    <w:rsid w:val="0020244B"/>
    <w:rsid w:val="00202538"/>
    <w:rsid w:val="00203907"/>
    <w:rsid w:val="002137DE"/>
    <w:rsid w:val="0022561B"/>
    <w:rsid w:val="00231C17"/>
    <w:rsid w:val="002328AD"/>
    <w:rsid w:val="00236AAC"/>
    <w:rsid w:val="00242DF4"/>
    <w:rsid w:val="0024353F"/>
    <w:rsid w:val="002474D4"/>
    <w:rsid w:val="002651FD"/>
    <w:rsid w:val="00265DE9"/>
    <w:rsid w:val="0027727D"/>
    <w:rsid w:val="00282CCE"/>
    <w:rsid w:val="002858CE"/>
    <w:rsid w:val="00290E14"/>
    <w:rsid w:val="002A51A3"/>
    <w:rsid w:val="002A6A0D"/>
    <w:rsid w:val="002A7376"/>
    <w:rsid w:val="002B04CC"/>
    <w:rsid w:val="002B2255"/>
    <w:rsid w:val="002B4478"/>
    <w:rsid w:val="002B5803"/>
    <w:rsid w:val="002C43D5"/>
    <w:rsid w:val="002C7560"/>
    <w:rsid w:val="002D06AA"/>
    <w:rsid w:val="002D3C35"/>
    <w:rsid w:val="002D67FC"/>
    <w:rsid w:val="002E6963"/>
    <w:rsid w:val="002F1F2A"/>
    <w:rsid w:val="002F40A1"/>
    <w:rsid w:val="002F4A1B"/>
    <w:rsid w:val="00301D88"/>
    <w:rsid w:val="00302CBE"/>
    <w:rsid w:val="00304E76"/>
    <w:rsid w:val="0031329C"/>
    <w:rsid w:val="00325BCD"/>
    <w:rsid w:val="00334DFE"/>
    <w:rsid w:val="00343BCD"/>
    <w:rsid w:val="003514A7"/>
    <w:rsid w:val="00355D44"/>
    <w:rsid w:val="003647E7"/>
    <w:rsid w:val="003651F4"/>
    <w:rsid w:val="003708E2"/>
    <w:rsid w:val="0037270D"/>
    <w:rsid w:val="00377341"/>
    <w:rsid w:val="00381D36"/>
    <w:rsid w:val="003820A5"/>
    <w:rsid w:val="003838CC"/>
    <w:rsid w:val="003862CB"/>
    <w:rsid w:val="0038700C"/>
    <w:rsid w:val="00391B1D"/>
    <w:rsid w:val="00395E25"/>
    <w:rsid w:val="003A7D0D"/>
    <w:rsid w:val="003B461C"/>
    <w:rsid w:val="003B4C19"/>
    <w:rsid w:val="003D58AA"/>
    <w:rsid w:val="003D7B97"/>
    <w:rsid w:val="003E0C4B"/>
    <w:rsid w:val="003E2ABC"/>
    <w:rsid w:val="003F021F"/>
    <w:rsid w:val="003F0F8D"/>
    <w:rsid w:val="003F15D0"/>
    <w:rsid w:val="0040348D"/>
    <w:rsid w:val="004156B9"/>
    <w:rsid w:val="004209FC"/>
    <w:rsid w:val="0042653A"/>
    <w:rsid w:val="00440D4F"/>
    <w:rsid w:val="00443493"/>
    <w:rsid w:val="00445BFA"/>
    <w:rsid w:val="004467EC"/>
    <w:rsid w:val="00452BB6"/>
    <w:rsid w:val="00453A09"/>
    <w:rsid w:val="004544C7"/>
    <w:rsid w:val="004547B2"/>
    <w:rsid w:val="00456CAA"/>
    <w:rsid w:val="0046133B"/>
    <w:rsid w:val="0046168A"/>
    <w:rsid w:val="004855F5"/>
    <w:rsid w:val="004A00A5"/>
    <w:rsid w:val="004A71D5"/>
    <w:rsid w:val="004C3D80"/>
    <w:rsid w:val="004C4457"/>
    <w:rsid w:val="004E373A"/>
    <w:rsid w:val="004E3F7A"/>
    <w:rsid w:val="004F3823"/>
    <w:rsid w:val="005144DB"/>
    <w:rsid w:val="005207C8"/>
    <w:rsid w:val="00524E8F"/>
    <w:rsid w:val="00530663"/>
    <w:rsid w:val="00535FB5"/>
    <w:rsid w:val="00543DAA"/>
    <w:rsid w:val="0055036F"/>
    <w:rsid w:val="005514D6"/>
    <w:rsid w:val="00552704"/>
    <w:rsid w:val="00554577"/>
    <w:rsid w:val="00572AB3"/>
    <w:rsid w:val="00580531"/>
    <w:rsid w:val="005836AC"/>
    <w:rsid w:val="00584583"/>
    <w:rsid w:val="00594FAC"/>
    <w:rsid w:val="005962B2"/>
    <w:rsid w:val="00596DFF"/>
    <w:rsid w:val="005A78CC"/>
    <w:rsid w:val="005C4B68"/>
    <w:rsid w:val="005C5493"/>
    <w:rsid w:val="005C6655"/>
    <w:rsid w:val="005E74A0"/>
    <w:rsid w:val="005F2B83"/>
    <w:rsid w:val="005F53DE"/>
    <w:rsid w:val="005F5FB0"/>
    <w:rsid w:val="005F68E8"/>
    <w:rsid w:val="00606587"/>
    <w:rsid w:val="00606EEA"/>
    <w:rsid w:val="006174DB"/>
    <w:rsid w:val="0064023C"/>
    <w:rsid w:val="00641290"/>
    <w:rsid w:val="00641B42"/>
    <w:rsid w:val="00642999"/>
    <w:rsid w:val="00645363"/>
    <w:rsid w:val="006502B0"/>
    <w:rsid w:val="00654CAA"/>
    <w:rsid w:val="006578C2"/>
    <w:rsid w:val="00666D33"/>
    <w:rsid w:val="00674444"/>
    <w:rsid w:val="0068598F"/>
    <w:rsid w:val="00687373"/>
    <w:rsid w:val="00695110"/>
    <w:rsid w:val="006A58E4"/>
    <w:rsid w:val="006B3837"/>
    <w:rsid w:val="006D0171"/>
    <w:rsid w:val="006D36C9"/>
    <w:rsid w:val="006D655F"/>
    <w:rsid w:val="006E2F44"/>
    <w:rsid w:val="006E35E1"/>
    <w:rsid w:val="006F1467"/>
    <w:rsid w:val="0070785D"/>
    <w:rsid w:val="007175A6"/>
    <w:rsid w:val="00744508"/>
    <w:rsid w:val="00754394"/>
    <w:rsid w:val="007728D0"/>
    <w:rsid w:val="007753E8"/>
    <w:rsid w:val="00781BBD"/>
    <w:rsid w:val="00785812"/>
    <w:rsid w:val="00792EEC"/>
    <w:rsid w:val="007A3A94"/>
    <w:rsid w:val="007A47DC"/>
    <w:rsid w:val="007B6178"/>
    <w:rsid w:val="007C2809"/>
    <w:rsid w:val="007D416E"/>
    <w:rsid w:val="007E592C"/>
    <w:rsid w:val="00807411"/>
    <w:rsid w:val="00814CF5"/>
    <w:rsid w:val="00816425"/>
    <w:rsid w:val="00821758"/>
    <w:rsid w:val="00823079"/>
    <w:rsid w:val="0082658E"/>
    <w:rsid w:val="0083298A"/>
    <w:rsid w:val="00841387"/>
    <w:rsid w:val="0084196B"/>
    <w:rsid w:val="008472B3"/>
    <w:rsid w:val="008478D6"/>
    <w:rsid w:val="00847AB2"/>
    <w:rsid w:val="00857A7F"/>
    <w:rsid w:val="00865788"/>
    <w:rsid w:val="00881540"/>
    <w:rsid w:val="00895A61"/>
    <w:rsid w:val="008A1324"/>
    <w:rsid w:val="008A5208"/>
    <w:rsid w:val="008B75CE"/>
    <w:rsid w:val="008B7D40"/>
    <w:rsid w:val="008C0FD6"/>
    <w:rsid w:val="008E1DB1"/>
    <w:rsid w:val="008E512C"/>
    <w:rsid w:val="008E7749"/>
    <w:rsid w:val="008E7F92"/>
    <w:rsid w:val="008F0C10"/>
    <w:rsid w:val="008F18AE"/>
    <w:rsid w:val="008F38F7"/>
    <w:rsid w:val="00902D3C"/>
    <w:rsid w:val="0090368C"/>
    <w:rsid w:val="009226D4"/>
    <w:rsid w:val="00926D09"/>
    <w:rsid w:val="00927982"/>
    <w:rsid w:val="009336BA"/>
    <w:rsid w:val="00934340"/>
    <w:rsid w:val="00937FB4"/>
    <w:rsid w:val="0094087C"/>
    <w:rsid w:val="00951EC0"/>
    <w:rsid w:val="00956877"/>
    <w:rsid w:val="00957FA4"/>
    <w:rsid w:val="0096041D"/>
    <w:rsid w:val="009648F7"/>
    <w:rsid w:val="00970AD2"/>
    <w:rsid w:val="00970CA0"/>
    <w:rsid w:val="00981287"/>
    <w:rsid w:val="0098129F"/>
    <w:rsid w:val="00983045"/>
    <w:rsid w:val="00985287"/>
    <w:rsid w:val="0099419A"/>
    <w:rsid w:val="009A5FB6"/>
    <w:rsid w:val="009B0A90"/>
    <w:rsid w:val="009B3873"/>
    <w:rsid w:val="009B7BBF"/>
    <w:rsid w:val="009D7F87"/>
    <w:rsid w:val="009E05E5"/>
    <w:rsid w:val="009F1B68"/>
    <w:rsid w:val="009F4DC4"/>
    <w:rsid w:val="00A0757C"/>
    <w:rsid w:val="00A11166"/>
    <w:rsid w:val="00A14038"/>
    <w:rsid w:val="00A2060D"/>
    <w:rsid w:val="00A40CD2"/>
    <w:rsid w:val="00A42850"/>
    <w:rsid w:val="00A42F0C"/>
    <w:rsid w:val="00A46F48"/>
    <w:rsid w:val="00A47A6C"/>
    <w:rsid w:val="00A50D60"/>
    <w:rsid w:val="00A53837"/>
    <w:rsid w:val="00A544D0"/>
    <w:rsid w:val="00A555FA"/>
    <w:rsid w:val="00A80E4E"/>
    <w:rsid w:val="00A83F97"/>
    <w:rsid w:val="00AA4332"/>
    <w:rsid w:val="00AB0744"/>
    <w:rsid w:val="00AB5D3E"/>
    <w:rsid w:val="00AC3885"/>
    <w:rsid w:val="00AC6057"/>
    <w:rsid w:val="00AC70E2"/>
    <w:rsid w:val="00AD0BF3"/>
    <w:rsid w:val="00AD75CD"/>
    <w:rsid w:val="00AD7CA3"/>
    <w:rsid w:val="00AE025C"/>
    <w:rsid w:val="00AE1AFF"/>
    <w:rsid w:val="00AF5FC3"/>
    <w:rsid w:val="00B05D6E"/>
    <w:rsid w:val="00B119B1"/>
    <w:rsid w:val="00B1217A"/>
    <w:rsid w:val="00B13AD7"/>
    <w:rsid w:val="00B14612"/>
    <w:rsid w:val="00B14D42"/>
    <w:rsid w:val="00B23E73"/>
    <w:rsid w:val="00B23F8B"/>
    <w:rsid w:val="00B3633E"/>
    <w:rsid w:val="00B40898"/>
    <w:rsid w:val="00B4124C"/>
    <w:rsid w:val="00B4625E"/>
    <w:rsid w:val="00B75AE2"/>
    <w:rsid w:val="00B80894"/>
    <w:rsid w:val="00B9148E"/>
    <w:rsid w:val="00B94805"/>
    <w:rsid w:val="00BA6027"/>
    <w:rsid w:val="00BB6F89"/>
    <w:rsid w:val="00BC1D95"/>
    <w:rsid w:val="00BD415E"/>
    <w:rsid w:val="00BD4287"/>
    <w:rsid w:val="00BD60D5"/>
    <w:rsid w:val="00BE1D00"/>
    <w:rsid w:val="00BE3628"/>
    <w:rsid w:val="00BE424C"/>
    <w:rsid w:val="00BF0046"/>
    <w:rsid w:val="00BF5CC9"/>
    <w:rsid w:val="00C036A5"/>
    <w:rsid w:val="00C065A3"/>
    <w:rsid w:val="00C14327"/>
    <w:rsid w:val="00C212FB"/>
    <w:rsid w:val="00C214D9"/>
    <w:rsid w:val="00C22967"/>
    <w:rsid w:val="00C32772"/>
    <w:rsid w:val="00C35333"/>
    <w:rsid w:val="00C41821"/>
    <w:rsid w:val="00C55968"/>
    <w:rsid w:val="00C55FDF"/>
    <w:rsid w:val="00C5739F"/>
    <w:rsid w:val="00C6566D"/>
    <w:rsid w:val="00C76FAC"/>
    <w:rsid w:val="00C81616"/>
    <w:rsid w:val="00C86326"/>
    <w:rsid w:val="00C87FCA"/>
    <w:rsid w:val="00CA1B0C"/>
    <w:rsid w:val="00CA5409"/>
    <w:rsid w:val="00CA7795"/>
    <w:rsid w:val="00CA7F40"/>
    <w:rsid w:val="00CB3C7E"/>
    <w:rsid w:val="00CC2A46"/>
    <w:rsid w:val="00CD5CCE"/>
    <w:rsid w:val="00CE3D26"/>
    <w:rsid w:val="00CF01AC"/>
    <w:rsid w:val="00CF041D"/>
    <w:rsid w:val="00D03314"/>
    <w:rsid w:val="00D069B7"/>
    <w:rsid w:val="00D06A0F"/>
    <w:rsid w:val="00D171C1"/>
    <w:rsid w:val="00D5055A"/>
    <w:rsid w:val="00D50E6F"/>
    <w:rsid w:val="00D51A83"/>
    <w:rsid w:val="00D528C8"/>
    <w:rsid w:val="00D56456"/>
    <w:rsid w:val="00D578C2"/>
    <w:rsid w:val="00D62F7A"/>
    <w:rsid w:val="00D74E8D"/>
    <w:rsid w:val="00D82047"/>
    <w:rsid w:val="00DA351C"/>
    <w:rsid w:val="00DB6D34"/>
    <w:rsid w:val="00DC1533"/>
    <w:rsid w:val="00DC24E6"/>
    <w:rsid w:val="00DD3EE2"/>
    <w:rsid w:val="00DD4E02"/>
    <w:rsid w:val="00DD637F"/>
    <w:rsid w:val="00DE08C1"/>
    <w:rsid w:val="00DE2BE8"/>
    <w:rsid w:val="00DE7F22"/>
    <w:rsid w:val="00DF2970"/>
    <w:rsid w:val="00DF303A"/>
    <w:rsid w:val="00E00FFC"/>
    <w:rsid w:val="00E0467F"/>
    <w:rsid w:val="00E0505F"/>
    <w:rsid w:val="00E07F07"/>
    <w:rsid w:val="00E124BE"/>
    <w:rsid w:val="00E26604"/>
    <w:rsid w:val="00E269E6"/>
    <w:rsid w:val="00E30B60"/>
    <w:rsid w:val="00E33F35"/>
    <w:rsid w:val="00E35862"/>
    <w:rsid w:val="00E41E94"/>
    <w:rsid w:val="00E55C69"/>
    <w:rsid w:val="00E56B69"/>
    <w:rsid w:val="00E57D4D"/>
    <w:rsid w:val="00E6492F"/>
    <w:rsid w:val="00E64DC2"/>
    <w:rsid w:val="00E65691"/>
    <w:rsid w:val="00E676C6"/>
    <w:rsid w:val="00E747F5"/>
    <w:rsid w:val="00E81DE9"/>
    <w:rsid w:val="00E86D5A"/>
    <w:rsid w:val="00E91A7E"/>
    <w:rsid w:val="00E91FA1"/>
    <w:rsid w:val="00E944E2"/>
    <w:rsid w:val="00EA0071"/>
    <w:rsid w:val="00EA6F17"/>
    <w:rsid w:val="00EC12D0"/>
    <w:rsid w:val="00EC1A9C"/>
    <w:rsid w:val="00EC2355"/>
    <w:rsid w:val="00EC442B"/>
    <w:rsid w:val="00EC5903"/>
    <w:rsid w:val="00EC6290"/>
    <w:rsid w:val="00ED044B"/>
    <w:rsid w:val="00ED4251"/>
    <w:rsid w:val="00ED76D9"/>
    <w:rsid w:val="00EE0DAA"/>
    <w:rsid w:val="00EE6113"/>
    <w:rsid w:val="00EF2051"/>
    <w:rsid w:val="00F00A19"/>
    <w:rsid w:val="00F017A9"/>
    <w:rsid w:val="00F03954"/>
    <w:rsid w:val="00F22741"/>
    <w:rsid w:val="00F3243F"/>
    <w:rsid w:val="00F34FB5"/>
    <w:rsid w:val="00F3644F"/>
    <w:rsid w:val="00F41CA0"/>
    <w:rsid w:val="00F609E6"/>
    <w:rsid w:val="00F73082"/>
    <w:rsid w:val="00F77D86"/>
    <w:rsid w:val="00F804CC"/>
    <w:rsid w:val="00F82A83"/>
    <w:rsid w:val="00F83B3D"/>
    <w:rsid w:val="00F85212"/>
    <w:rsid w:val="00F8589B"/>
    <w:rsid w:val="00F87EA0"/>
    <w:rsid w:val="00F91015"/>
    <w:rsid w:val="00F910F6"/>
    <w:rsid w:val="00FA235A"/>
    <w:rsid w:val="00FA28F7"/>
    <w:rsid w:val="00FB0AFB"/>
    <w:rsid w:val="00FB2453"/>
    <w:rsid w:val="00FB39BA"/>
    <w:rsid w:val="00FC06CA"/>
    <w:rsid w:val="00FC61E3"/>
    <w:rsid w:val="00FD2772"/>
    <w:rsid w:val="00FF1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F6260"/>
  <w15:docId w15:val="{CF1C8E0B-C871-45AA-92CB-7BC2A37D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customStyle="1" w:styleId="estatutes-2-subsection">
    <w:name w:val="estatutes-2-subsection"/>
    <w:basedOn w:val="Normal"/>
    <w:rsid w:val="004E3F7A"/>
    <w:pPr>
      <w:widowControl/>
      <w:autoSpaceDE/>
      <w:autoSpaceDN/>
      <w:adjustRightInd/>
      <w:spacing w:before="100" w:beforeAutospacing="1" w:after="100" w:afterAutospacing="1"/>
    </w:pPr>
    <w:rPr>
      <w:rFonts w:eastAsia="Times New Roman"/>
      <w:sz w:val="24"/>
      <w:szCs w:val="24"/>
      <w:lang w:val="en-US"/>
    </w:rPr>
  </w:style>
  <w:style w:type="paragraph" w:customStyle="1" w:styleId="estatutes-3-paragraph">
    <w:name w:val="estatutes-3-paragraph"/>
    <w:basedOn w:val="Normal"/>
    <w:rsid w:val="004E3F7A"/>
    <w:pPr>
      <w:widowControl/>
      <w:autoSpaceDE/>
      <w:autoSpaceDN/>
      <w:adjustRightInd/>
      <w:spacing w:before="100" w:beforeAutospacing="1" w:after="100" w:afterAutospacing="1"/>
    </w:pPr>
    <w:rPr>
      <w:rFonts w:eastAsia="Times New Roman"/>
      <w:sz w:val="24"/>
      <w:szCs w:val="24"/>
      <w:lang w:val="en-US"/>
    </w:rPr>
  </w:style>
  <w:style w:type="character" w:styleId="Hyperlink">
    <w:name w:val="Hyperlink"/>
    <w:basedOn w:val="DefaultParagraphFont"/>
    <w:uiPriority w:val="99"/>
    <w:unhideWhenUsed/>
    <w:rsid w:val="006E35E1"/>
    <w:rPr>
      <w:color w:val="0000FF" w:themeColor="hyperlink"/>
      <w:u w:val="single"/>
    </w:rPr>
  </w:style>
  <w:style w:type="paragraph" w:customStyle="1" w:styleId="estatutes-1-section">
    <w:name w:val="estatutes-1-section"/>
    <w:basedOn w:val="Normal"/>
    <w:rsid w:val="00C32772"/>
    <w:pPr>
      <w:widowControl/>
      <w:autoSpaceDE/>
      <w:autoSpaceDN/>
      <w:adjustRightInd/>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C32772"/>
  </w:style>
  <w:style w:type="paragraph" w:customStyle="1" w:styleId="estatutes-4-subparagraph">
    <w:name w:val="estatutes-4-subparagraph"/>
    <w:basedOn w:val="Normal"/>
    <w:rsid w:val="00C32772"/>
    <w:pPr>
      <w:widowControl/>
      <w:autoSpaceDE/>
      <w:autoSpaceDN/>
      <w:adjustRightInd/>
      <w:spacing w:before="100" w:beforeAutospacing="1" w:after="100" w:afterAutospacing="1"/>
    </w:pPr>
    <w:rPr>
      <w:rFonts w:eastAsia="Times New Roman"/>
      <w:sz w:val="24"/>
      <w:szCs w:val="24"/>
      <w:lang w:val="en-US"/>
    </w:rPr>
  </w:style>
  <w:style w:type="paragraph" w:customStyle="1" w:styleId="estatutes-sectiondefinition">
    <w:name w:val="estatutes-sectiondefinition"/>
    <w:basedOn w:val="Normal"/>
    <w:rsid w:val="005F53DE"/>
    <w:pPr>
      <w:widowControl/>
      <w:autoSpaceDE/>
      <w:autoSpaceDN/>
      <w:adjustRightInd/>
      <w:spacing w:before="100" w:beforeAutospacing="1" w:after="100" w:afterAutospacing="1"/>
    </w:pPr>
    <w:rPr>
      <w:rFonts w:ascii="Times" w:hAnsi="Times"/>
      <w:lang w:val="en-US"/>
    </w:rPr>
  </w:style>
  <w:style w:type="character" w:styleId="Strong">
    <w:name w:val="Strong"/>
    <w:basedOn w:val="DefaultParagraphFont"/>
    <w:uiPriority w:val="22"/>
    <w:qFormat/>
    <w:rsid w:val="004434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78203">
      <w:bodyDiv w:val="1"/>
      <w:marLeft w:val="0"/>
      <w:marRight w:val="0"/>
      <w:marTop w:val="0"/>
      <w:marBottom w:val="0"/>
      <w:divBdr>
        <w:top w:val="none" w:sz="0" w:space="0" w:color="auto"/>
        <w:left w:val="none" w:sz="0" w:space="0" w:color="auto"/>
        <w:bottom w:val="none" w:sz="0" w:space="0" w:color="auto"/>
        <w:right w:val="none" w:sz="0" w:space="0" w:color="auto"/>
      </w:divBdr>
    </w:div>
    <w:div w:id="418714828">
      <w:bodyDiv w:val="1"/>
      <w:marLeft w:val="0"/>
      <w:marRight w:val="0"/>
      <w:marTop w:val="0"/>
      <w:marBottom w:val="0"/>
      <w:divBdr>
        <w:top w:val="none" w:sz="0" w:space="0" w:color="auto"/>
        <w:left w:val="none" w:sz="0" w:space="0" w:color="auto"/>
        <w:bottom w:val="none" w:sz="0" w:space="0" w:color="auto"/>
        <w:right w:val="none" w:sz="0" w:space="0" w:color="auto"/>
      </w:divBdr>
    </w:div>
    <w:div w:id="452016948">
      <w:bodyDiv w:val="1"/>
      <w:marLeft w:val="0"/>
      <w:marRight w:val="0"/>
      <w:marTop w:val="0"/>
      <w:marBottom w:val="0"/>
      <w:divBdr>
        <w:top w:val="none" w:sz="0" w:space="0" w:color="auto"/>
        <w:left w:val="none" w:sz="0" w:space="0" w:color="auto"/>
        <w:bottom w:val="none" w:sz="0" w:space="0" w:color="auto"/>
        <w:right w:val="none" w:sz="0" w:space="0" w:color="auto"/>
      </w:divBdr>
    </w:div>
    <w:div w:id="506409132">
      <w:bodyDiv w:val="1"/>
      <w:marLeft w:val="0"/>
      <w:marRight w:val="0"/>
      <w:marTop w:val="0"/>
      <w:marBottom w:val="0"/>
      <w:divBdr>
        <w:top w:val="none" w:sz="0" w:space="0" w:color="auto"/>
        <w:left w:val="none" w:sz="0" w:space="0" w:color="auto"/>
        <w:bottom w:val="none" w:sz="0" w:space="0" w:color="auto"/>
        <w:right w:val="none" w:sz="0" w:space="0" w:color="auto"/>
      </w:divBdr>
    </w:div>
    <w:div w:id="1540897215">
      <w:bodyDiv w:val="1"/>
      <w:marLeft w:val="0"/>
      <w:marRight w:val="0"/>
      <w:marTop w:val="0"/>
      <w:marBottom w:val="0"/>
      <w:divBdr>
        <w:top w:val="none" w:sz="0" w:space="0" w:color="auto"/>
        <w:left w:val="none" w:sz="0" w:space="0" w:color="auto"/>
        <w:bottom w:val="none" w:sz="0" w:space="0" w:color="auto"/>
        <w:right w:val="none" w:sz="0" w:space="0" w:color="auto"/>
      </w:divBdr>
    </w:div>
    <w:div w:id="162144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B6451-5381-4F07-A7A7-5A140483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5388</Words>
  <Characters>30715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Petra Albert</cp:lastModifiedBy>
  <cp:revision>22</cp:revision>
  <cp:lastPrinted>2018-06-20T07:06:00Z</cp:lastPrinted>
  <dcterms:created xsi:type="dcterms:W3CDTF">2018-06-19T05:10:00Z</dcterms:created>
  <dcterms:modified xsi:type="dcterms:W3CDTF">2018-06-20T07:06:00Z</dcterms:modified>
</cp:coreProperties>
</file>