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49" w:rsidRDefault="00877F49" w:rsidP="00CA7795">
      <w:pPr>
        <w:jc w:val="center"/>
        <w:rPr>
          <w:b/>
          <w:sz w:val="28"/>
          <w:szCs w:val="28"/>
        </w:rPr>
      </w:pPr>
    </w:p>
    <w:p w:rsidR="00AD75CD" w:rsidRDefault="00C55FDF" w:rsidP="00CA7795">
      <w:pPr>
        <w:jc w:val="center"/>
        <w:rPr>
          <w:b/>
          <w:sz w:val="28"/>
          <w:szCs w:val="28"/>
        </w:rPr>
      </w:pPr>
      <w:r w:rsidRPr="00606EEA">
        <w:rPr>
          <w:b/>
          <w:sz w:val="28"/>
          <w:szCs w:val="28"/>
        </w:rPr>
        <w:t>IN THE SUPREME COURT OF SEYCHELLES</w:t>
      </w:r>
    </w:p>
    <w:p w:rsidR="00CC4102" w:rsidRPr="00606EEA" w:rsidRDefault="00CC4102" w:rsidP="00CA7795">
      <w:pPr>
        <w:jc w:val="center"/>
        <w:rPr>
          <w:b/>
          <w:sz w:val="28"/>
          <w:szCs w:val="28"/>
        </w:rPr>
      </w:pPr>
    </w:p>
    <w:p w:rsidR="002305B0" w:rsidRDefault="00EA7756" w:rsidP="002305B0">
      <w:pPr>
        <w:spacing w:before="240"/>
        <w:jc w:val="center"/>
        <w:rPr>
          <w:b/>
          <w:sz w:val="28"/>
          <w:szCs w:val="28"/>
        </w:rPr>
      </w:pPr>
      <w:r>
        <w:rPr>
          <w:b/>
          <w:sz w:val="28"/>
          <w:szCs w:val="28"/>
        </w:rPr>
        <w:t xml:space="preserve">Civil Side </w:t>
      </w:r>
      <w:r w:rsidR="005A259B">
        <w:rPr>
          <w:b/>
          <w:sz w:val="28"/>
          <w:szCs w:val="28"/>
        </w:rPr>
        <w:t>no</w:t>
      </w:r>
      <w:r w:rsidR="002305B0" w:rsidRPr="00B75AE2">
        <w:rPr>
          <w:b/>
          <w:sz w:val="28"/>
          <w:szCs w:val="28"/>
        </w:rPr>
        <w:t xml:space="preserve">: </w:t>
      </w:r>
      <w:r>
        <w:rPr>
          <w:b/>
          <w:sz w:val="28"/>
          <w:szCs w:val="28"/>
        </w:rPr>
        <w:t>MA154</w:t>
      </w:r>
      <w:r w:rsidR="002305B0" w:rsidRPr="00B75AE2">
        <w:rPr>
          <w:b/>
          <w:sz w:val="28"/>
          <w:szCs w:val="28"/>
        </w:rPr>
        <w:t>/20</w:t>
      </w:r>
      <w:r w:rsidR="002305B0">
        <w:rPr>
          <w:b/>
          <w:sz w:val="28"/>
          <w:szCs w:val="28"/>
        </w:rPr>
        <w:t>18</w:t>
      </w:r>
    </w:p>
    <w:p w:rsidR="002305B0" w:rsidRDefault="002305B0" w:rsidP="002305B0">
      <w:pPr>
        <w:spacing w:before="240" w:after="160"/>
        <w:ind w:left="6480"/>
        <w:rPr>
          <w:b/>
          <w:sz w:val="24"/>
          <w:szCs w:val="24"/>
        </w:rPr>
      </w:pPr>
      <w:bookmarkStart w:id="0" w:name="_GoBack"/>
      <w:bookmarkEnd w:id="0"/>
    </w:p>
    <w:p w:rsidR="002305B0" w:rsidRPr="00606EEA" w:rsidRDefault="002305B0" w:rsidP="002305B0">
      <w:pPr>
        <w:spacing w:before="240" w:after="160"/>
        <w:ind w:left="6480"/>
        <w:rPr>
          <w:b/>
          <w:sz w:val="24"/>
          <w:szCs w:val="24"/>
        </w:rPr>
      </w:pPr>
      <w:r w:rsidRPr="00606EEA">
        <w:rPr>
          <w:b/>
          <w:sz w:val="24"/>
          <w:szCs w:val="24"/>
        </w:rPr>
        <w:t xml:space="preserve"> [201</w:t>
      </w:r>
      <w:r>
        <w:rPr>
          <w:b/>
          <w:sz w:val="24"/>
          <w:szCs w:val="24"/>
        </w:rPr>
        <w:t>8</w:t>
      </w:r>
      <w:r>
        <w:rPr>
          <w:b/>
          <w:sz w:val="24"/>
          <w:szCs w:val="24"/>
        </w:rPr>
        <w:fldChar w:fldCharType="begin"/>
      </w:r>
      <w:r>
        <w:rPr>
          <w:b/>
          <w:sz w:val="24"/>
          <w:szCs w:val="24"/>
        </w:rPr>
        <w:fldChar w:fldCharType="end"/>
      </w:r>
      <w:r w:rsidRPr="00606EEA">
        <w:rPr>
          <w:b/>
          <w:sz w:val="24"/>
          <w:szCs w:val="24"/>
        </w:rPr>
        <w:t>] SCSC</w:t>
      </w:r>
      <w:r w:rsidR="005C0827">
        <w:rPr>
          <w:b/>
          <w:sz w:val="24"/>
          <w:szCs w:val="24"/>
        </w:rPr>
        <w:t xml:space="preserve"> 617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34FDE" w:rsidRPr="00B34FDE" w:rsidRDefault="00EA7756" w:rsidP="00B34FDE">
      <w:pPr>
        <w:widowControl/>
        <w:tabs>
          <w:tab w:val="left" w:pos="5760"/>
        </w:tabs>
        <w:autoSpaceDE/>
        <w:autoSpaceDN/>
        <w:adjustRightInd/>
        <w:spacing w:line="360" w:lineRule="auto"/>
        <w:jc w:val="center"/>
        <w:rPr>
          <w:rFonts w:eastAsiaTheme="minorHAnsi"/>
          <w:b/>
          <w:sz w:val="24"/>
          <w:szCs w:val="24"/>
          <w:lang w:val="en-US"/>
        </w:rPr>
      </w:pPr>
      <w:bookmarkStart w:id="1" w:name="Text20"/>
      <w:r>
        <w:rPr>
          <w:rFonts w:eastAsiaTheme="minorHAnsi"/>
          <w:b/>
          <w:sz w:val="24"/>
          <w:szCs w:val="24"/>
          <w:lang w:val="en-US"/>
        </w:rPr>
        <w:t xml:space="preserve">Nathalie </w:t>
      </w:r>
      <w:proofErr w:type="spellStart"/>
      <w:r>
        <w:rPr>
          <w:rFonts w:eastAsiaTheme="minorHAnsi"/>
          <w:b/>
          <w:sz w:val="24"/>
          <w:szCs w:val="24"/>
          <w:lang w:val="en-US"/>
        </w:rPr>
        <w:t>Lefevre</w:t>
      </w:r>
      <w:proofErr w:type="spellEnd"/>
    </w:p>
    <w:p w:rsidR="00B34FDE" w:rsidRPr="00B34FDE" w:rsidRDefault="00B34FDE" w:rsidP="00B34FDE">
      <w:pPr>
        <w:widowControl/>
        <w:tabs>
          <w:tab w:val="left" w:pos="5760"/>
        </w:tabs>
        <w:autoSpaceDE/>
        <w:autoSpaceDN/>
        <w:adjustRightInd/>
        <w:spacing w:line="360" w:lineRule="auto"/>
        <w:jc w:val="center"/>
        <w:rPr>
          <w:rFonts w:eastAsiaTheme="minorHAnsi"/>
          <w:b/>
          <w:sz w:val="24"/>
          <w:szCs w:val="24"/>
          <w:lang w:val="en-US"/>
        </w:rPr>
      </w:pPr>
      <w:r w:rsidRPr="00B34FDE">
        <w:rPr>
          <w:rFonts w:eastAsiaTheme="minorHAnsi"/>
          <w:b/>
          <w:sz w:val="24"/>
          <w:szCs w:val="24"/>
          <w:lang w:val="en-US"/>
        </w:rPr>
        <w:t>VS</w:t>
      </w:r>
    </w:p>
    <w:p w:rsidR="00B34FDE" w:rsidRPr="00B34FDE" w:rsidRDefault="00EA7756" w:rsidP="00B34FDE">
      <w:pPr>
        <w:widowControl/>
        <w:tabs>
          <w:tab w:val="left" w:pos="5760"/>
        </w:tabs>
        <w:autoSpaceDE/>
        <w:autoSpaceDN/>
        <w:adjustRightInd/>
        <w:spacing w:line="360" w:lineRule="auto"/>
        <w:jc w:val="center"/>
        <w:rPr>
          <w:rFonts w:eastAsiaTheme="minorHAnsi"/>
          <w:b/>
          <w:sz w:val="24"/>
          <w:szCs w:val="24"/>
          <w:lang w:val="en-US"/>
        </w:rPr>
      </w:pPr>
      <w:r>
        <w:rPr>
          <w:rFonts w:eastAsiaTheme="minorHAnsi"/>
          <w:b/>
          <w:sz w:val="24"/>
          <w:szCs w:val="24"/>
          <w:lang w:val="en-US"/>
        </w:rPr>
        <w:t xml:space="preserve">Beau </w:t>
      </w:r>
      <w:proofErr w:type="spellStart"/>
      <w:r>
        <w:rPr>
          <w:rFonts w:eastAsiaTheme="minorHAnsi"/>
          <w:b/>
          <w:sz w:val="24"/>
          <w:szCs w:val="24"/>
          <w:lang w:val="en-US"/>
        </w:rPr>
        <w:t>Vallon</w:t>
      </w:r>
      <w:proofErr w:type="spellEnd"/>
      <w:r>
        <w:rPr>
          <w:rFonts w:eastAsiaTheme="minorHAnsi"/>
          <w:b/>
          <w:sz w:val="24"/>
          <w:szCs w:val="24"/>
          <w:lang w:val="en-US"/>
        </w:rPr>
        <w:t xml:space="preserve"> Properties Ltd &amp; </w:t>
      </w:r>
      <w:proofErr w:type="spellStart"/>
      <w:r>
        <w:rPr>
          <w:rFonts w:eastAsiaTheme="minorHAnsi"/>
          <w:b/>
          <w:sz w:val="24"/>
          <w:szCs w:val="24"/>
          <w:lang w:val="en-US"/>
        </w:rPr>
        <w:t>Ors</w:t>
      </w:r>
      <w:proofErr w:type="spellEnd"/>
    </w:p>
    <w:bookmarkStart w:id="2" w:name="Text39"/>
    <w:bookmarkEnd w:id="1"/>
    <w:p w:rsidR="000C1BA2" w:rsidRPr="000C1BA2" w:rsidRDefault="00235534" w:rsidP="003862CB">
      <w:pPr>
        <w:jc w:val="center"/>
        <w:rPr>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0C1BA2">
        <w:rPr>
          <w:b/>
          <w:noProof/>
          <w:sz w:val="24"/>
          <w:szCs w:val="24"/>
        </w:rPr>
        <w:t> </w:t>
      </w:r>
      <w:r w:rsidR="000C1BA2">
        <w:rPr>
          <w:b/>
          <w:noProof/>
          <w:sz w:val="24"/>
          <w:szCs w:val="24"/>
        </w:rPr>
        <w:t> </w:t>
      </w:r>
      <w:r w:rsidR="000C1BA2">
        <w:rPr>
          <w:b/>
          <w:noProof/>
          <w:sz w:val="24"/>
          <w:szCs w:val="24"/>
        </w:rPr>
        <w:t> </w:t>
      </w:r>
      <w:r w:rsidR="000C1BA2">
        <w:rPr>
          <w:b/>
          <w:noProof/>
          <w:sz w:val="24"/>
          <w:szCs w:val="24"/>
        </w:rPr>
        <w:t> </w:t>
      </w:r>
      <w:r>
        <w:rPr>
          <w:b/>
          <w:sz w:val="24"/>
          <w:szCs w:val="24"/>
        </w:rPr>
        <w:fldChar w:fldCharType="end"/>
      </w:r>
      <w:bookmarkStart w:id="3" w:name="Text38"/>
      <w:bookmarkEnd w:id="2"/>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3"/>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EA7756">
        <w:rPr>
          <w:sz w:val="24"/>
          <w:szCs w:val="24"/>
        </w:rPr>
        <w:t>27</w:t>
      </w:r>
      <w:r w:rsidR="00B34FDE">
        <w:rPr>
          <w:sz w:val="24"/>
          <w:szCs w:val="24"/>
        </w:rPr>
        <w:t xml:space="preserve"> June</w:t>
      </w:r>
      <w:r w:rsidR="00766412">
        <w:rPr>
          <w:sz w:val="24"/>
          <w:szCs w:val="24"/>
        </w:rPr>
        <w:t xml:space="preserve"> 2018</w:t>
      </w:r>
      <w:r w:rsidRPr="00E0467F">
        <w:rPr>
          <w:sz w:val="24"/>
          <w:szCs w:val="24"/>
        </w:rPr>
        <w:tab/>
      </w:r>
      <w:r w:rsidR="00235534">
        <w:rPr>
          <w:sz w:val="24"/>
          <w:szCs w:val="24"/>
        </w:rPr>
        <w:fldChar w:fldCharType="begin"/>
      </w:r>
      <w:r w:rsidR="003F0F8D">
        <w:rPr>
          <w:sz w:val="24"/>
          <w:szCs w:val="24"/>
        </w:rPr>
        <w:instrText xml:space="preserve">  </w:instrText>
      </w:r>
      <w:r w:rsidR="00235534">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766412">
        <w:rPr>
          <w:sz w:val="24"/>
          <w:szCs w:val="24"/>
        </w:rPr>
        <w:t>M</w:t>
      </w:r>
      <w:r w:rsidR="00EA7756">
        <w:rPr>
          <w:sz w:val="24"/>
          <w:szCs w:val="24"/>
        </w:rPr>
        <w:t>s K. Louise standing in for Mr F. Elizabeth for the Applicant</w:t>
      </w:r>
      <w:r w:rsidR="00B34FDE">
        <w:rPr>
          <w:sz w:val="24"/>
          <w:szCs w:val="24"/>
        </w:rPr>
        <w:t xml:space="preserve">                        </w:t>
      </w:r>
      <w:r>
        <w:rPr>
          <w:sz w:val="24"/>
          <w:szCs w:val="24"/>
        </w:rPr>
        <w:tab/>
      </w:r>
      <w:r w:rsidR="005F5FB0">
        <w:rPr>
          <w:sz w:val="24"/>
          <w:szCs w:val="24"/>
        </w:rPr>
        <w:tab/>
      </w:r>
      <w:r w:rsidR="005F5FB0">
        <w:rPr>
          <w:sz w:val="24"/>
          <w:szCs w:val="24"/>
        </w:rPr>
        <w:tab/>
      </w:r>
      <w:r w:rsidR="005F5FB0">
        <w:rPr>
          <w:sz w:val="24"/>
          <w:szCs w:val="24"/>
        </w:rPr>
        <w:tab/>
      </w:r>
      <w:r w:rsidR="00235534">
        <w:rPr>
          <w:sz w:val="24"/>
          <w:szCs w:val="24"/>
        </w:rPr>
        <w:fldChar w:fldCharType="begin">
          <w:ffData>
            <w:name w:val="Text36"/>
            <w:enabled/>
            <w:calcOnExit w:val="0"/>
            <w:textInput/>
          </w:ffData>
        </w:fldChar>
      </w:r>
      <w:bookmarkStart w:id="4" w:name="Text36"/>
      <w:r w:rsidR="005F5FB0">
        <w:rPr>
          <w:sz w:val="24"/>
          <w:szCs w:val="24"/>
        </w:rPr>
        <w:instrText xml:space="preserve"> FORMTEXT </w:instrText>
      </w:r>
      <w:r w:rsidR="00235534">
        <w:rPr>
          <w:sz w:val="24"/>
          <w:szCs w:val="24"/>
        </w:rPr>
      </w:r>
      <w:r w:rsidR="00235534">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235534">
        <w:rPr>
          <w:sz w:val="24"/>
          <w:szCs w:val="24"/>
        </w:rPr>
        <w:fldChar w:fldCharType="end"/>
      </w:r>
      <w:bookmarkEnd w:id="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A7756">
        <w:rPr>
          <w:sz w:val="24"/>
          <w:szCs w:val="24"/>
        </w:rPr>
        <w:t>27</w:t>
      </w:r>
      <w:r w:rsidR="005A259B">
        <w:rPr>
          <w:sz w:val="24"/>
          <w:szCs w:val="24"/>
        </w:rPr>
        <w:t xml:space="preserve"> </w:t>
      </w:r>
      <w:r w:rsidR="00B34FDE">
        <w:rPr>
          <w:sz w:val="24"/>
          <w:szCs w:val="24"/>
        </w:rPr>
        <w:t>June</w:t>
      </w:r>
      <w:r w:rsidR="00766412">
        <w:rPr>
          <w:sz w:val="24"/>
          <w:szCs w:val="24"/>
        </w:rPr>
        <w:t xml:space="preserve"> 2018</w:t>
      </w:r>
      <w:r w:rsidR="00E0467F">
        <w:rPr>
          <w:sz w:val="24"/>
          <w:szCs w:val="24"/>
        </w:rPr>
        <w:tab/>
      </w:r>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End w:id="5"/>
    <w:p w:rsidR="00C87FCA" w:rsidRDefault="00EA7756" w:rsidP="00C87FCA">
      <w:pPr>
        <w:pBdr>
          <w:top w:val="dotted" w:sz="4" w:space="1" w:color="auto"/>
          <w:bottom w:val="dotted" w:sz="4" w:space="1" w:color="auto"/>
        </w:pBdr>
        <w:jc w:val="center"/>
        <w:rPr>
          <w:b/>
          <w:sz w:val="24"/>
          <w:szCs w:val="24"/>
        </w:rPr>
      </w:pPr>
      <w:r>
        <w:rPr>
          <w:b/>
          <w:sz w:val="24"/>
          <w:szCs w:val="24"/>
        </w:rPr>
        <w:t>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076E3D" w:rsidP="00C87FCA">
      <w:pPr>
        <w:pStyle w:val="ListParagraph"/>
        <w:widowControl/>
        <w:autoSpaceDE/>
        <w:autoSpaceDN/>
        <w:adjustRightInd/>
        <w:spacing w:after="240" w:line="360" w:lineRule="auto"/>
        <w:ind w:left="0"/>
        <w:contextualSpacing w:val="0"/>
        <w:jc w:val="both"/>
        <w:rPr>
          <w:b/>
          <w:sz w:val="24"/>
          <w:szCs w:val="24"/>
        </w:rPr>
      </w:pPr>
      <w:r>
        <w:rPr>
          <w:b/>
          <w:sz w:val="24"/>
          <w:szCs w:val="24"/>
        </w:rPr>
        <w:t xml:space="preserve">M. </w:t>
      </w:r>
      <w:proofErr w:type="spellStart"/>
      <w:r>
        <w:rPr>
          <w:b/>
          <w:sz w:val="24"/>
          <w:szCs w:val="24"/>
        </w:rPr>
        <w:t>T</w:t>
      </w:r>
      <w:r w:rsidR="00B34FDE">
        <w:rPr>
          <w:b/>
          <w:sz w:val="24"/>
          <w:szCs w:val="24"/>
        </w:rPr>
        <w:t>womey</w:t>
      </w:r>
      <w:proofErr w:type="spellEnd"/>
      <w:r>
        <w:rPr>
          <w:b/>
          <w:sz w:val="24"/>
          <w:szCs w:val="24"/>
        </w:rPr>
        <w:t>, CJ</w:t>
      </w:r>
    </w:p>
    <w:p w:rsidR="00076E3D" w:rsidRDefault="00076E3D" w:rsidP="00C87FCA">
      <w:pPr>
        <w:pStyle w:val="ListParagraph"/>
        <w:widowControl/>
        <w:autoSpaceDE/>
        <w:autoSpaceDN/>
        <w:adjustRightInd/>
        <w:spacing w:after="240" w:line="360" w:lineRule="auto"/>
        <w:ind w:left="0"/>
        <w:contextualSpacing w:val="0"/>
        <w:jc w:val="both"/>
        <w:rPr>
          <w:b/>
          <w:sz w:val="24"/>
          <w:szCs w:val="24"/>
        </w:rPr>
        <w:sectPr w:rsidR="00076E3D" w:rsidSect="00EF2051">
          <w:type w:val="continuous"/>
          <w:pgSz w:w="12240" w:h="15840"/>
          <w:pgMar w:top="1440" w:right="1440" w:bottom="1440" w:left="1440" w:header="720" w:footer="720" w:gutter="0"/>
          <w:cols w:space="720"/>
          <w:docGrid w:linePitch="360"/>
        </w:sectPr>
      </w:pPr>
    </w:p>
    <w:p w:rsidR="00D02CEF" w:rsidRDefault="00D02CEF"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lastRenderedPageBreak/>
        <w:t>1]</w:t>
      </w:r>
      <w:r>
        <w:rPr>
          <w:rFonts w:eastAsiaTheme="minorHAnsi"/>
          <w:sz w:val="24"/>
          <w:szCs w:val="24"/>
          <w:lang w:val="en-US"/>
        </w:rPr>
        <w:tab/>
      </w:r>
      <w:r w:rsidRPr="00D02CEF">
        <w:rPr>
          <w:rFonts w:eastAsiaTheme="minorHAnsi"/>
          <w:sz w:val="24"/>
          <w:szCs w:val="24"/>
          <w:lang w:val="en-US"/>
        </w:rPr>
        <w:t>The Applicant has applied ex</w:t>
      </w:r>
      <w:r w:rsidR="000F17D9">
        <w:rPr>
          <w:rFonts w:eastAsiaTheme="minorHAnsi"/>
          <w:sz w:val="24"/>
          <w:szCs w:val="24"/>
          <w:lang w:val="en-US"/>
        </w:rPr>
        <w:t xml:space="preserve"> </w:t>
      </w:r>
      <w:r w:rsidRPr="00D02CEF">
        <w:rPr>
          <w:rFonts w:eastAsiaTheme="minorHAnsi"/>
          <w:sz w:val="24"/>
          <w:szCs w:val="24"/>
          <w:lang w:val="en-US"/>
        </w:rPr>
        <w:t>parte and urgently for orders against the Respondents to generally maintain the status quo in relation to the ownership of shares in the 1</w:t>
      </w:r>
      <w:r w:rsidRPr="00D02CEF">
        <w:rPr>
          <w:rFonts w:eastAsiaTheme="minorHAnsi"/>
          <w:sz w:val="24"/>
          <w:szCs w:val="24"/>
          <w:vertAlign w:val="superscript"/>
          <w:lang w:val="en-US"/>
        </w:rPr>
        <w:t>st</w:t>
      </w:r>
      <w:r w:rsidRPr="00D02CEF">
        <w:rPr>
          <w:rFonts w:eastAsiaTheme="minorHAnsi"/>
          <w:sz w:val="24"/>
          <w:szCs w:val="24"/>
          <w:lang w:val="en-US"/>
        </w:rPr>
        <w:t xml:space="preserve"> Respondent and other properties held by the 1</w:t>
      </w:r>
      <w:r w:rsidRPr="00D02CEF">
        <w:rPr>
          <w:rFonts w:eastAsiaTheme="minorHAnsi"/>
          <w:sz w:val="24"/>
          <w:szCs w:val="24"/>
          <w:vertAlign w:val="superscript"/>
          <w:lang w:val="en-US"/>
        </w:rPr>
        <w:t>st</w:t>
      </w:r>
      <w:r w:rsidRPr="00D02CEF">
        <w:rPr>
          <w:rFonts w:eastAsiaTheme="minorHAnsi"/>
          <w:sz w:val="24"/>
          <w:szCs w:val="24"/>
          <w:lang w:val="en-US"/>
        </w:rPr>
        <w:t xml:space="preserve"> Respondent until the final outcome of case CC8 of 2017.  </w:t>
      </w:r>
    </w:p>
    <w:p w:rsidR="00D02CEF" w:rsidRDefault="00D02CEF" w:rsidP="00D02CEF">
      <w:pPr>
        <w:widowControl/>
        <w:autoSpaceDE/>
        <w:autoSpaceDN/>
        <w:adjustRightInd/>
        <w:spacing w:line="360" w:lineRule="auto"/>
        <w:jc w:val="both"/>
        <w:rPr>
          <w:rFonts w:eastAsiaTheme="minorHAnsi"/>
          <w:sz w:val="24"/>
          <w:szCs w:val="24"/>
          <w:lang w:val="en-US"/>
        </w:rPr>
      </w:pPr>
    </w:p>
    <w:p w:rsidR="00D02CEF" w:rsidRDefault="00D02CEF"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2]</w:t>
      </w:r>
      <w:r>
        <w:rPr>
          <w:rFonts w:eastAsiaTheme="minorHAnsi"/>
          <w:sz w:val="24"/>
          <w:szCs w:val="24"/>
          <w:lang w:val="en-US"/>
        </w:rPr>
        <w:tab/>
      </w:r>
      <w:r w:rsidRPr="00D02CEF">
        <w:rPr>
          <w:rFonts w:eastAsiaTheme="minorHAnsi"/>
          <w:sz w:val="24"/>
          <w:szCs w:val="24"/>
          <w:lang w:val="en-US"/>
        </w:rPr>
        <w:t>She has supported her application by an affidavit in which she avers that she believes that the 3</w:t>
      </w:r>
      <w:r w:rsidRPr="00D02CEF">
        <w:rPr>
          <w:rFonts w:eastAsiaTheme="minorHAnsi"/>
          <w:sz w:val="24"/>
          <w:szCs w:val="24"/>
          <w:vertAlign w:val="superscript"/>
          <w:lang w:val="en-US"/>
        </w:rPr>
        <w:t>rd</w:t>
      </w:r>
      <w:r w:rsidRPr="00D02CEF">
        <w:rPr>
          <w:rFonts w:eastAsiaTheme="minorHAnsi"/>
          <w:sz w:val="24"/>
          <w:szCs w:val="24"/>
          <w:lang w:val="en-US"/>
        </w:rPr>
        <w:t xml:space="preserve"> Respondent may </w:t>
      </w:r>
      <w:r w:rsidR="000F17D9">
        <w:rPr>
          <w:rFonts w:eastAsiaTheme="minorHAnsi"/>
          <w:sz w:val="24"/>
          <w:szCs w:val="24"/>
          <w:lang w:val="en-US"/>
        </w:rPr>
        <w:t>alienate</w:t>
      </w:r>
      <w:r w:rsidRPr="00D02CEF">
        <w:rPr>
          <w:rFonts w:eastAsiaTheme="minorHAnsi"/>
          <w:sz w:val="24"/>
          <w:szCs w:val="24"/>
          <w:lang w:val="en-US"/>
        </w:rPr>
        <w:t xml:space="preserve"> shares in the 1</w:t>
      </w:r>
      <w:r w:rsidRPr="00D02CEF">
        <w:rPr>
          <w:rFonts w:eastAsiaTheme="minorHAnsi"/>
          <w:sz w:val="24"/>
          <w:szCs w:val="24"/>
          <w:vertAlign w:val="superscript"/>
          <w:lang w:val="en-US"/>
        </w:rPr>
        <w:t>st</w:t>
      </w:r>
      <w:r w:rsidRPr="00D02CEF">
        <w:rPr>
          <w:rFonts w:eastAsiaTheme="minorHAnsi"/>
          <w:sz w:val="24"/>
          <w:szCs w:val="24"/>
          <w:lang w:val="en-US"/>
        </w:rPr>
        <w:t xml:space="preserve"> Respondent and together with the 2</w:t>
      </w:r>
      <w:r w:rsidRPr="00D02CEF">
        <w:rPr>
          <w:rFonts w:eastAsiaTheme="minorHAnsi"/>
          <w:sz w:val="24"/>
          <w:szCs w:val="24"/>
          <w:vertAlign w:val="superscript"/>
          <w:lang w:val="en-US"/>
        </w:rPr>
        <w:t>nd</w:t>
      </w:r>
      <w:r w:rsidRPr="00D02CEF">
        <w:rPr>
          <w:rFonts w:eastAsiaTheme="minorHAnsi"/>
          <w:sz w:val="24"/>
          <w:szCs w:val="24"/>
          <w:lang w:val="en-US"/>
        </w:rPr>
        <w:t xml:space="preserve"> Respondent seek retrospective sanction for the transfer of shares into their respective names.  </w:t>
      </w:r>
    </w:p>
    <w:p w:rsidR="000F17D9" w:rsidRDefault="000F17D9" w:rsidP="00D02CEF">
      <w:pPr>
        <w:widowControl/>
        <w:autoSpaceDE/>
        <w:autoSpaceDN/>
        <w:adjustRightInd/>
        <w:spacing w:line="360" w:lineRule="auto"/>
        <w:ind w:left="720" w:hanging="720"/>
        <w:jc w:val="both"/>
        <w:rPr>
          <w:rFonts w:eastAsiaTheme="minorHAnsi"/>
          <w:sz w:val="24"/>
          <w:szCs w:val="24"/>
          <w:lang w:val="en-US"/>
        </w:rPr>
      </w:pPr>
    </w:p>
    <w:p w:rsidR="00D02CEF" w:rsidRDefault="00D02CEF"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lastRenderedPageBreak/>
        <w:t>3]</w:t>
      </w:r>
      <w:r>
        <w:rPr>
          <w:rFonts w:eastAsiaTheme="minorHAnsi"/>
          <w:sz w:val="24"/>
          <w:szCs w:val="24"/>
          <w:lang w:val="en-US"/>
        </w:rPr>
        <w:tab/>
      </w:r>
      <w:r w:rsidRPr="00D02CEF">
        <w:rPr>
          <w:rFonts w:eastAsiaTheme="minorHAnsi"/>
          <w:sz w:val="24"/>
          <w:szCs w:val="24"/>
          <w:lang w:val="en-US"/>
        </w:rPr>
        <w:t>She has averred that were she to be successful in her action in CC8 of 2017 she will not be able to enforce the judgment as all assets would be have been dissipated or elevated.  She has further aver</w:t>
      </w:r>
      <w:r w:rsidR="000F17D9">
        <w:rPr>
          <w:rFonts w:eastAsiaTheme="minorHAnsi"/>
          <w:sz w:val="24"/>
          <w:szCs w:val="24"/>
          <w:lang w:val="en-US"/>
        </w:rPr>
        <w:t>red</w:t>
      </w:r>
      <w:r w:rsidRPr="00D02CEF">
        <w:rPr>
          <w:rFonts w:eastAsiaTheme="minorHAnsi"/>
          <w:sz w:val="24"/>
          <w:szCs w:val="24"/>
          <w:lang w:val="en-US"/>
        </w:rPr>
        <w:t xml:space="preserve"> that it is her belief that the directors of the 1</w:t>
      </w:r>
      <w:r w:rsidRPr="00D02CEF">
        <w:rPr>
          <w:rFonts w:eastAsiaTheme="minorHAnsi"/>
          <w:sz w:val="24"/>
          <w:szCs w:val="24"/>
          <w:vertAlign w:val="superscript"/>
          <w:lang w:val="en-US"/>
        </w:rPr>
        <w:t>st</w:t>
      </w:r>
      <w:r w:rsidRPr="00D02CEF">
        <w:rPr>
          <w:rFonts w:eastAsiaTheme="minorHAnsi"/>
          <w:sz w:val="24"/>
          <w:szCs w:val="24"/>
          <w:lang w:val="en-US"/>
        </w:rPr>
        <w:t xml:space="preserve"> Respondent may attempt to destroy evidence in relation to their financial status rendering it impossible for the Court to obtain the accurate financial position of the 1</w:t>
      </w:r>
      <w:r w:rsidRPr="00D02CEF">
        <w:rPr>
          <w:rFonts w:eastAsiaTheme="minorHAnsi"/>
          <w:sz w:val="24"/>
          <w:szCs w:val="24"/>
          <w:vertAlign w:val="superscript"/>
          <w:lang w:val="en-US"/>
        </w:rPr>
        <w:t>st</w:t>
      </w:r>
      <w:r w:rsidRPr="00D02CEF">
        <w:rPr>
          <w:rFonts w:eastAsiaTheme="minorHAnsi"/>
          <w:sz w:val="24"/>
          <w:szCs w:val="24"/>
          <w:lang w:val="en-US"/>
        </w:rPr>
        <w:t xml:space="preserve"> Respondent.  </w:t>
      </w:r>
    </w:p>
    <w:p w:rsidR="00D02CEF" w:rsidRDefault="00D02CEF" w:rsidP="00D02CEF">
      <w:pPr>
        <w:widowControl/>
        <w:autoSpaceDE/>
        <w:autoSpaceDN/>
        <w:adjustRightInd/>
        <w:spacing w:line="360" w:lineRule="auto"/>
        <w:ind w:left="720" w:hanging="720"/>
        <w:jc w:val="both"/>
        <w:rPr>
          <w:rFonts w:eastAsiaTheme="minorHAnsi"/>
          <w:sz w:val="24"/>
          <w:szCs w:val="24"/>
          <w:lang w:val="en-US"/>
        </w:rPr>
      </w:pPr>
    </w:p>
    <w:p w:rsidR="000F17D9" w:rsidRDefault="00D02CEF"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4]</w:t>
      </w:r>
      <w:r>
        <w:rPr>
          <w:rFonts w:eastAsiaTheme="minorHAnsi"/>
          <w:sz w:val="24"/>
          <w:szCs w:val="24"/>
          <w:lang w:val="en-US"/>
        </w:rPr>
        <w:tab/>
      </w:r>
      <w:r w:rsidRPr="00D02CEF">
        <w:rPr>
          <w:rFonts w:eastAsiaTheme="minorHAnsi"/>
          <w:sz w:val="24"/>
          <w:szCs w:val="24"/>
          <w:lang w:val="en-US"/>
        </w:rPr>
        <w:t xml:space="preserve">She has sought orders for sequestrations of properties under section 307 of the Seychelles Code of Civil Procedure and an interlocutory injunction under provisions of sections 121, 122, 123 and 304 of the Seychelles Code of Civil Procedure </w:t>
      </w:r>
      <w:r w:rsidR="000F17D9">
        <w:rPr>
          <w:rFonts w:eastAsiaTheme="minorHAnsi"/>
          <w:sz w:val="24"/>
          <w:szCs w:val="24"/>
          <w:lang w:val="en-US"/>
        </w:rPr>
        <w:t>as</w:t>
      </w:r>
      <w:r w:rsidRPr="00D02CEF">
        <w:rPr>
          <w:rFonts w:eastAsiaTheme="minorHAnsi"/>
          <w:sz w:val="24"/>
          <w:szCs w:val="24"/>
          <w:lang w:val="en-US"/>
        </w:rPr>
        <w:t xml:space="preserve"> read with the provisions of section 5 and 6 of the Courts Act. </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0F17D9" w:rsidRDefault="00D02CEF" w:rsidP="000F17D9">
      <w:pPr>
        <w:widowControl/>
        <w:autoSpaceDE/>
        <w:autoSpaceDN/>
        <w:adjustRightInd/>
        <w:spacing w:line="360" w:lineRule="auto"/>
        <w:ind w:left="720" w:hanging="720"/>
        <w:jc w:val="both"/>
        <w:rPr>
          <w:rFonts w:eastAsiaTheme="minorHAnsi"/>
          <w:i/>
          <w:sz w:val="24"/>
          <w:szCs w:val="24"/>
          <w:lang w:val="en-US"/>
        </w:rPr>
      </w:pPr>
      <w:r>
        <w:rPr>
          <w:rFonts w:eastAsiaTheme="minorHAnsi"/>
          <w:sz w:val="24"/>
          <w:szCs w:val="24"/>
          <w:lang w:val="en-US"/>
        </w:rPr>
        <w:t>5]</w:t>
      </w:r>
      <w:r>
        <w:rPr>
          <w:rFonts w:eastAsiaTheme="minorHAnsi"/>
          <w:sz w:val="24"/>
          <w:szCs w:val="24"/>
          <w:lang w:val="en-US"/>
        </w:rPr>
        <w:tab/>
      </w:r>
      <w:r w:rsidR="000F17D9" w:rsidRPr="00D02CEF">
        <w:rPr>
          <w:rFonts w:eastAsiaTheme="minorHAnsi"/>
          <w:sz w:val="24"/>
          <w:szCs w:val="24"/>
          <w:lang w:val="en-US"/>
        </w:rPr>
        <w:t xml:space="preserve">Section 307 of the Seychelles Code of Civil Procedure </w:t>
      </w:r>
      <w:r w:rsidR="000F17D9">
        <w:rPr>
          <w:rFonts w:eastAsiaTheme="minorHAnsi"/>
          <w:sz w:val="24"/>
          <w:szCs w:val="24"/>
          <w:lang w:val="en-US"/>
        </w:rPr>
        <w:t xml:space="preserve">in </w:t>
      </w:r>
      <w:r w:rsidR="000F17D9" w:rsidRPr="00D02CEF">
        <w:rPr>
          <w:rFonts w:eastAsiaTheme="minorHAnsi"/>
          <w:sz w:val="24"/>
          <w:szCs w:val="24"/>
          <w:lang w:val="en-US"/>
        </w:rPr>
        <w:t>appli</w:t>
      </w:r>
      <w:r w:rsidR="000F17D9">
        <w:rPr>
          <w:rFonts w:eastAsiaTheme="minorHAnsi"/>
          <w:sz w:val="24"/>
          <w:szCs w:val="24"/>
          <w:lang w:val="en-US"/>
        </w:rPr>
        <w:t xml:space="preserve">cation of </w:t>
      </w:r>
      <w:r w:rsidR="000F17D9" w:rsidRPr="00D02CEF">
        <w:rPr>
          <w:rFonts w:eastAsiaTheme="minorHAnsi"/>
          <w:sz w:val="24"/>
          <w:szCs w:val="24"/>
          <w:lang w:val="en-US"/>
        </w:rPr>
        <w:t xml:space="preserve">Article 1961 of the Civil Code of Seychelles gives the Court powers to sequester movables and immovable property between actions being </w:t>
      </w:r>
      <w:r w:rsidR="000F17D9">
        <w:rPr>
          <w:rFonts w:eastAsiaTheme="minorHAnsi"/>
          <w:sz w:val="24"/>
          <w:szCs w:val="24"/>
          <w:lang w:val="en-US"/>
        </w:rPr>
        <w:t>commenced</w:t>
      </w:r>
      <w:r w:rsidR="000F17D9" w:rsidRPr="00D02CEF">
        <w:rPr>
          <w:rFonts w:eastAsiaTheme="minorHAnsi"/>
          <w:sz w:val="24"/>
          <w:szCs w:val="24"/>
          <w:lang w:val="en-US"/>
        </w:rPr>
        <w:t xml:space="preserve"> in court and judgments delivered</w:t>
      </w:r>
      <w:r w:rsidR="000F17D9">
        <w:rPr>
          <w:rFonts w:eastAsiaTheme="minorHAnsi"/>
          <w:sz w:val="24"/>
          <w:szCs w:val="24"/>
          <w:lang w:val="en-US"/>
        </w:rPr>
        <w:t>.</w:t>
      </w:r>
      <w:r w:rsidR="000F17D9" w:rsidRPr="00D02CEF">
        <w:rPr>
          <w:rFonts w:eastAsiaTheme="minorHAnsi"/>
          <w:sz w:val="24"/>
          <w:szCs w:val="24"/>
          <w:lang w:val="en-US"/>
        </w:rPr>
        <w:t xml:space="preserve"> Section 304 </w:t>
      </w:r>
      <w:r w:rsidR="000F17D9">
        <w:rPr>
          <w:rFonts w:eastAsiaTheme="minorHAnsi"/>
          <w:sz w:val="24"/>
          <w:szCs w:val="24"/>
          <w:lang w:val="en-US"/>
        </w:rPr>
        <w:t xml:space="preserve">of the Seychelles code of Civil Procedure </w:t>
      </w:r>
      <w:r w:rsidR="000F17D9" w:rsidRPr="00D02CEF">
        <w:rPr>
          <w:rFonts w:eastAsiaTheme="minorHAnsi"/>
          <w:sz w:val="24"/>
          <w:szCs w:val="24"/>
          <w:lang w:val="en-US"/>
        </w:rPr>
        <w:t xml:space="preserve">empowers the court to issue injunctions </w:t>
      </w:r>
      <w:proofErr w:type="spellStart"/>
      <w:r w:rsidR="000F17D9" w:rsidRPr="000F17D9">
        <w:rPr>
          <w:rFonts w:eastAsiaTheme="minorHAnsi"/>
          <w:i/>
          <w:sz w:val="24"/>
          <w:szCs w:val="24"/>
          <w:lang w:val="en-US"/>
        </w:rPr>
        <w:t>pendente</w:t>
      </w:r>
      <w:proofErr w:type="spellEnd"/>
      <w:r w:rsidR="000F17D9" w:rsidRPr="000F17D9">
        <w:rPr>
          <w:rFonts w:eastAsiaTheme="minorHAnsi"/>
          <w:i/>
          <w:sz w:val="24"/>
          <w:szCs w:val="24"/>
          <w:lang w:val="en-US"/>
        </w:rPr>
        <w:t xml:space="preserve"> lite. </w:t>
      </w:r>
    </w:p>
    <w:p w:rsidR="000F17D9" w:rsidRPr="000F17D9" w:rsidRDefault="000F17D9" w:rsidP="000F17D9">
      <w:pPr>
        <w:widowControl/>
        <w:autoSpaceDE/>
        <w:autoSpaceDN/>
        <w:adjustRightInd/>
        <w:spacing w:line="360" w:lineRule="auto"/>
        <w:ind w:left="720" w:hanging="720"/>
        <w:jc w:val="both"/>
        <w:rPr>
          <w:rFonts w:eastAsiaTheme="minorHAnsi"/>
          <w:i/>
          <w:sz w:val="24"/>
          <w:szCs w:val="24"/>
          <w:lang w:val="en-US"/>
        </w:rPr>
      </w:pPr>
    </w:p>
    <w:p w:rsidR="00D02CEF" w:rsidRPr="00D02CEF" w:rsidRDefault="000F17D9"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6]</w:t>
      </w:r>
      <w:r>
        <w:rPr>
          <w:rFonts w:eastAsiaTheme="minorHAnsi"/>
          <w:sz w:val="24"/>
          <w:szCs w:val="24"/>
          <w:lang w:val="en-US"/>
        </w:rPr>
        <w:tab/>
      </w:r>
      <w:r w:rsidR="00D02CEF" w:rsidRPr="00D02CEF">
        <w:rPr>
          <w:rFonts w:eastAsiaTheme="minorHAnsi"/>
          <w:sz w:val="24"/>
          <w:szCs w:val="24"/>
          <w:lang w:val="en-US"/>
        </w:rPr>
        <w:t xml:space="preserve">Injunctions are equitable in nature and in such applications the Court is guided by three considerations:  </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D02CEF" w:rsidP="00D02CEF">
      <w:pPr>
        <w:widowControl/>
        <w:numPr>
          <w:ilvl w:val="0"/>
          <w:numId w:val="10"/>
        </w:numPr>
        <w:autoSpaceDE/>
        <w:autoSpaceDN/>
        <w:adjustRightInd/>
        <w:spacing w:after="200" w:line="360" w:lineRule="auto"/>
        <w:ind w:left="720"/>
        <w:contextualSpacing/>
        <w:jc w:val="both"/>
        <w:rPr>
          <w:rFonts w:eastAsiaTheme="minorHAnsi"/>
          <w:sz w:val="24"/>
          <w:szCs w:val="24"/>
          <w:lang w:val="en-US"/>
        </w:rPr>
      </w:pPr>
      <w:r w:rsidRPr="00D02CEF">
        <w:rPr>
          <w:rFonts w:eastAsiaTheme="minorHAnsi"/>
          <w:sz w:val="24"/>
          <w:szCs w:val="24"/>
          <w:lang w:val="en-US"/>
        </w:rPr>
        <w:t>Where there is a serious issue to be tried,</w:t>
      </w:r>
    </w:p>
    <w:p w:rsidR="00D02CEF" w:rsidRPr="00D02CEF" w:rsidRDefault="00D02CEF" w:rsidP="00D02CEF">
      <w:pPr>
        <w:widowControl/>
        <w:numPr>
          <w:ilvl w:val="0"/>
          <w:numId w:val="10"/>
        </w:numPr>
        <w:autoSpaceDE/>
        <w:autoSpaceDN/>
        <w:adjustRightInd/>
        <w:spacing w:after="200" w:line="360" w:lineRule="auto"/>
        <w:ind w:left="720"/>
        <w:contextualSpacing/>
        <w:jc w:val="both"/>
        <w:rPr>
          <w:rFonts w:eastAsiaTheme="minorHAnsi"/>
          <w:sz w:val="24"/>
          <w:szCs w:val="24"/>
          <w:lang w:val="en-US"/>
        </w:rPr>
      </w:pPr>
      <w:r w:rsidRPr="00D02CEF">
        <w:rPr>
          <w:rFonts w:eastAsiaTheme="minorHAnsi"/>
          <w:sz w:val="24"/>
          <w:szCs w:val="24"/>
          <w:lang w:val="en-US"/>
        </w:rPr>
        <w:t xml:space="preserve">Whether the damage would be inadequate to redress the harm caused by the grant of the injunction, </w:t>
      </w:r>
    </w:p>
    <w:p w:rsidR="00D02CEF" w:rsidRDefault="00D02CEF" w:rsidP="00D02CEF">
      <w:pPr>
        <w:widowControl/>
        <w:numPr>
          <w:ilvl w:val="0"/>
          <w:numId w:val="10"/>
        </w:numPr>
        <w:autoSpaceDE/>
        <w:autoSpaceDN/>
        <w:adjustRightInd/>
        <w:spacing w:after="200" w:line="360" w:lineRule="auto"/>
        <w:ind w:left="720"/>
        <w:contextualSpacing/>
        <w:jc w:val="both"/>
        <w:rPr>
          <w:rFonts w:eastAsiaTheme="minorHAnsi"/>
          <w:sz w:val="24"/>
          <w:szCs w:val="24"/>
          <w:lang w:val="en-US"/>
        </w:rPr>
      </w:pPr>
      <w:r w:rsidRPr="00D02CEF">
        <w:rPr>
          <w:rFonts w:eastAsiaTheme="minorHAnsi"/>
          <w:sz w:val="24"/>
          <w:szCs w:val="24"/>
          <w:lang w:val="en-US"/>
        </w:rPr>
        <w:t xml:space="preserve">And </w:t>
      </w:r>
      <w:r w:rsidRPr="000F17D9">
        <w:rPr>
          <w:rFonts w:eastAsiaTheme="minorHAnsi"/>
          <w:sz w:val="24"/>
          <w:szCs w:val="24"/>
          <w:lang w:val="en-US"/>
        </w:rPr>
        <w:t>on a balance of convenience it would be best to grant rather than deny the injunction.  (</w:t>
      </w:r>
      <w:proofErr w:type="gramStart"/>
      <w:r w:rsidRPr="000F17D9">
        <w:rPr>
          <w:rFonts w:eastAsiaTheme="minorHAnsi"/>
          <w:i/>
          <w:sz w:val="24"/>
          <w:szCs w:val="24"/>
          <w:lang w:val="en-US"/>
        </w:rPr>
        <w:t>see</w:t>
      </w:r>
      <w:proofErr w:type="gramEnd"/>
      <w:r w:rsidRPr="000F17D9">
        <w:rPr>
          <w:rFonts w:eastAsiaTheme="minorHAnsi"/>
          <w:sz w:val="24"/>
          <w:szCs w:val="24"/>
          <w:lang w:val="en-US"/>
        </w:rPr>
        <w:t xml:space="preserve"> </w:t>
      </w:r>
      <w:r w:rsidRPr="000F17D9">
        <w:rPr>
          <w:rFonts w:eastAsiaTheme="minorHAnsi"/>
          <w:i/>
          <w:sz w:val="24"/>
          <w:szCs w:val="24"/>
          <w:lang w:val="en-US"/>
        </w:rPr>
        <w:t xml:space="preserve">Techno International </w:t>
      </w:r>
      <w:proofErr w:type="spellStart"/>
      <w:r w:rsidRPr="000F17D9">
        <w:rPr>
          <w:rFonts w:eastAsiaTheme="minorHAnsi"/>
          <w:i/>
          <w:sz w:val="24"/>
          <w:szCs w:val="24"/>
          <w:lang w:val="en-US"/>
        </w:rPr>
        <w:t>vs</w:t>
      </w:r>
      <w:proofErr w:type="spellEnd"/>
      <w:r w:rsidRPr="000F17D9">
        <w:rPr>
          <w:rFonts w:eastAsiaTheme="minorHAnsi"/>
          <w:i/>
          <w:sz w:val="24"/>
          <w:szCs w:val="24"/>
          <w:lang w:val="en-US"/>
        </w:rPr>
        <w:t xml:space="preserve"> Georges, </w:t>
      </w:r>
      <w:r w:rsidRPr="000F17D9">
        <w:rPr>
          <w:rFonts w:eastAsiaTheme="minorHAnsi"/>
          <w:sz w:val="24"/>
          <w:szCs w:val="24"/>
          <w:lang w:val="en-US"/>
        </w:rPr>
        <w:t>unreported CS147 of 2002).</w:t>
      </w:r>
      <w:r w:rsidRPr="00D02CEF">
        <w:rPr>
          <w:rFonts w:eastAsiaTheme="minorHAnsi"/>
          <w:sz w:val="24"/>
          <w:szCs w:val="24"/>
          <w:lang w:val="en-US"/>
        </w:rPr>
        <w:t xml:space="preserve">  </w:t>
      </w:r>
    </w:p>
    <w:p w:rsidR="00D02CEF" w:rsidRPr="000F17D9" w:rsidRDefault="00D02CEF" w:rsidP="00D02CEF">
      <w:pPr>
        <w:widowControl/>
        <w:autoSpaceDE/>
        <w:autoSpaceDN/>
        <w:adjustRightInd/>
        <w:spacing w:after="200" w:line="360" w:lineRule="auto"/>
        <w:contextualSpacing/>
        <w:jc w:val="both"/>
        <w:rPr>
          <w:rFonts w:eastAsiaTheme="minorHAnsi"/>
          <w:sz w:val="24"/>
          <w:szCs w:val="24"/>
          <w:lang w:val="en-US"/>
        </w:rPr>
      </w:pPr>
    </w:p>
    <w:p w:rsidR="00D02CEF" w:rsidRPr="00D02CEF" w:rsidRDefault="000F17D9" w:rsidP="00D02CEF">
      <w:pPr>
        <w:widowControl/>
        <w:autoSpaceDE/>
        <w:autoSpaceDN/>
        <w:adjustRightInd/>
        <w:spacing w:after="200" w:line="360" w:lineRule="auto"/>
        <w:ind w:left="720" w:hanging="720"/>
        <w:contextualSpacing/>
        <w:jc w:val="both"/>
        <w:rPr>
          <w:rFonts w:eastAsiaTheme="minorHAnsi"/>
          <w:sz w:val="24"/>
          <w:szCs w:val="24"/>
          <w:lang w:val="en-US"/>
        </w:rPr>
      </w:pPr>
      <w:r>
        <w:rPr>
          <w:rFonts w:eastAsiaTheme="minorHAnsi"/>
          <w:sz w:val="24"/>
          <w:szCs w:val="24"/>
          <w:lang w:val="en-US"/>
        </w:rPr>
        <w:t>7</w:t>
      </w:r>
      <w:r w:rsidR="00D02CEF" w:rsidRPr="000F17D9">
        <w:rPr>
          <w:rFonts w:eastAsiaTheme="minorHAnsi"/>
          <w:sz w:val="24"/>
          <w:szCs w:val="24"/>
          <w:lang w:val="en-US"/>
        </w:rPr>
        <w:t>]</w:t>
      </w:r>
      <w:r w:rsidR="00D02CEF" w:rsidRPr="000F17D9">
        <w:rPr>
          <w:rFonts w:eastAsiaTheme="minorHAnsi"/>
          <w:sz w:val="24"/>
          <w:szCs w:val="24"/>
          <w:lang w:val="en-US"/>
        </w:rPr>
        <w:tab/>
        <w:t xml:space="preserve">Further in </w:t>
      </w:r>
      <w:proofErr w:type="spellStart"/>
      <w:r w:rsidR="00D02CEF" w:rsidRPr="000F17D9">
        <w:rPr>
          <w:rFonts w:eastAsiaTheme="minorHAnsi"/>
          <w:i/>
          <w:sz w:val="24"/>
          <w:szCs w:val="24"/>
          <w:lang w:val="en-US"/>
        </w:rPr>
        <w:t>Dhanjee</w:t>
      </w:r>
      <w:proofErr w:type="spellEnd"/>
      <w:r w:rsidR="00D02CEF" w:rsidRPr="000F17D9">
        <w:rPr>
          <w:rFonts w:eastAsiaTheme="minorHAnsi"/>
          <w:i/>
          <w:sz w:val="24"/>
          <w:szCs w:val="24"/>
          <w:lang w:val="en-US"/>
        </w:rPr>
        <w:t xml:space="preserve"> </w:t>
      </w:r>
      <w:proofErr w:type="spellStart"/>
      <w:r w:rsidR="00D02CEF" w:rsidRPr="000F17D9">
        <w:rPr>
          <w:rFonts w:eastAsiaTheme="minorHAnsi"/>
          <w:i/>
          <w:sz w:val="24"/>
          <w:szCs w:val="24"/>
          <w:lang w:val="en-US"/>
        </w:rPr>
        <w:t>vs</w:t>
      </w:r>
      <w:proofErr w:type="spellEnd"/>
      <w:r w:rsidR="00D02CEF" w:rsidRPr="000F17D9">
        <w:rPr>
          <w:rFonts w:eastAsiaTheme="minorHAnsi"/>
          <w:i/>
          <w:sz w:val="24"/>
          <w:szCs w:val="24"/>
          <w:lang w:val="en-US"/>
        </w:rPr>
        <w:t xml:space="preserve"> The Electoral Commission </w:t>
      </w:r>
      <w:r w:rsidRPr="000F17D9">
        <w:rPr>
          <w:rFonts w:eastAsiaTheme="minorHAnsi"/>
          <w:sz w:val="24"/>
          <w:szCs w:val="24"/>
          <w:lang w:val="en-US"/>
        </w:rPr>
        <w:t>(</w:t>
      </w:r>
      <w:r w:rsidR="00D02CEF" w:rsidRPr="000F17D9">
        <w:rPr>
          <w:rFonts w:eastAsiaTheme="minorHAnsi"/>
          <w:sz w:val="24"/>
          <w:szCs w:val="24"/>
          <w:lang w:val="en-US"/>
        </w:rPr>
        <w:t>2011</w:t>
      </w:r>
      <w:r w:rsidRPr="000F17D9">
        <w:rPr>
          <w:rFonts w:eastAsiaTheme="minorHAnsi"/>
          <w:sz w:val="24"/>
          <w:szCs w:val="24"/>
          <w:lang w:val="en-US"/>
        </w:rPr>
        <w:t>)</w:t>
      </w:r>
      <w:r w:rsidR="00D02CEF" w:rsidRPr="000F17D9">
        <w:rPr>
          <w:rFonts w:eastAsiaTheme="minorHAnsi"/>
          <w:sz w:val="24"/>
          <w:szCs w:val="24"/>
          <w:lang w:val="en-US"/>
        </w:rPr>
        <w:t xml:space="preserve"> SLR</w:t>
      </w:r>
      <w:r w:rsidRPr="000F17D9">
        <w:rPr>
          <w:rFonts w:eastAsiaTheme="minorHAnsi"/>
          <w:sz w:val="24"/>
          <w:szCs w:val="24"/>
          <w:lang w:val="en-US"/>
        </w:rPr>
        <w:t xml:space="preserve"> </w:t>
      </w:r>
      <w:r w:rsidR="00D02CEF" w:rsidRPr="000F17D9">
        <w:rPr>
          <w:rFonts w:eastAsiaTheme="minorHAnsi"/>
          <w:sz w:val="24"/>
          <w:szCs w:val="24"/>
          <w:lang w:val="en-US"/>
        </w:rPr>
        <w:t>141,</w:t>
      </w:r>
      <w:r w:rsidR="00D02CEF" w:rsidRPr="00D02CEF">
        <w:rPr>
          <w:rFonts w:eastAsiaTheme="minorHAnsi"/>
          <w:sz w:val="24"/>
          <w:szCs w:val="24"/>
          <w:lang w:val="en-US"/>
        </w:rPr>
        <w:t xml:space="preserve"> the Court interpreted the balance of convenience test to include the consideration of the following factors:</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D02CEF" w:rsidP="00D02CEF">
      <w:pPr>
        <w:widowControl/>
        <w:numPr>
          <w:ilvl w:val="0"/>
          <w:numId w:val="11"/>
        </w:numPr>
        <w:autoSpaceDE/>
        <w:autoSpaceDN/>
        <w:adjustRightInd/>
        <w:spacing w:after="200" w:line="360" w:lineRule="auto"/>
        <w:contextualSpacing/>
        <w:jc w:val="both"/>
        <w:rPr>
          <w:rFonts w:eastAsiaTheme="minorHAnsi"/>
          <w:sz w:val="24"/>
          <w:szCs w:val="24"/>
          <w:lang w:val="en-US"/>
        </w:rPr>
      </w:pPr>
      <w:r w:rsidRPr="00D02CEF">
        <w:rPr>
          <w:rFonts w:eastAsiaTheme="minorHAnsi"/>
          <w:sz w:val="24"/>
          <w:szCs w:val="24"/>
          <w:lang w:val="en-US"/>
        </w:rPr>
        <w:t>Whether more harm would be done by granting or refusing the injunction.</w:t>
      </w:r>
    </w:p>
    <w:p w:rsidR="00D02CEF" w:rsidRPr="00D02CEF" w:rsidRDefault="00D02CEF" w:rsidP="00D02CEF">
      <w:pPr>
        <w:widowControl/>
        <w:numPr>
          <w:ilvl w:val="0"/>
          <w:numId w:val="11"/>
        </w:numPr>
        <w:autoSpaceDE/>
        <w:autoSpaceDN/>
        <w:adjustRightInd/>
        <w:spacing w:after="200" w:line="360" w:lineRule="auto"/>
        <w:contextualSpacing/>
        <w:jc w:val="both"/>
        <w:rPr>
          <w:rFonts w:eastAsiaTheme="minorHAnsi"/>
          <w:sz w:val="24"/>
          <w:szCs w:val="24"/>
          <w:lang w:val="en-US"/>
        </w:rPr>
      </w:pPr>
      <w:r w:rsidRPr="00D02CEF">
        <w:rPr>
          <w:rFonts w:eastAsiaTheme="minorHAnsi"/>
          <w:sz w:val="24"/>
          <w:szCs w:val="24"/>
          <w:lang w:val="en-US"/>
        </w:rPr>
        <w:lastRenderedPageBreak/>
        <w:t>Where the risk of injustice would be greater if the injunction was granted, the</w:t>
      </w:r>
      <w:r w:rsidR="00ED3A00">
        <w:rPr>
          <w:rFonts w:eastAsiaTheme="minorHAnsi"/>
          <w:sz w:val="24"/>
          <w:szCs w:val="24"/>
          <w:lang w:val="en-US"/>
        </w:rPr>
        <w:t xml:space="preserve"> no risk of injustice it was refused</w:t>
      </w:r>
      <w:r w:rsidRPr="00D02CEF">
        <w:rPr>
          <w:rFonts w:eastAsiaTheme="minorHAnsi"/>
          <w:sz w:val="24"/>
          <w:szCs w:val="24"/>
          <w:lang w:val="en-US"/>
        </w:rPr>
        <w:t xml:space="preserve">, and </w:t>
      </w:r>
    </w:p>
    <w:p w:rsidR="00D02CEF" w:rsidRPr="00D02CEF" w:rsidRDefault="00D02CEF" w:rsidP="00D02CEF">
      <w:pPr>
        <w:widowControl/>
        <w:numPr>
          <w:ilvl w:val="0"/>
          <w:numId w:val="11"/>
        </w:numPr>
        <w:autoSpaceDE/>
        <w:autoSpaceDN/>
        <w:adjustRightInd/>
        <w:spacing w:after="200" w:line="360" w:lineRule="auto"/>
        <w:contextualSpacing/>
        <w:jc w:val="both"/>
        <w:rPr>
          <w:rFonts w:eastAsiaTheme="minorHAnsi"/>
          <w:sz w:val="24"/>
          <w:szCs w:val="24"/>
          <w:lang w:val="en-US"/>
        </w:rPr>
      </w:pPr>
      <w:r w:rsidRPr="00D02CEF">
        <w:rPr>
          <w:rFonts w:eastAsiaTheme="minorHAnsi"/>
          <w:sz w:val="24"/>
          <w:szCs w:val="24"/>
          <w:lang w:val="en-US"/>
        </w:rPr>
        <w:t>Where the breach of the parties rights would outweigh the rights of others in society.</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0F17D9"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8</w:t>
      </w:r>
      <w:r w:rsidR="00D02CEF">
        <w:rPr>
          <w:rFonts w:eastAsiaTheme="minorHAnsi"/>
          <w:sz w:val="24"/>
          <w:szCs w:val="24"/>
          <w:lang w:val="en-US"/>
        </w:rPr>
        <w:t>]</w:t>
      </w:r>
      <w:r w:rsidR="00D02CEF">
        <w:rPr>
          <w:rFonts w:eastAsiaTheme="minorHAnsi"/>
          <w:sz w:val="24"/>
          <w:szCs w:val="24"/>
          <w:lang w:val="en-US"/>
        </w:rPr>
        <w:tab/>
      </w:r>
      <w:r w:rsidR="00D02CEF" w:rsidRPr="00D02CEF">
        <w:rPr>
          <w:rFonts w:eastAsiaTheme="minorHAnsi"/>
          <w:sz w:val="24"/>
          <w:szCs w:val="24"/>
          <w:lang w:val="en-US"/>
        </w:rPr>
        <w:t>On the face of the pleadings and the affidavits and in the light of the authorities above, I am satisfied that the Applicant appears to have a bona fide claim as against the Respondents in the main suit. I am further satisf</w:t>
      </w:r>
      <w:r>
        <w:rPr>
          <w:rFonts w:eastAsiaTheme="minorHAnsi"/>
          <w:sz w:val="24"/>
          <w:szCs w:val="24"/>
          <w:lang w:val="en-US"/>
        </w:rPr>
        <w:t>ied</w:t>
      </w:r>
      <w:r w:rsidR="00D02CEF" w:rsidRPr="00D02CEF">
        <w:rPr>
          <w:rFonts w:eastAsiaTheme="minorHAnsi"/>
          <w:sz w:val="24"/>
          <w:szCs w:val="24"/>
          <w:lang w:val="en-US"/>
        </w:rPr>
        <w:t xml:space="preserve"> that unless the Court grants the interlocutory injunctions and orders of sequestration as sought by the applicant in this matter she will suffer substantial and irreparable loss, hardship and inconvenience in the event that judgment is given in her favour.</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0F17D9"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9</w:t>
      </w:r>
      <w:r w:rsidR="00D02CEF">
        <w:rPr>
          <w:rFonts w:eastAsiaTheme="minorHAnsi"/>
          <w:sz w:val="24"/>
          <w:szCs w:val="24"/>
          <w:lang w:val="en-US"/>
        </w:rPr>
        <w:t>]</w:t>
      </w:r>
      <w:r w:rsidR="00D02CEF">
        <w:rPr>
          <w:rFonts w:eastAsiaTheme="minorHAnsi"/>
          <w:sz w:val="24"/>
          <w:szCs w:val="24"/>
          <w:lang w:val="en-US"/>
        </w:rPr>
        <w:tab/>
      </w:r>
      <w:r w:rsidR="00D02CEF" w:rsidRPr="00D02CEF">
        <w:rPr>
          <w:rFonts w:eastAsiaTheme="minorHAnsi"/>
          <w:sz w:val="24"/>
          <w:szCs w:val="24"/>
          <w:lang w:val="en-US"/>
        </w:rPr>
        <w:t xml:space="preserve">In the circumstances I issue a writ of injunction against the Respondents prohibiting them from dissipating or alienating all the assets until this matter is finally decided in this court. </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0F17D9" w:rsidP="00D02CEF">
      <w:pPr>
        <w:widowControl/>
        <w:autoSpaceDE/>
        <w:autoSpaceDN/>
        <w:adjustRightInd/>
        <w:spacing w:line="360" w:lineRule="auto"/>
        <w:jc w:val="both"/>
        <w:rPr>
          <w:rFonts w:eastAsiaTheme="minorHAnsi"/>
          <w:sz w:val="24"/>
          <w:szCs w:val="24"/>
          <w:lang w:val="en-US"/>
        </w:rPr>
      </w:pPr>
      <w:r>
        <w:rPr>
          <w:rFonts w:eastAsiaTheme="minorHAnsi"/>
          <w:sz w:val="24"/>
          <w:szCs w:val="24"/>
          <w:lang w:val="en-US"/>
        </w:rPr>
        <w:t>10</w:t>
      </w:r>
      <w:r w:rsidR="00D02CEF">
        <w:rPr>
          <w:rFonts w:eastAsiaTheme="minorHAnsi"/>
          <w:sz w:val="24"/>
          <w:szCs w:val="24"/>
          <w:lang w:val="en-US"/>
        </w:rPr>
        <w:t>]</w:t>
      </w:r>
      <w:r w:rsidR="00D02CEF">
        <w:rPr>
          <w:rFonts w:eastAsiaTheme="minorHAnsi"/>
          <w:sz w:val="24"/>
          <w:szCs w:val="24"/>
          <w:lang w:val="en-US"/>
        </w:rPr>
        <w:tab/>
      </w:r>
      <w:r w:rsidR="00D02CEF" w:rsidRPr="00D02CEF">
        <w:rPr>
          <w:rFonts w:eastAsiaTheme="minorHAnsi"/>
          <w:sz w:val="24"/>
          <w:szCs w:val="24"/>
          <w:lang w:val="en-US"/>
        </w:rPr>
        <w:t xml:space="preserve">I also order that all movables are </w:t>
      </w:r>
      <w:r w:rsidRPr="00D02CEF">
        <w:rPr>
          <w:rFonts w:eastAsiaTheme="minorHAnsi"/>
          <w:sz w:val="24"/>
          <w:szCs w:val="24"/>
          <w:lang w:val="en-US"/>
        </w:rPr>
        <w:t>sequest</w:t>
      </w:r>
      <w:r>
        <w:rPr>
          <w:rFonts w:eastAsiaTheme="minorHAnsi"/>
          <w:sz w:val="24"/>
          <w:szCs w:val="24"/>
          <w:lang w:val="en-US"/>
        </w:rPr>
        <w:t>e</w:t>
      </w:r>
      <w:r w:rsidRPr="00D02CEF">
        <w:rPr>
          <w:rFonts w:eastAsiaTheme="minorHAnsi"/>
          <w:sz w:val="24"/>
          <w:szCs w:val="24"/>
          <w:lang w:val="en-US"/>
        </w:rPr>
        <w:t>red</w:t>
      </w:r>
      <w:r w:rsidR="00D02CEF" w:rsidRPr="00D02CEF">
        <w:rPr>
          <w:rFonts w:eastAsiaTheme="minorHAnsi"/>
          <w:sz w:val="24"/>
          <w:szCs w:val="24"/>
          <w:lang w:val="en-US"/>
        </w:rPr>
        <w:t xml:space="preserve"> until the final decision in this case is </w:t>
      </w:r>
      <w:r>
        <w:rPr>
          <w:rFonts w:eastAsiaTheme="minorHAnsi"/>
          <w:sz w:val="24"/>
          <w:szCs w:val="24"/>
          <w:lang w:val="en-US"/>
        </w:rPr>
        <w:tab/>
      </w:r>
      <w:r w:rsidR="00D02CEF" w:rsidRPr="00D02CEF">
        <w:rPr>
          <w:rFonts w:eastAsiaTheme="minorHAnsi"/>
          <w:sz w:val="24"/>
          <w:szCs w:val="24"/>
          <w:lang w:val="en-US"/>
        </w:rPr>
        <w:t>delivered.</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D02CEF"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10]</w:t>
      </w:r>
      <w:r>
        <w:rPr>
          <w:rFonts w:eastAsiaTheme="minorHAnsi"/>
          <w:sz w:val="24"/>
          <w:szCs w:val="24"/>
          <w:lang w:val="en-US"/>
        </w:rPr>
        <w:tab/>
      </w:r>
      <w:r w:rsidRPr="00D02CEF">
        <w:rPr>
          <w:rFonts w:eastAsiaTheme="minorHAnsi"/>
          <w:sz w:val="24"/>
          <w:szCs w:val="24"/>
          <w:lang w:val="en-US"/>
        </w:rPr>
        <w:t>I order that all documentation including electronic evidence relating to the underlying financial position of the 1</w:t>
      </w:r>
      <w:r w:rsidRPr="00D02CEF">
        <w:rPr>
          <w:rFonts w:eastAsiaTheme="minorHAnsi"/>
          <w:sz w:val="24"/>
          <w:szCs w:val="24"/>
          <w:vertAlign w:val="superscript"/>
          <w:lang w:val="en-US"/>
        </w:rPr>
        <w:t>st</w:t>
      </w:r>
      <w:r w:rsidRPr="00D02CEF">
        <w:rPr>
          <w:rFonts w:eastAsiaTheme="minorHAnsi"/>
          <w:sz w:val="24"/>
          <w:szCs w:val="24"/>
          <w:lang w:val="en-US"/>
        </w:rPr>
        <w:t xml:space="preserve"> Respondent be maintained and preserved until the final order of this Court. </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D02CEF" w:rsidRPr="00D02CEF" w:rsidRDefault="00D02CEF" w:rsidP="00D02CEF">
      <w:pPr>
        <w:widowControl/>
        <w:autoSpaceDE/>
        <w:autoSpaceDN/>
        <w:adjustRightInd/>
        <w:spacing w:line="360" w:lineRule="auto"/>
        <w:ind w:left="720" w:hanging="720"/>
        <w:jc w:val="both"/>
        <w:rPr>
          <w:rFonts w:eastAsiaTheme="minorHAnsi"/>
          <w:sz w:val="24"/>
          <w:szCs w:val="24"/>
          <w:lang w:val="en-US"/>
        </w:rPr>
      </w:pPr>
      <w:r>
        <w:rPr>
          <w:rFonts w:eastAsiaTheme="minorHAnsi"/>
          <w:sz w:val="24"/>
          <w:szCs w:val="24"/>
          <w:lang w:val="en-US"/>
        </w:rPr>
        <w:t>11]</w:t>
      </w:r>
      <w:r>
        <w:rPr>
          <w:rFonts w:eastAsiaTheme="minorHAnsi"/>
          <w:sz w:val="24"/>
          <w:szCs w:val="24"/>
          <w:lang w:val="en-US"/>
        </w:rPr>
        <w:tab/>
      </w:r>
      <w:r w:rsidRPr="00D02CEF">
        <w:rPr>
          <w:rFonts w:eastAsiaTheme="minorHAnsi"/>
          <w:sz w:val="24"/>
          <w:szCs w:val="24"/>
          <w:lang w:val="en-US"/>
        </w:rPr>
        <w:t>I order that copies of this order be served on the Registrar of Lands to comply with the orders of this Court and served on all Respondents so that they may be informed of the orders of this Court.</w:t>
      </w:r>
    </w:p>
    <w:p w:rsidR="00D02CEF" w:rsidRPr="00D02CEF" w:rsidRDefault="00D02CEF" w:rsidP="00D02CEF">
      <w:pPr>
        <w:widowControl/>
        <w:autoSpaceDE/>
        <w:autoSpaceDN/>
        <w:adjustRightInd/>
        <w:spacing w:line="360" w:lineRule="auto"/>
        <w:jc w:val="both"/>
        <w:rPr>
          <w:rFonts w:eastAsiaTheme="minorHAnsi"/>
          <w:sz w:val="24"/>
          <w:szCs w:val="24"/>
          <w:lang w:val="en-US"/>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D02CEF">
        <w:rPr>
          <w:sz w:val="24"/>
          <w:szCs w:val="24"/>
        </w:rPr>
        <w:t>27</w:t>
      </w:r>
      <w:r w:rsidR="00B34FDE">
        <w:rPr>
          <w:sz w:val="24"/>
          <w:szCs w:val="24"/>
        </w:rPr>
        <w:t xml:space="preserve"> June</w:t>
      </w:r>
      <w:r w:rsidR="00810E48">
        <w:rPr>
          <w:sz w:val="24"/>
          <w:szCs w:val="24"/>
        </w:rPr>
        <w:t xml:space="preserve"> 2018.</w:t>
      </w:r>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Pr="00330EA8" w:rsidRDefault="00076E3D" w:rsidP="0006489F">
      <w:pPr>
        <w:pStyle w:val="ListParagraph"/>
        <w:widowControl/>
        <w:autoSpaceDE/>
        <w:autoSpaceDN/>
        <w:adjustRightInd/>
        <w:ind w:left="0"/>
        <w:contextualSpacing w:val="0"/>
        <w:jc w:val="both"/>
        <w:rPr>
          <w:b/>
          <w:sz w:val="24"/>
          <w:szCs w:val="24"/>
        </w:rPr>
      </w:pPr>
      <w:r w:rsidRPr="00330EA8">
        <w:rPr>
          <w:b/>
          <w:sz w:val="24"/>
          <w:szCs w:val="24"/>
        </w:rPr>
        <w:t>M. TWOMEY</w:t>
      </w:r>
    </w:p>
    <w:bookmarkStart w:id="6" w:name="Dropdown7"/>
    <w:p w:rsidR="009E05E5" w:rsidRPr="00E33F35" w:rsidRDefault="0023553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5C0827">
        <w:rPr>
          <w:b/>
          <w:sz w:val="24"/>
          <w:szCs w:val="24"/>
        </w:rPr>
      </w:r>
      <w:r w:rsidR="005C0827">
        <w:rPr>
          <w:b/>
          <w:sz w:val="24"/>
          <w:szCs w:val="24"/>
        </w:rPr>
        <w:fldChar w:fldCharType="separate"/>
      </w:r>
      <w:r>
        <w:rPr>
          <w:b/>
          <w:sz w:val="24"/>
          <w:szCs w:val="24"/>
        </w:rPr>
        <w:fldChar w:fldCharType="end"/>
      </w:r>
      <w:bookmarkEnd w:id="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C2" w:rsidRDefault="00962EC2" w:rsidP="00DB6D34">
      <w:r>
        <w:separator/>
      </w:r>
    </w:p>
  </w:endnote>
  <w:endnote w:type="continuationSeparator" w:id="0">
    <w:p w:rsidR="00962EC2" w:rsidRDefault="00962EC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F3849">
    <w:pPr>
      <w:pStyle w:val="Footer"/>
      <w:jc w:val="center"/>
    </w:pPr>
    <w:r>
      <w:fldChar w:fldCharType="begin"/>
    </w:r>
    <w:r>
      <w:instrText xml:space="preserve"> PAGE   \* MERGEFORMAT </w:instrText>
    </w:r>
    <w:r>
      <w:fldChar w:fldCharType="separate"/>
    </w:r>
    <w:r w:rsidR="005C082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C2" w:rsidRDefault="00962EC2" w:rsidP="00DB6D34">
      <w:r>
        <w:separator/>
      </w:r>
    </w:p>
  </w:footnote>
  <w:footnote w:type="continuationSeparator" w:id="0">
    <w:p w:rsidR="00962EC2" w:rsidRDefault="00962EC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D1B7979"/>
    <w:multiLevelType w:val="hybridMultilevel"/>
    <w:tmpl w:val="D604F2CE"/>
    <w:lvl w:ilvl="0" w:tplc="266A38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D751D8A"/>
    <w:multiLevelType w:val="hybridMultilevel"/>
    <w:tmpl w:val="93163D90"/>
    <w:lvl w:ilvl="0" w:tplc="04CA24A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9041E03"/>
    <w:multiLevelType w:val="hybridMultilevel"/>
    <w:tmpl w:val="330A7E0E"/>
    <w:lvl w:ilvl="0" w:tplc="0409001B">
      <w:start w:val="1"/>
      <w:numFmt w:val="low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5294F"/>
    <w:multiLevelType w:val="hybridMultilevel"/>
    <w:tmpl w:val="FA0A10F4"/>
    <w:lvl w:ilvl="0" w:tplc="27E61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6075F0"/>
    <w:multiLevelType w:val="hybridMultilevel"/>
    <w:tmpl w:val="3C0020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1"/>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3D"/>
    <w:rsid w:val="00005BEF"/>
    <w:rsid w:val="00020D3D"/>
    <w:rsid w:val="00030C81"/>
    <w:rsid w:val="00040896"/>
    <w:rsid w:val="00064721"/>
    <w:rsid w:val="0006489F"/>
    <w:rsid w:val="00075573"/>
    <w:rsid w:val="00076E3D"/>
    <w:rsid w:val="00084953"/>
    <w:rsid w:val="00090EFC"/>
    <w:rsid w:val="00091036"/>
    <w:rsid w:val="000A10B8"/>
    <w:rsid w:val="000C1BA2"/>
    <w:rsid w:val="000D1DD3"/>
    <w:rsid w:val="000E39A5"/>
    <w:rsid w:val="000E7400"/>
    <w:rsid w:val="000F17D9"/>
    <w:rsid w:val="001008BC"/>
    <w:rsid w:val="00101D12"/>
    <w:rsid w:val="00107144"/>
    <w:rsid w:val="00117CBF"/>
    <w:rsid w:val="00126A10"/>
    <w:rsid w:val="001376AB"/>
    <w:rsid w:val="00144612"/>
    <w:rsid w:val="00160BBD"/>
    <w:rsid w:val="0016510C"/>
    <w:rsid w:val="00180158"/>
    <w:rsid w:val="00182CE5"/>
    <w:rsid w:val="001949A8"/>
    <w:rsid w:val="001D30F7"/>
    <w:rsid w:val="001D6E99"/>
    <w:rsid w:val="001E0F2E"/>
    <w:rsid w:val="001E4ED8"/>
    <w:rsid w:val="0020244B"/>
    <w:rsid w:val="00221E22"/>
    <w:rsid w:val="002305B0"/>
    <w:rsid w:val="00231C17"/>
    <w:rsid w:val="00235534"/>
    <w:rsid w:val="00236AAC"/>
    <w:rsid w:val="0024353F"/>
    <w:rsid w:val="00263B68"/>
    <w:rsid w:val="00290E14"/>
    <w:rsid w:val="002A7376"/>
    <w:rsid w:val="002B2255"/>
    <w:rsid w:val="002B4478"/>
    <w:rsid w:val="002C7560"/>
    <w:rsid w:val="002D06AA"/>
    <w:rsid w:val="002D67FC"/>
    <w:rsid w:val="002E6963"/>
    <w:rsid w:val="002F40A1"/>
    <w:rsid w:val="00301D88"/>
    <w:rsid w:val="00304E76"/>
    <w:rsid w:val="00330EA8"/>
    <w:rsid w:val="00351974"/>
    <w:rsid w:val="003647E7"/>
    <w:rsid w:val="003706DB"/>
    <w:rsid w:val="0037071B"/>
    <w:rsid w:val="0037270D"/>
    <w:rsid w:val="00377341"/>
    <w:rsid w:val="003838CC"/>
    <w:rsid w:val="003862CB"/>
    <w:rsid w:val="0038700C"/>
    <w:rsid w:val="003969BE"/>
    <w:rsid w:val="003B461C"/>
    <w:rsid w:val="003B4C19"/>
    <w:rsid w:val="003D58AA"/>
    <w:rsid w:val="003D7B97"/>
    <w:rsid w:val="003E2ABC"/>
    <w:rsid w:val="003F0F8D"/>
    <w:rsid w:val="0040663F"/>
    <w:rsid w:val="004156B9"/>
    <w:rsid w:val="00445BFA"/>
    <w:rsid w:val="00452BB6"/>
    <w:rsid w:val="0046133B"/>
    <w:rsid w:val="004A5EAB"/>
    <w:rsid w:val="004C3D80"/>
    <w:rsid w:val="004C4678"/>
    <w:rsid w:val="004F3823"/>
    <w:rsid w:val="00507AE9"/>
    <w:rsid w:val="005207C8"/>
    <w:rsid w:val="00530663"/>
    <w:rsid w:val="00531E47"/>
    <w:rsid w:val="005460FA"/>
    <w:rsid w:val="005501F9"/>
    <w:rsid w:val="0055036F"/>
    <w:rsid w:val="005514D6"/>
    <w:rsid w:val="00552704"/>
    <w:rsid w:val="00572AB3"/>
    <w:rsid w:val="00573C3D"/>
    <w:rsid w:val="005836AC"/>
    <w:rsid w:val="00584583"/>
    <w:rsid w:val="00594A9F"/>
    <w:rsid w:val="00594FAC"/>
    <w:rsid w:val="005A259B"/>
    <w:rsid w:val="005C0827"/>
    <w:rsid w:val="005C1EC7"/>
    <w:rsid w:val="005D613B"/>
    <w:rsid w:val="005F5FB0"/>
    <w:rsid w:val="00606587"/>
    <w:rsid w:val="00606EEA"/>
    <w:rsid w:val="006174DB"/>
    <w:rsid w:val="00637991"/>
    <w:rsid w:val="0064023C"/>
    <w:rsid w:val="006578C2"/>
    <w:rsid w:val="00666D33"/>
    <w:rsid w:val="0069203D"/>
    <w:rsid w:val="00695110"/>
    <w:rsid w:val="006A58E4"/>
    <w:rsid w:val="006D36C9"/>
    <w:rsid w:val="006F3849"/>
    <w:rsid w:val="007175A6"/>
    <w:rsid w:val="00744508"/>
    <w:rsid w:val="00755770"/>
    <w:rsid w:val="00766412"/>
    <w:rsid w:val="007818B5"/>
    <w:rsid w:val="00782B4E"/>
    <w:rsid w:val="007A47DC"/>
    <w:rsid w:val="007B6178"/>
    <w:rsid w:val="007C2809"/>
    <w:rsid w:val="007C3FF0"/>
    <w:rsid w:val="007D416E"/>
    <w:rsid w:val="00807411"/>
    <w:rsid w:val="00810E48"/>
    <w:rsid w:val="00814CF5"/>
    <w:rsid w:val="00816425"/>
    <w:rsid w:val="00821758"/>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4BD5"/>
    <w:rsid w:val="00937FB4"/>
    <w:rsid w:val="0094087C"/>
    <w:rsid w:val="009422B6"/>
    <w:rsid w:val="00951EC0"/>
    <w:rsid w:val="0096041D"/>
    <w:rsid w:val="00962EC2"/>
    <w:rsid w:val="00981287"/>
    <w:rsid w:val="00983045"/>
    <w:rsid w:val="009C751F"/>
    <w:rsid w:val="009E05E5"/>
    <w:rsid w:val="009F1B68"/>
    <w:rsid w:val="009F4DC4"/>
    <w:rsid w:val="00A11166"/>
    <w:rsid w:val="00A14038"/>
    <w:rsid w:val="00A36371"/>
    <w:rsid w:val="00A42850"/>
    <w:rsid w:val="00A53837"/>
    <w:rsid w:val="00A67789"/>
    <w:rsid w:val="00A80E4E"/>
    <w:rsid w:val="00AC3885"/>
    <w:rsid w:val="00AD75CD"/>
    <w:rsid w:val="00AF7494"/>
    <w:rsid w:val="00B05D6E"/>
    <w:rsid w:val="00B119B1"/>
    <w:rsid w:val="00B14612"/>
    <w:rsid w:val="00B200B4"/>
    <w:rsid w:val="00B23E73"/>
    <w:rsid w:val="00B34343"/>
    <w:rsid w:val="00B34FDE"/>
    <w:rsid w:val="00B37208"/>
    <w:rsid w:val="00B40898"/>
    <w:rsid w:val="00B4124C"/>
    <w:rsid w:val="00B4625E"/>
    <w:rsid w:val="00B46393"/>
    <w:rsid w:val="00B75AE2"/>
    <w:rsid w:val="00B9148E"/>
    <w:rsid w:val="00B94805"/>
    <w:rsid w:val="00BA253E"/>
    <w:rsid w:val="00BA6027"/>
    <w:rsid w:val="00BA7E41"/>
    <w:rsid w:val="00BC1D95"/>
    <w:rsid w:val="00BD4287"/>
    <w:rsid w:val="00BD60D5"/>
    <w:rsid w:val="00BE1D00"/>
    <w:rsid w:val="00BE3628"/>
    <w:rsid w:val="00BE3B8C"/>
    <w:rsid w:val="00BE424C"/>
    <w:rsid w:val="00BF5CC9"/>
    <w:rsid w:val="00BF763E"/>
    <w:rsid w:val="00C0245F"/>
    <w:rsid w:val="00C036A5"/>
    <w:rsid w:val="00C065A3"/>
    <w:rsid w:val="00C14327"/>
    <w:rsid w:val="00C22967"/>
    <w:rsid w:val="00C35333"/>
    <w:rsid w:val="00C55FDF"/>
    <w:rsid w:val="00C5739F"/>
    <w:rsid w:val="00C87FCA"/>
    <w:rsid w:val="00CA1B0C"/>
    <w:rsid w:val="00CA7795"/>
    <w:rsid w:val="00CA7F40"/>
    <w:rsid w:val="00CB3C7E"/>
    <w:rsid w:val="00CC1166"/>
    <w:rsid w:val="00CC4102"/>
    <w:rsid w:val="00CF5FA3"/>
    <w:rsid w:val="00D02CEF"/>
    <w:rsid w:val="00D03314"/>
    <w:rsid w:val="00D04B05"/>
    <w:rsid w:val="00D06A0F"/>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A7756"/>
    <w:rsid w:val="00EC06E9"/>
    <w:rsid w:val="00EC12D0"/>
    <w:rsid w:val="00EC2355"/>
    <w:rsid w:val="00EC6290"/>
    <w:rsid w:val="00ED3A00"/>
    <w:rsid w:val="00ED76D9"/>
    <w:rsid w:val="00EE5910"/>
    <w:rsid w:val="00EE6BC8"/>
    <w:rsid w:val="00EF2051"/>
    <w:rsid w:val="00F00A19"/>
    <w:rsid w:val="00F122BA"/>
    <w:rsid w:val="00F804CC"/>
    <w:rsid w:val="00F82A83"/>
    <w:rsid w:val="00F83B3D"/>
    <w:rsid w:val="00F94700"/>
    <w:rsid w:val="00FA51D9"/>
    <w:rsid w:val="00FA5907"/>
    <w:rsid w:val="00FB0AFB"/>
    <w:rsid w:val="00FB2453"/>
    <w:rsid w:val="00FB3163"/>
    <w:rsid w:val="00FB39BA"/>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D9887-37C1-4C56-BE68-092C8F35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F8AD-605C-4CCC-AC74-22BF66EF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Michelle</cp:lastModifiedBy>
  <cp:revision>3</cp:revision>
  <cp:lastPrinted>2018-07-03T05:52:00Z</cp:lastPrinted>
  <dcterms:created xsi:type="dcterms:W3CDTF">2018-07-03T05:53:00Z</dcterms:created>
  <dcterms:modified xsi:type="dcterms:W3CDTF">2018-12-10T11:16:00Z</dcterms:modified>
</cp:coreProperties>
</file>