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Pr="003937A4" w:rsidRDefault="00E94E48" w:rsidP="00CE5E72">
      <w:pPr>
        <w:rPr>
          <w:b/>
          <w:sz w:val="24"/>
          <w:szCs w:val="24"/>
        </w:rPr>
      </w:pPr>
      <w:bookmarkStart w:id="0" w:name="_GoBack"/>
    </w:p>
    <w:p w:rsidR="00E94E48" w:rsidRPr="003937A4" w:rsidRDefault="00E94E48" w:rsidP="00CE5E72">
      <w:pPr>
        <w:rPr>
          <w:i/>
          <w:sz w:val="24"/>
          <w:szCs w:val="24"/>
        </w:rPr>
      </w:pPr>
    </w:p>
    <w:p w:rsidR="00E94E48" w:rsidRPr="003937A4" w:rsidRDefault="00E94E48" w:rsidP="00CA7795">
      <w:pPr>
        <w:jc w:val="center"/>
        <w:rPr>
          <w:b/>
          <w:sz w:val="24"/>
          <w:szCs w:val="24"/>
        </w:rPr>
      </w:pPr>
    </w:p>
    <w:p w:rsidR="00CE5E72" w:rsidRPr="003937A4" w:rsidRDefault="00CE5E72" w:rsidP="00CE5E72">
      <w:pPr>
        <w:jc w:val="center"/>
        <w:rPr>
          <w:b/>
          <w:sz w:val="24"/>
          <w:szCs w:val="24"/>
        </w:rPr>
      </w:pPr>
      <w:bookmarkStart w:id="1" w:name="Dropdown2"/>
      <w:r w:rsidRPr="003937A4">
        <w:rPr>
          <w:b/>
          <w:sz w:val="24"/>
          <w:szCs w:val="24"/>
        </w:rPr>
        <w:t>IN THE SUPREME COURT OF SEYCHELLES</w:t>
      </w:r>
    </w:p>
    <w:p w:rsidR="00CE5E72" w:rsidRPr="003937A4" w:rsidRDefault="00AD5C47" w:rsidP="00CE5E72">
      <w:pPr>
        <w:spacing w:before="240"/>
        <w:jc w:val="center"/>
        <w:rPr>
          <w:b/>
          <w:sz w:val="24"/>
          <w:szCs w:val="24"/>
        </w:rPr>
      </w:pPr>
      <w:r>
        <w:rPr>
          <w:b/>
          <w:sz w:val="24"/>
          <w:szCs w:val="24"/>
        </w:rPr>
        <w:t>Civil Side: MA 144/2018</w:t>
      </w:r>
    </w:p>
    <w:p w:rsidR="00CE5E72" w:rsidRPr="003937A4" w:rsidRDefault="00AD5C47" w:rsidP="00CE5E72">
      <w:pPr>
        <w:spacing w:before="120"/>
        <w:jc w:val="center"/>
        <w:rPr>
          <w:b/>
          <w:sz w:val="24"/>
          <w:szCs w:val="24"/>
        </w:rPr>
      </w:pPr>
      <w:r>
        <w:rPr>
          <w:b/>
          <w:sz w:val="24"/>
          <w:szCs w:val="24"/>
        </w:rPr>
        <w:t>(</w:t>
      </w:r>
      <w:proofErr w:type="gramStart"/>
      <w:r>
        <w:rPr>
          <w:b/>
          <w:sz w:val="24"/>
          <w:szCs w:val="24"/>
        </w:rPr>
        <w:t>arising</w:t>
      </w:r>
      <w:proofErr w:type="gramEnd"/>
      <w:r>
        <w:rPr>
          <w:b/>
          <w:sz w:val="24"/>
          <w:szCs w:val="24"/>
        </w:rPr>
        <w:t xml:space="preserve"> in CS 26</w:t>
      </w:r>
      <w:r w:rsidR="00CE5E72" w:rsidRPr="003937A4">
        <w:rPr>
          <w:b/>
          <w:sz w:val="24"/>
          <w:szCs w:val="24"/>
        </w:rPr>
        <w:t>/201</w:t>
      </w:r>
      <w:r>
        <w:rPr>
          <w:b/>
          <w:sz w:val="24"/>
          <w:szCs w:val="24"/>
        </w:rPr>
        <w:t>8</w:t>
      </w:r>
      <w:r w:rsidR="00CE5E72" w:rsidRPr="003937A4">
        <w:rPr>
          <w:b/>
          <w:sz w:val="24"/>
          <w:szCs w:val="24"/>
        </w:rPr>
        <w:t>)</w:t>
      </w:r>
    </w:p>
    <w:p w:rsidR="00CE5E72" w:rsidRPr="003937A4" w:rsidRDefault="00B37B3D" w:rsidP="00CE5E72">
      <w:pPr>
        <w:spacing w:before="120"/>
        <w:jc w:val="center"/>
        <w:rPr>
          <w:b/>
          <w:sz w:val="24"/>
          <w:szCs w:val="24"/>
        </w:rPr>
      </w:pPr>
      <w:r w:rsidRPr="003937A4">
        <w:rPr>
          <w:b/>
          <w:sz w:val="24"/>
          <w:szCs w:val="24"/>
          <w:highlight w:val="lightGray"/>
        </w:rPr>
        <w:fldChar w:fldCharType="begin"/>
      </w:r>
      <w:r w:rsidRPr="003937A4">
        <w:rPr>
          <w:b/>
          <w:sz w:val="24"/>
          <w:szCs w:val="24"/>
          <w:highlight w:val="lightGray"/>
        </w:rPr>
        <w:fldChar w:fldCharType="end"/>
      </w:r>
    </w:p>
    <w:p w:rsidR="00CE5E72" w:rsidRPr="003937A4" w:rsidRDefault="00E15A19" w:rsidP="00CE5E72">
      <w:pPr>
        <w:spacing w:before="240" w:after="160"/>
        <w:ind w:left="6480"/>
        <w:rPr>
          <w:b/>
          <w:sz w:val="24"/>
          <w:szCs w:val="24"/>
        </w:rPr>
      </w:pPr>
      <w:r w:rsidRPr="003937A4">
        <w:rPr>
          <w:b/>
          <w:sz w:val="24"/>
          <w:szCs w:val="24"/>
        </w:rPr>
        <w:t>[2018</w:t>
      </w:r>
      <w:r w:rsidR="00B37B3D" w:rsidRPr="003937A4">
        <w:rPr>
          <w:b/>
          <w:sz w:val="24"/>
          <w:szCs w:val="24"/>
        </w:rPr>
        <w:fldChar w:fldCharType="begin"/>
      </w:r>
      <w:r w:rsidR="00B37B3D" w:rsidRPr="003937A4">
        <w:rPr>
          <w:b/>
          <w:sz w:val="24"/>
          <w:szCs w:val="24"/>
        </w:rPr>
        <w:fldChar w:fldCharType="end"/>
      </w:r>
      <w:r w:rsidR="00CE5E72" w:rsidRPr="003937A4">
        <w:rPr>
          <w:b/>
          <w:sz w:val="24"/>
          <w:szCs w:val="24"/>
        </w:rPr>
        <w:t>] SCSC</w:t>
      </w:r>
      <w:r w:rsidR="00982E17">
        <w:rPr>
          <w:b/>
          <w:sz w:val="24"/>
          <w:szCs w:val="24"/>
        </w:rPr>
        <w:t xml:space="preserve"> 752</w:t>
      </w:r>
    </w:p>
    <w:p w:rsidR="00CE5E72" w:rsidRPr="003937A4" w:rsidRDefault="00CE5E72" w:rsidP="00CE5E72">
      <w:pPr>
        <w:pBdr>
          <w:bottom w:val="single" w:sz="4" w:space="5" w:color="auto"/>
        </w:pBdr>
        <w:jc w:val="center"/>
        <w:rPr>
          <w:b/>
          <w:sz w:val="24"/>
          <w:szCs w:val="24"/>
        </w:rPr>
      </w:pPr>
    </w:p>
    <w:p w:rsidR="00CE5E72" w:rsidRPr="003937A4" w:rsidRDefault="00CE5E72" w:rsidP="00CE5E72">
      <w:pPr>
        <w:rPr>
          <w:sz w:val="24"/>
          <w:szCs w:val="24"/>
        </w:rPr>
      </w:pPr>
    </w:p>
    <w:p w:rsidR="00192831" w:rsidRPr="003937A4" w:rsidRDefault="00CE5E72" w:rsidP="00257AF0">
      <w:pPr>
        <w:jc w:val="center"/>
        <w:rPr>
          <w:b/>
          <w:sz w:val="24"/>
          <w:szCs w:val="24"/>
        </w:rPr>
      </w:pPr>
      <w:r w:rsidRPr="003937A4">
        <w:rPr>
          <w:b/>
          <w:sz w:val="24"/>
          <w:szCs w:val="24"/>
        </w:rPr>
        <w:t>IN THE MATTER OF:</w:t>
      </w:r>
    </w:p>
    <w:p w:rsidR="00192831" w:rsidRPr="003937A4" w:rsidRDefault="00192831" w:rsidP="00257AF0">
      <w:pPr>
        <w:jc w:val="center"/>
        <w:rPr>
          <w:b/>
          <w:sz w:val="24"/>
          <w:szCs w:val="24"/>
        </w:rPr>
      </w:pPr>
    </w:p>
    <w:p w:rsidR="00CE5E72" w:rsidRPr="003937A4" w:rsidRDefault="00AD5C47" w:rsidP="00257AF0">
      <w:pPr>
        <w:jc w:val="center"/>
        <w:rPr>
          <w:b/>
          <w:sz w:val="24"/>
          <w:szCs w:val="24"/>
        </w:rPr>
      </w:pPr>
      <w:r>
        <w:rPr>
          <w:b/>
          <w:sz w:val="24"/>
          <w:szCs w:val="24"/>
        </w:rPr>
        <w:t>AISHA RATH</w:t>
      </w:r>
    </w:p>
    <w:p w:rsidR="00CE5E72" w:rsidRPr="003937A4" w:rsidRDefault="00CE5E72" w:rsidP="00257AF0">
      <w:pPr>
        <w:jc w:val="center"/>
        <w:rPr>
          <w:b/>
          <w:sz w:val="24"/>
          <w:szCs w:val="24"/>
        </w:rPr>
      </w:pPr>
    </w:p>
    <w:p w:rsidR="00CE5E72" w:rsidRPr="003937A4" w:rsidRDefault="00AD5C47" w:rsidP="00257AF0">
      <w:pPr>
        <w:spacing w:after="240"/>
        <w:jc w:val="center"/>
        <w:rPr>
          <w:sz w:val="24"/>
          <w:szCs w:val="24"/>
        </w:rPr>
        <w:sectPr w:rsidR="00CE5E72" w:rsidRPr="003937A4" w:rsidSect="00EF2051">
          <w:footerReference w:type="default" r:id="rId8"/>
          <w:type w:val="continuous"/>
          <w:pgSz w:w="12240" w:h="15840"/>
          <w:pgMar w:top="1440" w:right="1440" w:bottom="1440" w:left="1440" w:header="720" w:footer="720" w:gutter="0"/>
          <w:cols w:space="720"/>
          <w:formProt w:val="0"/>
          <w:docGrid w:linePitch="360"/>
        </w:sectPr>
      </w:pPr>
      <w:r>
        <w:rPr>
          <w:sz w:val="24"/>
          <w:szCs w:val="24"/>
        </w:rPr>
        <w:t>Plaintiff</w:t>
      </w:r>
    </w:p>
    <w:p w:rsidR="00CE5E72" w:rsidRPr="003937A4" w:rsidRDefault="00CE5E72" w:rsidP="00257AF0">
      <w:pPr>
        <w:spacing w:before="120"/>
        <w:jc w:val="center"/>
        <w:rPr>
          <w:sz w:val="24"/>
          <w:szCs w:val="24"/>
        </w:rPr>
      </w:pPr>
      <w:r w:rsidRPr="003937A4">
        <w:rPr>
          <w:sz w:val="24"/>
          <w:szCs w:val="24"/>
        </w:rPr>
        <w:lastRenderedPageBreak/>
        <w:t>Versus</w:t>
      </w:r>
    </w:p>
    <w:p w:rsidR="00CE5E72" w:rsidRPr="003937A4" w:rsidRDefault="00CE5E72" w:rsidP="00257AF0">
      <w:pPr>
        <w:spacing w:before="120"/>
        <w:jc w:val="center"/>
        <w:rPr>
          <w:sz w:val="24"/>
          <w:szCs w:val="24"/>
        </w:rPr>
      </w:pPr>
    </w:p>
    <w:p w:rsidR="00CE5E72" w:rsidRPr="003937A4" w:rsidRDefault="00AD5C47" w:rsidP="00257AF0">
      <w:pPr>
        <w:jc w:val="center"/>
        <w:rPr>
          <w:b/>
          <w:sz w:val="24"/>
          <w:szCs w:val="24"/>
        </w:rPr>
      </w:pPr>
      <w:r>
        <w:rPr>
          <w:b/>
          <w:sz w:val="24"/>
          <w:szCs w:val="24"/>
        </w:rPr>
        <w:t>SIMON GILL</w:t>
      </w:r>
    </w:p>
    <w:p w:rsidR="00CE5E72" w:rsidRPr="003937A4" w:rsidRDefault="00CE5E72" w:rsidP="00257AF0">
      <w:pPr>
        <w:jc w:val="center"/>
        <w:rPr>
          <w:b/>
          <w:sz w:val="24"/>
          <w:szCs w:val="24"/>
        </w:rPr>
      </w:pPr>
    </w:p>
    <w:bookmarkStart w:id="2" w:name="Dropdown14"/>
    <w:p w:rsidR="00CE5E72" w:rsidRPr="003937A4" w:rsidRDefault="00B37B3D" w:rsidP="00257AF0">
      <w:pPr>
        <w:spacing w:after="240"/>
        <w:jc w:val="center"/>
        <w:rPr>
          <w:sz w:val="24"/>
          <w:szCs w:val="24"/>
        </w:rPr>
        <w:sectPr w:rsidR="00CE5E72" w:rsidRPr="003937A4" w:rsidSect="00EF2051">
          <w:type w:val="continuous"/>
          <w:pgSz w:w="12240" w:h="15840"/>
          <w:pgMar w:top="1440" w:right="1440" w:bottom="1440" w:left="1440" w:header="720" w:footer="720" w:gutter="0"/>
          <w:cols w:space="720"/>
          <w:docGrid w:linePitch="360"/>
        </w:sectPr>
      </w:pPr>
      <w:r w:rsidRPr="003937A4">
        <w:rPr>
          <w:sz w:val="24"/>
          <w:szCs w:val="24"/>
        </w:rPr>
        <w:fldChar w:fldCharType="begin">
          <w:ffData>
            <w:name w:val="Dropdown14"/>
            <w:enabled/>
            <w:calcOnExit w:val="0"/>
            <w:ddList>
              <w:listEntry w:val="Respondent"/>
              <w:listEntry w:val="First Respondent"/>
            </w:ddList>
          </w:ffData>
        </w:fldChar>
      </w:r>
      <w:r w:rsidR="00CE5E72" w:rsidRPr="003937A4">
        <w:rPr>
          <w:sz w:val="24"/>
          <w:szCs w:val="24"/>
        </w:rPr>
        <w:instrText xml:space="preserve"> FORMDROPDOWN </w:instrText>
      </w:r>
      <w:r w:rsidR="00121DF9">
        <w:rPr>
          <w:sz w:val="24"/>
          <w:szCs w:val="24"/>
        </w:rPr>
      </w:r>
      <w:r w:rsidR="00121DF9">
        <w:rPr>
          <w:sz w:val="24"/>
          <w:szCs w:val="24"/>
        </w:rPr>
        <w:fldChar w:fldCharType="separate"/>
      </w:r>
      <w:r w:rsidRPr="003937A4">
        <w:rPr>
          <w:sz w:val="24"/>
          <w:szCs w:val="24"/>
        </w:rPr>
        <w:fldChar w:fldCharType="end"/>
      </w:r>
      <w:bookmarkEnd w:id="2"/>
    </w:p>
    <w:p w:rsidR="00CE5E72" w:rsidRPr="003937A4" w:rsidRDefault="00CE5E72" w:rsidP="00CE5E72">
      <w:pPr>
        <w:jc w:val="center"/>
        <w:rPr>
          <w:sz w:val="24"/>
          <w:szCs w:val="24"/>
        </w:rPr>
        <w:sectPr w:rsidR="00CE5E72" w:rsidRPr="003937A4" w:rsidSect="00EF2051">
          <w:type w:val="continuous"/>
          <w:pgSz w:w="12240" w:h="15840"/>
          <w:pgMar w:top="1440" w:right="1440" w:bottom="1440" w:left="1440" w:header="720" w:footer="720" w:gutter="0"/>
          <w:cols w:space="720"/>
          <w:formProt w:val="0"/>
          <w:docGrid w:linePitch="360"/>
        </w:sectPr>
      </w:pPr>
    </w:p>
    <w:p w:rsidR="00CE5E72" w:rsidRPr="003937A4" w:rsidRDefault="00CE5E72" w:rsidP="00CE5E72">
      <w:pPr>
        <w:pBdr>
          <w:bottom w:val="single" w:sz="4" w:space="1" w:color="auto"/>
        </w:pBdr>
        <w:jc w:val="center"/>
        <w:rPr>
          <w:sz w:val="24"/>
          <w:szCs w:val="24"/>
        </w:rPr>
      </w:pPr>
    </w:p>
    <w:p w:rsidR="00CE5E72" w:rsidRPr="003937A4" w:rsidRDefault="00E15A19" w:rsidP="00CE5E72">
      <w:pPr>
        <w:spacing w:before="240" w:after="120"/>
        <w:rPr>
          <w:sz w:val="24"/>
          <w:szCs w:val="24"/>
        </w:rPr>
      </w:pPr>
      <w:r w:rsidRPr="003937A4">
        <w:rPr>
          <w:sz w:val="24"/>
          <w:szCs w:val="24"/>
        </w:rPr>
        <w:t>Heard:</w:t>
      </w:r>
      <w:r w:rsidRPr="003937A4">
        <w:rPr>
          <w:sz w:val="24"/>
          <w:szCs w:val="24"/>
        </w:rPr>
        <w:tab/>
      </w:r>
      <w:r w:rsidR="003937A4">
        <w:rPr>
          <w:sz w:val="24"/>
          <w:szCs w:val="24"/>
        </w:rPr>
        <w:tab/>
      </w:r>
      <w:r w:rsidR="00AD5C47">
        <w:rPr>
          <w:sz w:val="24"/>
          <w:szCs w:val="24"/>
        </w:rPr>
        <w:t>26</w:t>
      </w:r>
      <w:r w:rsidR="00AD5C47" w:rsidRPr="00AD5C47">
        <w:rPr>
          <w:sz w:val="24"/>
          <w:szCs w:val="24"/>
          <w:vertAlign w:val="superscript"/>
        </w:rPr>
        <w:t>th</w:t>
      </w:r>
      <w:r w:rsidR="00AD5C47">
        <w:rPr>
          <w:sz w:val="24"/>
          <w:szCs w:val="24"/>
        </w:rPr>
        <w:t xml:space="preserve"> day of July </w:t>
      </w:r>
      <w:r w:rsidRPr="003937A4">
        <w:rPr>
          <w:sz w:val="24"/>
          <w:szCs w:val="24"/>
        </w:rPr>
        <w:t>2018</w:t>
      </w:r>
    </w:p>
    <w:p w:rsidR="00CE5E72" w:rsidRPr="003937A4" w:rsidRDefault="00CE5E72" w:rsidP="00CE5E72">
      <w:pPr>
        <w:rPr>
          <w:sz w:val="24"/>
          <w:szCs w:val="24"/>
        </w:rPr>
      </w:pPr>
      <w:r w:rsidRPr="003937A4">
        <w:rPr>
          <w:sz w:val="24"/>
          <w:szCs w:val="24"/>
        </w:rPr>
        <w:t>Counsel:</w:t>
      </w:r>
      <w:r w:rsidR="00AD5C47">
        <w:rPr>
          <w:sz w:val="24"/>
          <w:szCs w:val="24"/>
        </w:rPr>
        <w:tab/>
        <w:t xml:space="preserve">Mr. J. Camille </w:t>
      </w:r>
      <w:r w:rsidR="00B37B3D" w:rsidRPr="003937A4">
        <w:rPr>
          <w:sz w:val="24"/>
          <w:szCs w:val="24"/>
        </w:rPr>
        <w:fldChar w:fldCharType="begin"/>
      </w:r>
      <w:r w:rsidRPr="003937A4">
        <w:rPr>
          <w:sz w:val="24"/>
          <w:szCs w:val="24"/>
        </w:rPr>
        <w:instrText xml:space="preserve"> ASK  "Enter Appellant Lawyer full name"  \* MERGEFORMAT </w:instrText>
      </w:r>
      <w:r w:rsidR="00B37B3D" w:rsidRPr="003937A4">
        <w:rPr>
          <w:sz w:val="24"/>
          <w:szCs w:val="24"/>
        </w:rPr>
        <w:fldChar w:fldCharType="end"/>
      </w:r>
      <w:r w:rsidR="00B37B3D" w:rsidRPr="003937A4">
        <w:rPr>
          <w:sz w:val="24"/>
          <w:szCs w:val="24"/>
        </w:rPr>
        <w:fldChar w:fldCharType="begin"/>
      </w:r>
      <w:r w:rsidR="00B37B3D" w:rsidRPr="003937A4">
        <w:rPr>
          <w:sz w:val="24"/>
          <w:szCs w:val="24"/>
        </w:rPr>
        <w:fldChar w:fldCharType="end"/>
      </w:r>
      <w:r w:rsidRPr="003937A4">
        <w:rPr>
          <w:sz w:val="24"/>
          <w:szCs w:val="24"/>
        </w:rPr>
        <w:t xml:space="preserve">for </w:t>
      </w:r>
      <w:bookmarkStart w:id="3" w:name="Dropdown11"/>
      <w:r w:rsidR="00AD5C47">
        <w:rPr>
          <w:sz w:val="24"/>
          <w:szCs w:val="24"/>
        </w:rPr>
        <w:t xml:space="preserve">Plaintiff </w:t>
      </w:r>
      <w:bookmarkEnd w:id="3"/>
    </w:p>
    <w:p w:rsidR="00CE5E72" w:rsidRPr="003937A4" w:rsidRDefault="00AD5C47" w:rsidP="00CE5E72">
      <w:pPr>
        <w:rPr>
          <w:sz w:val="24"/>
          <w:szCs w:val="24"/>
        </w:rPr>
        <w:sectPr w:rsidR="00CE5E72" w:rsidRPr="003937A4"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t>Mr. B. Hoareau f</w:t>
      </w:r>
      <w:r w:rsidR="00CE5E72" w:rsidRPr="003937A4">
        <w:rPr>
          <w:sz w:val="24"/>
          <w:szCs w:val="24"/>
        </w:rPr>
        <w:t>or the Respondent</w:t>
      </w:r>
    </w:p>
    <w:p w:rsidR="00CE5E72" w:rsidRPr="003937A4" w:rsidRDefault="00CE5E72" w:rsidP="00CE5E72">
      <w:pPr>
        <w:rPr>
          <w:sz w:val="24"/>
          <w:szCs w:val="24"/>
        </w:rPr>
        <w:sectPr w:rsidR="00CE5E72" w:rsidRPr="003937A4" w:rsidSect="00EF2051">
          <w:type w:val="continuous"/>
          <w:pgSz w:w="12240" w:h="15840"/>
          <w:pgMar w:top="1440" w:right="1440" w:bottom="1440" w:left="1440" w:header="720" w:footer="720" w:gutter="0"/>
          <w:cols w:space="720"/>
          <w:docGrid w:linePitch="360"/>
        </w:sectPr>
      </w:pPr>
    </w:p>
    <w:p w:rsidR="00CE5E72" w:rsidRPr="003937A4" w:rsidRDefault="00CE5E72" w:rsidP="00CE5E72">
      <w:pPr>
        <w:spacing w:before="120" w:after="240"/>
        <w:rPr>
          <w:b/>
          <w:sz w:val="24"/>
          <w:szCs w:val="24"/>
        </w:rPr>
      </w:pPr>
      <w:r w:rsidRPr="003937A4">
        <w:rPr>
          <w:sz w:val="24"/>
          <w:szCs w:val="24"/>
        </w:rPr>
        <w:lastRenderedPageBreak/>
        <w:t>Delivered:</w:t>
      </w:r>
      <w:r w:rsidRPr="003937A4">
        <w:rPr>
          <w:sz w:val="24"/>
          <w:szCs w:val="24"/>
        </w:rPr>
        <w:tab/>
      </w:r>
      <w:r w:rsidR="00AD5C47">
        <w:rPr>
          <w:sz w:val="24"/>
          <w:szCs w:val="24"/>
        </w:rPr>
        <w:t>3</w:t>
      </w:r>
      <w:r w:rsidR="00AD5C47" w:rsidRPr="00AD5C47">
        <w:rPr>
          <w:sz w:val="24"/>
          <w:szCs w:val="24"/>
          <w:vertAlign w:val="superscript"/>
        </w:rPr>
        <w:t>rd</w:t>
      </w:r>
      <w:r w:rsidR="00257AF0">
        <w:rPr>
          <w:sz w:val="24"/>
          <w:szCs w:val="24"/>
          <w:vertAlign w:val="superscript"/>
        </w:rPr>
        <w:t xml:space="preserve"> </w:t>
      </w:r>
      <w:r w:rsidRPr="003937A4">
        <w:rPr>
          <w:sz w:val="24"/>
          <w:szCs w:val="24"/>
        </w:rPr>
        <w:t xml:space="preserve">day of </w:t>
      </w:r>
      <w:r w:rsidR="00AD5C47">
        <w:rPr>
          <w:sz w:val="24"/>
          <w:szCs w:val="24"/>
        </w:rPr>
        <w:t xml:space="preserve">August </w:t>
      </w:r>
      <w:r w:rsidR="00E15A19" w:rsidRPr="003937A4">
        <w:rPr>
          <w:sz w:val="24"/>
          <w:szCs w:val="24"/>
        </w:rPr>
        <w:t>2018</w:t>
      </w:r>
    </w:p>
    <w:p w:rsidR="00CE5E72" w:rsidRPr="003937A4" w:rsidRDefault="00CE5E72" w:rsidP="00CE5E72">
      <w:pPr>
        <w:pBdr>
          <w:top w:val="dotted" w:sz="4" w:space="1" w:color="auto"/>
          <w:bottom w:val="dotted" w:sz="4" w:space="1" w:color="auto"/>
        </w:pBdr>
        <w:jc w:val="center"/>
        <w:rPr>
          <w:sz w:val="24"/>
          <w:szCs w:val="24"/>
          <w:highlight w:val="lightGray"/>
        </w:rPr>
      </w:pPr>
    </w:p>
    <w:bookmarkStart w:id="4" w:name="Dropdown8"/>
    <w:bookmarkEnd w:id="1"/>
    <w:p w:rsidR="00C87FCA" w:rsidRPr="003937A4" w:rsidRDefault="00B37B3D" w:rsidP="001E576A">
      <w:pPr>
        <w:pBdr>
          <w:top w:val="dotted" w:sz="4" w:space="1" w:color="auto"/>
          <w:bottom w:val="dotted" w:sz="4" w:space="1" w:color="auto"/>
        </w:pBdr>
        <w:jc w:val="center"/>
        <w:rPr>
          <w:b/>
          <w:sz w:val="24"/>
          <w:szCs w:val="24"/>
        </w:rPr>
      </w:pPr>
      <w:r w:rsidRPr="003937A4">
        <w:rPr>
          <w:b/>
          <w:sz w:val="24"/>
          <w:szCs w:val="24"/>
        </w:rPr>
        <w:fldChar w:fldCharType="begin">
          <w:ffData>
            <w:name w:val="Dropdown8"/>
            <w:enabled/>
            <w:calcOnExit w:val="0"/>
            <w:ddList>
              <w:result w:val="1"/>
              <w:listEntry w:val="ORDER"/>
              <w:listEntry w:val="RULING"/>
              <w:listEntry w:val="JUDGMENT BY CONSENT"/>
            </w:ddList>
          </w:ffData>
        </w:fldChar>
      </w:r>
      <w:r w:rsidR="001E576A" w:rsidRPr="003937A4">
        <w:rPr>
          <w:b/>
          <w:sz w:val="24"/>
          <w:szCs w:val="24"/>
        </w:rPr>
        <w:instrText xml:space="preserve"> FORMDROPDOWN </w:instrText>
      </w:r>
      <w:r w:rsidR="00121DF9">
        <w:rPr>
          <w:b/>
          <w:sz w:val="24"/>
          <w:szCs w:val="24"/>
        </w:rPr>
      </w:r>
      <w:r w:rsidR="00121DF9">
        <w:rPr>
          <w:b/>
          <w:sz w:val="24"/>
          <w:szCs w:val="24"/>
        </w:rPr>
        <w:fldChar w:fldCharType="separate"/>
      </w:r>
      <w:r w:rsidRPr="003937A4">
        <w:rPr>
          <w:b/>
          <w:sz w:val="24"/>
          <w:szCs w:val="24"/>
        </w:rPr>
        <w:fldChar w:fldCharType="end"/>
      </w:r>
      <w:bookmarkEnd w:id="4"/>
      <w:r w:rsidR="00C74AF8">
        <w:rPr>
          <w:b/>
          <w:sz w:val="24"/>
          <w:szCs w:val="24"/>
        </w:rPr>
        <w:t xml:space="preserve"> ON</w:t>
      </w:r>
      <w:r w:rsidR="00AD5C47">
        <w:rPr>
          <w:b/>
          <w:sz w:val="24"/>
          <w:szCs w:val="24"/>
        </w:rPr>
        <w:t xml:space="preserve"> MOTION TO AMEND A PLAINT </w:t>
      </w:r>
    </w:p>
    <w:p w:rsidR="001008BC" w:rsidRPr="003937A4" w:rsidRDefault="001008BC" w:rsidP="00C87FCA">
      <w:pPr>
        <w:pBdr>
          <w:top w:val="dotted" w:sz="4" w:space="1" w:color="auto"/>
          <w:bottom w:val="dotted" w:sz="4" w:space="1" w:color="auto"/>
        </w:pBdr>
        <w:jc w:val="center"/>
        <w:rPr>
          <w:b/>
          <w:sz w:val="24"/>
          <w:szCs w:val="24"/>
        </w:rPr>
      </w:pPr>
    </w:p>
    <w:p w:rsidR="001008BC" w:rsidRPr="003937A4" w:rsidRDefault="001008BC" w:rsidP="001008BC">
      <w:pPr>
        <w:pStyle w:val="ListParagraph"/>
        <w:widowControl/>
        <w:autoSpaceDE/>
        <w:autoSpaceDN/>
        <w:adjustRightInd/>
        <w:spacing w:line="360" w:lineRule="auto"/>
        <w:ind w:left="0"/>
        <w:contextualSpacing w:val="0"/>
        <w:jc w:val="both"/>
        <w:rPr>
          <w:b/>
          <w:sz w:val="24"/>
          <w:szCs w:val="24"/>
        </w:rPr>
      </w:pPr>
    </w:p>
    <w:p w:rsidR="00C87FCA" w:rsidRPr="003937A4" w:rsidRDefault="00AD5C47" w:rsidP="00C87FCA">
      <w:pPr>
        <w:pStyle w:val="ListParagraph"/>
        <w:widowControl/>
        <w:autoSpaceDE/>
        <w:autoSpaceDN/>
        <w:adjustRightInd/>
        <w:spacing w:after="240" w:line="360" w:lineRule="auto"/>
        <w:ind w:left="0"/>
        <w:contextualSpacing w:val="0"/>
        <w:jc w:val="both"/>
        <w:rPr>
          <w:b/>
          <w:sz w:val="24"/>
          <w:szCs w:val="24"/>
        </w:rPr>
      </w:pPr>
      <w:r>
        <w:rPr>
          <w:b/>
          <w:sz w:val="24"/>
          <w:szCs w:val="24"/>
        </w:rPr>
        <w:t>ANDRE-</w:t>
      </w:r>
      <w:r w:rsidR="00E15A19" w:rsidRPr="003937A4">
        <w:rPr>
          <w:b/>
          <w:sz w:val="24"/>
          <w:szCs w:val="24"/>
        </w:rPr>
        <w:t>J</w:t>
      </w:r>
    </w:p>
    <w:p w:rsidR="001008BC" w:rsidRPr="003937A4"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RPr="003937A4" w:rsidSect="00EF2051">
          <w:footerReference w:type="default" r:id="rId9"/>
          <w:type w:val="continuous"/>
          <w:pgSz w:w="12240" w:h="15840"/>
          <w:pgMar w:top="1440" w:right="1440" w:bottom="1440" w:left="1440" w:header="720" w:footer="720" w:gutter="0"/>
          <w:cols w:space="720"/>
          <w:docGrid w:linePitch="360"/>
        </w:sectPr>
      </w:pPr>
    </w:p>
    <w:p w:rsidR="00AD5C47" w:rsidRDefault="00121DF9" w:rsidP="00121DF9">
      <w:pPr>
        <w:pStyle w:val="JudgmentText"/>
        <w:numPr>
          <w:ilvl w:val="0"/>
          <w:numId w:val="0"/>
        </w:numPr>
        <w:ind w:left="720" w:hanging="720"/>
      </w:pPr>
      <w:r>
        <w:lastRenderedPageBreak/>
        <w:t>[1]</w:t>
      </w:r>
      <w:r>
        <w:tab/>
      </w:r>
      <w:r w:rsidR="00721283" w:rsidRPr="003937A4">
        <w:t>This</w:t>
      </w:r>
      <w:r w:rsidR="00E15A19" w:rsidRPr="003937A4">
        <w:t xml:space="preserve"> Ruling arises out of a</w:t>
      </w:r>
      <w:r w:rsidR="00AD5C47">
        <w:t xml:space="preserve"> Motion </w:t>
      </w:r>
      <w:r w:rsidR="00E15A19" w:rsidRPr="003937A4">
        <w:t>of the 1</w:t>
      </w:r>
      <w:r w:rsidR="00AD5C47">
        <w:t>1</w:t>
      </w:r>
      <w:r w:rsidR="00E15A19" w:rsidRPr="003937A4">
        <w:rPr>
          <w:vertAlign w:val="superscript"/>
        </w:rPr>
        <w:t>th</w:t>
      </w:r>
      <w:r w:rsidR="00AD5C47">
        <w:t xml:space="preserve"> June 2018, </w:t>
      </w:r>
      <w:r w:rsidR="00E15A19" w:rsidRPr="003937A4">
        <w:t xml:space="preserve">filed by </w:t>
      </w:r>
      <w:r w:rsidR="00AD5C47">
        <w:t xml:space="preserve">Aisha Rath </w:t>
      </w:r>
      <w:r w:rsidR="00E15A19" w:rsidRPr="003937A4">
        <w:t>(“</w:t>
      </w:r>
      <w:r w:rsidR="00AD5C47">
        <w:t>Plaintiff</w:t>
      </w:r>
      <w:r w:rsidR="00E15A19" w:rsidRPr="003937A4">
        <w:t xml:space="preserve">”), </w:t>
      </w:r>
      <w:r w:rsidR="00721283" w:rsidRPr="003937A4">
        <w:t xml:space="preserve">for </w:t>
      </w:r>
      <w:r w:rsidR="00AD5C47">
        <w:t>leave to amend her plaint filed on the 30</w:t>
      </w:r>
      <w:r w:rsidR="00AD5C47" w:rsidRPr="00AD5C47">
        <w:rPr>
          <w:vertAlign w:val="superscript"/>
        </w:rPr>
        <w:t>th</w:t>
      </w:r>
      <w:r w:rsidR="00AD5C47">
        <w:t xml:space="preserve"> January 2018. The Plaintiff relies on an Affidavit in support of the same date as the Motion.</w:t>
      </w:r>
    </w:p>
    <w:p w:rsidR="00AD5C47" w:rsidRDefault="00121DF9" w:rsidP="00121DF9">
      <w:pPr>
        <w:pStyle w:val="JudgmentText"/>
        <w:numPr>
          <w:ilvl w:val="0"/>
          <w:numId w:val="0"/>
        </w:numPr>
        <w:ind w:left="720" w:hanging="720"/>
      </w:pPr>
      <w:r>
        <w:lastRenderedPageBreak/>
        <w:t>[2]</w:t>
      </w:r>
      <w:r>
        <w:tab/>
      </w:r>
      <w:r w:rsidR="00AD5C47">
        <w:t>The Defendant vehemently objects to the Motion by way of an affidavit in reply of the 3</w:t>
      </w:r>
      <w:r w:rsidR="00AD5C47" w:rsidRPr="00AD5C47">
        <w:rPr>
          <w:vertAlign w:val="superscript"/>
        </w:rPr>
        <w:t>rd</w:t>
      </w:r>
      <w:r w:rsidR="00AD5C47">
        <w:t xml:space="preserve"> July 2018.</w:t>
      </w:r>
    </w:p>
    <w:p w:rsidR="00AD5C47" w:rsidRDefault="00121DF9" w:rsidP="00121DF9">
      <w:pPr>
        <w:pStyle w:val="JudgmentText"/>
        <w:numPr>
          <w:ilvl w:val="0"/>
          <w:numId w:val="0"/>
        </w:numPr>
        <w:ind w:left="720" w:hanging="720"/>
      </w:pPr>
      <w:r>
        <w:t>[3]</w:t>
      </w:r>
      <w:r>
        <w:tab/>
      </w:r>
      <w:r w:rsidR="00AD5C47">
        <w:t>Both Learned Counsels were heard for and against the Motion on the above-mentioned date of hearing and submitted in a gist as follows.</w:t>
      </w:r>
    </w:p>
    <w:p w:rsidR="00AD5C47" w:rsidRDefault="00121DF9" w:rsidP="00121DF9">
      <w:pPr>
        <w:pStyle w:val="JudgmentText"/>
        <w:numPr>
          <w:ilvl w:val="0"/>
          <w:numId w:val="0"/>
        </w:numPr>
        <w:ind w:left="720" w:hanging="720"/>
      </w:pPr>
      <w:r>
        <w:t>[4]</w:t>
      </w:r>
      <w:r>
        <w:tab/>
      </w:r>
      <w:r w:rsidR="00AD5C47">
        <w:t xml:space="preserve">Learned Counsel for the plaintiff submitted that the plaintiff relied on paragraph 2 of her said affidavit in support </w:t>
      </w:r>
      <w:r w:rsidR="008973AC">
        <w:t xml:space="preserve">in that, </w:t>
      </w:r>
      <w:r w:rsidR="00AD5C47" w:rsidRPr="008973AC">
        <w:rPr>
          <w:i/>
        </w:rPr>
        <w:t>“I</w:t>
      </w:r>
      <w:r w:rsidR="00257AF0">
        <w:rPr>
          <w:i/>
        </w:rPr>
        <w:t xml:space="preserve"> </w:t>
      </w:r>
      <w:r w:rsidR="00AD5C47" w:rsidRPr="008973AC">
        <w:rPr>
          <w:i/>
        </w:rPr>
        <w:t xml:space="preserve">am advised by my attorney Mr. Joel Camille and verily believe that the plaint filed by me in this matter needs an amendment so as to better represent our case before the Honourable Court. There is now shown to me, annexed and marked as P1, </w:t>
      </w:r>
      <w:r w:rsidR="00DC00B7" w:rsidRPr="008973AC">
        <w:rPr>
          <w:i/>
        </w:rPr>
        <w:t>a copy of the proposed amendment to my plaint in this matter.</w:t>
      </w:r>
      <w:r w:rsidR="00DC00B7">
        <w:t xml:space="preserve">” </w:t>
      </w:r>
    </w:p>
    <w:p w:rsidR="00721283" w:rsidRDefault="00121DF9" w:rsidP="00121DF9">
      <w:pPr>
        <w:pStyle w:val="JudgmentText"/>
        <w:numPr>
          <w:ilvl w:val="0"/>
          <w:numId w:val="0"/>
        </w:numPr>
        <w:ind w:left="720" w:hanging="720"/>
      </w:pPr>
      <w:r>
        <w:t>[5]</w:t>
      </w:r>
      <w:r>
        <w:tab/>
      </w:r>
      <w:r w:rsidR="00721283" w:rsidRPr="003937A4">
        <w:t>The Respondent</w:t>
      </w:r>
      <w:r w:rsidR="00CE5E72" w:rsidRPr="003937A4">
        <w:t xml:space="preserve"> is </w:t>
      </w:r>
      <w:r w:rsidR="00721283" w:rsidRPr="003937A4">
        <w:t xml:space="preserve">resisting the </w:t>
      </w:r>
      <w:r w:rsidR="00ED13C9" w:rsidRPr="003937A4">
        <w:t xml:space="preserve">Application </w:t>
      </w:r>
      <w:r w:rsidR="00E15A19" w:rsidRPr="003937A4">
        <w:t>by way of Affidavit in Reply of the 18</w:t>
      </w:r>
      <w:r w:rsidR="00E15A19" w:rsidRPr="003937A4">
        <w:rPr>
          <w:vertAlign w:val="superscript"/>
        </w:rPr>
        <w:t>th</w:t>
      </w:r>
      <w:r w:rsidR="00DC00B7">
        <w:t xml:space="preserve"> January 2018</w:t>
      </w:r>
      <w:r w:rsidR="008973AC">
        <w:t>,</w:t>
      </w:r>
      <w:r w:rsidR="00DC00B7">
        <w:t xml:space="preserve"> submitt</w:t>
      </w:r>
      <w:r w:rsidR="00C74AF8">
        <w:t>e</w:t>
      </w:r>
      <w:r w:rsidR="00DC00B7">
        <w:t xml:space="preserve">d in furtherance </w:t>
      </w:r>
      <w:r w:rsidR="008973AC">
        <w:t>to paragraph 4</w:t>
      </w:r>
      <w:r w:rsidR="00DC00B7">
        <w:t xml:space="preserve"> (i) and (ii) thereof</w:t>
      </w:r>
      <w:r w:rsidR="008973AC">
        <w:t xml:space="preserve">, </w:t>
      </w:r>
      <w:r w:rsidR="00DC00B7">
        <w:t xml:space="preserve">that the affidavit sworn by </w:t>
      </w:r>
      <w:r w:rsidR="008973AC">
        <w:t>Plaintiff</w:t>
      </w:r>
      <w:r w:rsidR="00DC00B7">
        <w:t xml:space="preserve"> in support of the notice of motion, is not in accordance wi</w:t>
      </w:r>
      <w:r w:rsidR="00C74AF8">
        <w:t xml:space="preserve">th the </w:t>
      </w:r>
      <w:r w:rsidR="00DC00B7">
        <w:t>law and oug</w:t>
      </w:r>
      <w:r w:rsidR="00C74AF8">
        <w:t>ht to be disregarded by this Honourable co</w:t>
      </w:r>
      <w:r w:rsidR="00DC00B7">
        <w:t xml:space="preserve">urt and that the facts set out in the affidavit </w:t>
      </w:r>
      <w:r w:rsidR="00C74AF8">
        <w:t>do not disclose any gro</w:t>
      </w:r>
      <w:r w:rsidR="00DC00B7">
        <w:t>und, so as to justify the granting of leave to amend the plaint.</w:t>
      </w:r>
    </w:p>
    <w:p w:rsidR="00DC00B7" w:rsidRPr="003937A4" w:rsidRDefault="00F864BD" w:rsidP="00DC00B7">
      <w:pPr>
        <w:pStyle w:val="JudgmentText"/>
        <w:numPr>
          <w:ilvl w:val="0"/>
          <w:numId w:val="0"/>
        </w:numPr>
        <w:ind w:left="720" w:hanging="720"/>
      </w:pPr>
      <w:r>
        <w:t>[6]</w:t>
      </w:r>
      <w:r>
        <w:tab/>
        <w:t>Lear</w:t>
      </w:r>
      <w:r w:rsidR="00DC00B7">
        <w:t xml:space="preserve">ned counsel for the defendant submitted that </w:t>
      </w:r>
      <w:r w:rsidR="00C74AF8">
        <w:t>the affidavit of the P</w:t>
      </w:r>
      <w:r>
        <w:t>laintiff w</w:t>
      </w:r>
      <w:r w:rsidR="00C74AF8">
        <w:t xml:space="preserve">as not one setting out </w:t>
      </w:r>
      <w:r w:rsidR="0084270D">
        <w:t>t</w:t>
      </w:r>
      <w:r w:rsidR="00C74AF8">
        <w:t>he facts warranting her motion and merely stating that she needs to amend to  better represent h</w:t>
      </w:r>
      <w:r>
        <w:t>e</w:t>
      </w:r>
      <w:r w:rsidR="00C74AF8">
        <w:t>r case is not sufficient hence not</w:t>
      </w:r>
      <w:r>
        <w:t xml:space="preserve"> disclosing any gro</w:t>
      </w:r>
      <w:r w:rsidR="00C74AF8">
        <w:t xml:space="preserve">und to warrant the amendment. </w:t>
      </w:r>
    </w:p>
    <w:p w:rsidR="00F864BD" w:rsidRDefault="008973AC" w:rsidP="00E15A19">
      <w:pPr>
        <w:pStyle w:val="JudgmentText"/>
        <w:numPr>
          <w:ilvl w:val="0"/>
          <w:numId w:val="0"/>
        </w:numPr>
        <w:ind w:left="720" w:hanging="720"/>
      </w:pPr>
      <w:r>
        <w:t>[7</w:t>
      </w:r>
      <w:r w:rsidR="00F864BD">
        <w:t>]</w:t>
      </w:r>
      <w:r w:rsidR="00F864BD">
        <w:tab/>
        <w:t>Following the brief background to the current motion</w:t>
      </w:r>
      <w:r>
        <w:t>,</w:t>
      </w:r>
      <w:r w:rsidR="00F864BD">
        <w:t xml:space="preserve"> I find no necessity for the purpose of this Ruling</w:t>
      </w:r>
      <w:r>
        <w:t xml:space="preserve">, </w:t>
      </w:r>
      <w:r w:rsidR="00F864BD">
        <w:t>to dwell in the merits of the pleadings</w:t>
      </w:r>
      <w:r>
        <w:t>,</w:t>
      </w:r>
      <w:r w:rsidR="00F864BD">
        <w:t xml:space="preserve"> for the objec</w:t>
      </w:r>
      <w:r>
        <w:t>tions as raised are</w:t>
      </w:r>
      <w:r w:rsidR="00F864BD">
        <w:t xml:space="preserve"> to be considered ex-facie the pleadings.</w:t>
      </w:r>
    </w:p>
    <w:p w:rsidR="00F864BD" w:rsidRPr="009B1806" w:rsidRDefault="008973AC" w:rsidP="00702CF7">
      <w:pPr>
        <w:pStyle w:val="JudgmentText"/>
        <w:numPr>
          <w:ilvl w:val="0"/>
          <w:numId w:val="0"/>
        </w:numPr>
        <w:ind w:left="720" w:hanging="720"/>
        <w:rPr>
          <w:i/>
        </w:rPr>
      </w:pPr>
      <w:r>
        <w:t>[8</w:t>
      </w:r>
      <w:r w:rsidR="00F864BD">
        <w:t>]</w:t>
      </w:r>
      <w:r w:rsidR="00F864BD">
        <w:tab/>
      </w:r>
      <w:r w:rsidR="0076324E">
        <w:t xml:space="preserve">Now, moving on </w:t>
      </w:r>
      <w:r w:rsidR="009B1806">
        <w:t xml:space="preserve">to </w:t>
      </w:r>
      <w:r w:rsidR="0076324E">
        <w:t>the legal standards applica</w:t>
      </w:r>
      <w:r w:rsidR="00F864BD">
        <w:t xml:space="preserve">ble in this matter, Article 146 of the Seychelles Code of Civil Procedure (Cap 213) </w:t>
      </w:r>
      <w:r w:rsidR="00F864BD" w:rsidRPr="009B1806">
        <w:rPr>
          <w:i/>
        </w:rPr>
        <w:t>(“the Code”</w:t>
      </w:r>
      <w:r w:rsidR="00F864BD">
        <w:t xml:space="preserve">) entitled </w:t>
      </w:r>
      <w:r w:rsidR="009B1806" w:rsidRPr="009B1806">
        <w:rPr>
          <w:i/>
        </w:rPr>
        <w:t>(</w:t>
      </w:r>
      <w:r w:rsidR="00F864BD" w:rsidRPr="009B1806">
        <w:rPr>
          <w:i/>
        </w:rPr>
        <w:t>amendment of pleadings”)</w:t>
      </w:r>
      <w:r w:rsidR="00F864BD">
        <w:t xml:space="preserve"> provides that</w:t>
      </w:r>
      <w:r w:rsidR="009B1806">
        <w:t>,</w:t>
      </w:r>
      <w:r w:rsidR="00F864BD">
        <w:t xml:space="preserve"> “</w:t>
      </w:r>
      <w:r w:rsidR="00F864BD" w:rsidRPr="009B1806">
        <w:rPr>
          <w:i/>
        </w:rPr>
        <w:t xml:space="preserve">the court may, at any stage of the proceedings, allow either party to alter or amend his pleadings, in such manner and on such terms as may be just, and all such amendments shall be made as may be necessary for the purpose of determining the real questions in controversy between the parties.” </w:t>
      </w:r>
    </w:p>
    <w:p w:rsidR="00F864BD" w:rsidRPr="009B1806" w:rsidRDefault="009B1806" w:rsidP="00702CF7">
      <w:pPr>
        <w:pStyle w:val="JudgmentText"/>
        <w:numPr>
          <w:ilvl w:val="0"/>
          <w:numId w:val="0"/>
        </w:numPr>
        <w:ind w:left="720" w:hanging="720"/>
        <w:rPr>
          <w:i/>
        </w:rPr>
      </w:pPr>
      <w:r>
        <w:lastRenderedPageBreak/>
        <w:t>[5]</w:t>
      </w:r>
      <w:r>
        <w:tab/>
        <w:t>Furthe</w:t>
      </w:r>
      <w:r w:rsidR="00F864BD">
        <w:t xml:space="preserve">r, Article 170 of the </w:t>
      </w:r>
      <w:r w:rsidR="00F864BD" w:rsidRPr="009B1806">
        <w:rPr>
          <w:i/>
        </w:rPr>
        <w:t>Code</w:t>
      </w:r>
      <w:r w:rsidR="00F864BD">
        <w:t xml:space="preserve"> provides that, </w:t>
      </w:r>
      <w:r w:rsidR="00F864BD" w:rsidRPr="009B1806">
        <w:rPr>
          <w:i/>
        </w:rPr>
        <w:t xml:space="preserve">“Affidavits shall be confined to such facts as the witness is able of his own knowledge to prove, except on interlocutory applications, on which statements as to his belief, with the grounds thereof, may be admitted.” </w:t>
      </w:r>
    </w:p>
    <w:p w:rsidR="00F864BD" w:rsidRDefault="009B1806" w:rsidP="00D75D54">
      <w:pPr>
        <w:pStyle w:val="JudgmentText"/>
        <w:numPr>
          <w:ilvl w:val="0"/>
          <w:numId w:val="0"/>
        </w:numPr>
        <w:ind w:left="720" w:hanging="720"/>
      </w:pPr>
      <w:r>
        <w:t>[9</w:t>
      </w:r>
      <w:r w:rsidR="00794A59" w:rsidRPr="003937A4">
        <w:t>]</w:t>
      </w:r>
      <w:r w:rsidR="00794A59" w:rsidRPr="003937A4">
        <w:tab/>
      </w:r>
      <w:r w:rsidR="00F864BD">
        <w:t xml:space="preserve">Now, what is important to note  from the above mentioned </w:t>
      </w:r>
      <w:r>
        <w:t xml:space="preserve">Articles </w:t>
      </w:r>
      <w:r w:rsidR="00F864BD">
        <w:t xml:space="preserve">for </w:t>
      </w:r>
      <w:r>
        <w:t>the purpose of</w:t>
      </w:r>
      <w:r w:rsidR="00F864BD">
        <w:t xml:space="preserve"> amendment of pleadings is</w:t>
      </w:r>
      <w:r>
        <w:t xml:space="preserve"> that </w:t>
      </w:r>
      <w:r w:rsidR="00F864BD">
        <w:t>inter</w:t>
      </w:r>
      <w:r w:rsidR="00257AF0">
        <w:t xml:space="preserve"> </w:t>
      </w:r>
      <w:r w:rsidR="00F864BD">
        <w:t>alia</w:t>
      </w:r>
      <w:r>
        <w:t>, ‘</w:t>
      </w:r>
      <w:r w:rsidR="00F864BD">
        <w:t xml:space="preserve">amendments are to </w:t>
      </w:r>
      <w:r w:rsidR="00257AF0">
        <w:t>be granted</w:t>
      </w:r>
      <w:r w:rsidR="00F864BD">
        <w:t xml:space="preserve"> provided an affidavit of facts is filed in support and facts averred shall be within the knowledge of the deponent for the furtherance of the application made</w:t>
      </w:r>
      <w:r>
        <w:t>’</w:t>
      </w:r>
      <w:r w:rsidR="00F864BD">
        <w:t>.</w:t>
      </w:r>
    </w:p>
    <w:p w:rsidR="008973AC" w:rsidRPr="009B1806" w:rsidRDefault="009B1806" w:rsidP="00D75D54">
      <w:pPr>
        <w:pStyle w:val="JudgmentText"/>
        <w:numPr>
          <w:ilvl w:val="0"/>
          <w:numId w:val="0"/>
        </w:numPr>
        <w:ind w:left="720" w:hanging="720"/>
        <w:rPr>
          <w:i/>
        </w:rPr>
      </w:pPr>
      <w:r>
        <w:t>[10</w:t>
      </w:r>
      <w:r w:rsidR="00F864BD">
        <w:t>]</w:t>
      </w:r>
      <w:r w:rsidR="00F864BD">
        <w:tab/>
        <w:t xml:space="preserve">It is obvious in this case, that reference and a close scrutiny of paragraph </w:t>
      </w:r>
      <w:r w:rsidR="008973AC">
        <w:t xml:space="preserve">2 </w:t>
      </w:r>
      <w:r>
        <w:t>of the affidavit of the p</w:t>
      </w:r>
      <w:r w:rsidR="008973AC">
        <w:t xml:space="preserve">laintiff does not disclose </w:t>
      </w:r>
      <w:r>
        <w:t>the facts leading to t</w:t>
      </w:r>
      <w:r w:rsidR="008973AC">
        <w:t>he application but rather the belief of her attorney which is unknown not only to her but to the Court also</w:t>
      </w:r>
      <w:r>
        <w:t>,</w:t>
      </w:r>
      <w:r w:rsidR="008973AC">
        <w:t xml:space="preserve"> hence inability of the cou</w:t>
      </w:r>
      <w:r w:rsidR="008973AC" w:rsidRPr="009B1806">
        <w:t>rt to det</w:t>
      </w:r>
      <w:r w:rsidRPr="009B1806">
        <w:t xml:space="preserve">ermine whether the application falls within the parameters </w:t>
      </w:r>
      <w:r w:rsidR="008973AC" w:rsidRPr="009B1806">
        <w:t xml:space="preserve">of Article 146 of the </w:t>
      </w:r>
      <w:r w:rsidR="008973AC" w:rsidRPr="009B1806">
        <w:rPr>
          <w:i/>
        </w:rPr>
        <w:t>Cod</w:t>
      </w:r>
      <w:r w:rsidR="008973AC">
        <w:t>e inter alia</w:t>
      </w:r>
      <w:r>
        <w:t xml:space="preserve">, as to, </w:t>
      </w:r>
      <w:r w:rsidR="008973AC">
        <w:t>“</w:t>
      </w:r>
      <w:r w:rsidR="008973AC" w:rsidRPr="009B1806">
        <w:rPr>
          <w:i/>
        </w:rPr>
        <w:t xml:space="preserve">whether it should be allowed for </w:t>
      </w:r>
      <w:r>
        <w:rPr>
          <w:i/>
        </w:rPr>
        <w:t>t</w:t>
      </w:r>
      <w:r w:rsidR="008973AC" w:rsidRPr="009B1806">
        <w:rPr>
          <w:i/>
        </w:rPr>
        <w:t>he purpose of determining the real questions in controversy between the parties”</w:t>
      </w:r>
    </w:p>
    <w:p w:rsidR="008973AC" w:rsidRDefault="009B1806" w:rsidP="00D75D54">
      <w:pPr>
        <w:pStyle w:val="JudgmentText"/>
        <w:numPr>
          <w:ilvl w:val="0"/>
          <w:numId w:val="0"/>
        </w:numPr>
        <w:ind w:left="720" w:hanging="720"/>
      </w:pPr>
      <w:r>
        <w:t>[11</w:t>
      </w:r>
      <w:r w:rsidR="008973AC">
        <w:t>]</w:t>
      </w:r>
      <w:r w:rsidR="008973AC">
        <w:tab/>
        <w:t>In the latter respect</w:t>
      </w:r>
      <w:r>
        <w:t>,</w:t>
      </w:r>
      <w:r w:rsidR="008973AC">
        <w:t xml:space="preserve"> it is irrelevant that the proposed amended plaint </w:t>
      </w:r>
      <w:r>
        <w:t>is</w:t>
      </w:r>
      <w:r w:rsidR="008973AC">
        <w:t xml:space="preserve"> attached </w:t>
      </w:r>
      <w:r w:rsidR="0084270D">
        <w:t xml:space="preserve">to </w:t>
      </w:r>
      <w:r w:rsidR="008973AC">
        <w:t>the application</w:t>
      </w:r>
      <w:r>
        <w:t>,</w:t>
      </w:r>
      <w:r w:rsidR="00257AF0">
        <w:t xml:space="preserve"> </w:t>
      </w:r>
      <w:r>
        <w:t xml:space="preserve">for it is not for the court to </w:t>
      </w:r>
      <w:r w:rsidR="008973AC">
        <w:t>decide on the cause of action on behalf of t</w:t>
      </w:r>
      <w:r>
        <w:t>he pleadings but it is for the p</w:t>
      </w:r>
      <w:r w:rsidR="008973AC">
        <w:t>laintiff to prove by way of facts to substantiate the application.</w:t>
      </w:r>
    </w:p>
    <w:p w:rsidR="003179AE" w:rsidRDefault="009B1806" w:rsidP="00257AF0">
      <w:pPr>
        <w:pStyle w:val="JudgmentText"/>
        <w:numPr>
          <w:ilvl w:val="0"/>
          <w:numId w:val="0"/>
        </w:numPr>
        <w:spacing w:after="0"/>
        <w:ind w:left="720" w:hanging="720"/>
      </w:pPr>
      <w:r>
        <w:t>[12</w:t>
      </w:r>
      <w:r w:rsidR="008973AC">
        <w:t>]</w:t>
      </w:r>
      <w:r w:rsidR="008973AC">
        <w:tab/>
        <w:t>In this matter, noting the arguments of both Learned Counsels, as above-illustrated, I find that the affidavit file</w:t>
      </w:r>
      <w:r>
        <w:t>d by the p</w:t>
      </w:r>
      <w:r w:rsidR="008973AC">
        <w:t>laintiff is deficient in that it lacks to state the facts required to suppor</w:t>
      </w:r>
      <w:r>
        <w:t>t the application and hence the</w:t>
      </w:r>
      <w:r w:rsidR="008973AC">
        <w:t xml:space="preserve"> object</w:t>
      </w:r>
      <w:r>
        <w:t>ion of the d</w:t>
      </w:r>
      <w:r w:rsidR="008973AC">
        <w:t xml:space="preserve">efendant is allowed and the </w:t>
      </w:r>
      <w:r>
        <w:t>m</w:t>
      </w:r>
      <w:r w:rsidR="008973AC">
        <w:t>otion dismissed accordingly.</w:t>
      </w:r>
    </w:p>
    <w:p w:rsidR="00257AF0" w:rsidRDefault="00257AF0" w:rsidP="00257AF0">
      <w:pPr>
        <w:pStyle w:val="JudgmentText"/>
        <w:numPr>
          <w:ilvl w:val="0"/>
          <w:numId w:val="0"/>
        </w:numPr>
        <w:spacing w:after="0"/>
        <w:ind w:left="720" w:hanging="720"/>
      </w:pPr>
    </w:p>
    <w:p w:rsidR="00EF2051" w:rsidRPr="003937A4" w:rsidRDefault="00B37B3D" w:rsidP="001E4ED8">
      <w:pPr>
        <w:pStyle w:val="ListParagraph"/>
        <w:widowControl/>
        <w:autoSpaceDE/>
        <w:autoSpaceDN/>
        <w:adjustRightInd/>
        <w:spacing w:after="240" w:line="360" w:lineRule="auto"/>
        <w:ind w:left="0"/>
        <w:contextualSpacing w:val="0"/>
        <w:jc w:val="both"/>
        <w:rPr>
          <w:sz w:val="24"/>
          <w:szCs w:val="24"/>
        </w:rPr>
        <w:sectPr w:rsidR="00EF2051" w:rsidRPr="003937A4" w:rsidSect="00EF2051">
          <w:type w:val="continuous"/>
          <w:pgSz w:w="12240" w:h="15840"/>
          <w:pgMar w:top="1440" w:right="1440" w:bottom="1440" w:left="1440" w:header="720" w:footer="720" w:gutter="0"/>
          <w:cols w:space="720"/>
          <w:formProt w:val="0"/>
          <w:docGrid w:linePitch="360"/>
        </w:sectPr>
      </w:pPr>
      <w:r w:rsidRPr="003937A4">
        <w:rPr>
          <w:sz w:val="24"/>
          <w:szCs w:val="24"/>
          <w:highlight w:val="lightGray"/>
        </w:rPr>
        <w:fldChar w:fldCharType="begin"/>
      </w:r>
      <w:r w:rsidRPr="003937A4">
        <w:rPr>
          <w:sz w:val="24"/>
          <w:szCs w:val="24"/>
          <w:highlight w:val="lightGray"/>
        </w:rPr>
        <w:fldChar w:fldCharType="end"/>
      </w:r>
    </w:p>
    <w:p w:rsidR="001E4ED8" w:rsidRPr="003937A4" w:rsidRDefault="001E4ED8" w:rsidP="001E4ED8">
      <w:pPr>
        <w:pStyle w:val="ListParagraph"/>
        <w:widowControl/>
        <w:autoSpaceDE/>
        <w:autoSpaceDN/>
        <w:adjustRightInd/>
        <w:spacing w:after="240" w:line="360" w:lineRule="auto"/>
        <w:ind w:left="0"/>
        <w:contextualSpacing w:val="0"/>
        <w:jc w:val="both"/>
        <w:rPr>
          <w:sz w:val="24"/>
          <w:szCs w:val="24"/>
        </w:rPr>
      </w:pPr>
      <w:r w:rsidRPr="003937A4">
        <w:rPr>
          <w:sz w:val="24"/>
          <w:szCs w:val="24"/>
        </w:rPr>
        <w:t xml:space="preserve">Signed, </w:t>
      </w:r>
      <w:r w:rsidR="00E33F35" w:rsidRPr="003937A4">
        <w:rPr>
          <w:sz w:val="24"/>
          <w:szCs w:val="24"/>
        </w:rPr>
        <w:t xml:space="preserve">dated and delivered at Ile du Port </w:t>
      </w:r>
      <w:r w:rsidRPr="003937A4">
        <w:rPr>
          <w:sz w:val="24"/>
          <w:szCs w:val="24"/>
        </w:rPr>
        <w:t xml:space="preserve">on </w:t>
      </w:r>
      <w:r w:rsidR="00257AF0">
        <w:rPr>
          <w:sz w:val="24"/>
          <w:szCs w:val="24"/>
        </w:rPr>
        <w:t>3</w:t>
      </w:r>
      <w:r w:rsidR="008973AC" w:rsidRPr="00257AF0">
        <w:rPr>
          <w:sz w:val="24"/>
          <w:szCs w:val="24"/>
          <w:vertAlign w:val="superscript"/>
        </w:rPr>
        <w:t>rd</w:t>
      </w:r>
      <w:r w:rsidR="008973AC">
        <w:rPr>
          <w:sz w:val="24"/>
          <w:szCs w:val="24"/>
        </w:rPr>
        <w:t xml:space="preserve"> day of August 2018</w:t>
      </w:r>
      <w:r w:rsidR="003937A4" w:rsidRPr="003937A4">
        <w:rPr>
          <w:sz w:val="24"/>
          <w:szCs w:val="24"/>
        </w:rPr>
        <w:t xml:space="preserve">. </w:t>
      </w:r>
    </w:p>
    <w:p w:rsidR="00BD0BE9" w:rsidRPr="003937A4" w:rsidRDefault="00BD0BE9" w:rsidP="0006489F">
      <w:pPr>
        <w:pStyle w:val="ListParagraph"/>
        <w:widowControl/>
        <w:autoSpaceDE/>
        <w:autoSpaceDN/>
        <w:adjustRightInd/>
        <w:spacing w:line="360" w:lineRule="auto"/>
        <w:ind w:left="0"/>
        <w:contextualSpacing w:val="0"/>
        <w:jc w:val="both"/>
        <w:rPr>
          <w:sz w:val="24"/>
          <w:szCs w:val="24"/>
        </w:rPr>
        <w:sectPr w:rsidR="00BD0BE9" w:rsidRPr="003937A4"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57AF0" w:rsidRPr="003937A4" w:rsidRDefault="00257AF0" w:rsidP="0006489F">
      <w:pPr>
        <w:pStyle w:val="ListParagraph"/>
        <w:widowControl/>
        <w:autoSpaceDE/>
        <w:autoSpaceDN/>
        <w:adjustRightInd/>
        <w:spacing w:line="360" w:lineRule="auto"/>
        <w:ind w:left="0"/>
        <w:contextualSpacing w:val="0"/>
        <w:jc w:val="both"/>
        <w:rPr>
          <w:sz w:val="24"/>
          <w:szCs w:val="24"/>
        </w:rPr>
      </w:pPr>
    </w:p>
    <w:p w:rsidR="006C2604" w:rsidRPr="003937A4" w:rsidRDefault="006C2604" w:rsidP="0006489F">
      <w:pPr>
        <w:pStyle w:val="ListParagraph"/>
        <w:widowControl/>
        <w:autoSpaceDE/>
        <w:autoSpaceDN/>
        <w:adjustRightInd/>
        <w:spacing w:line="360" w:lineRule="auto"/>
        <w:ind w:left="0"/>
        <w:contextualSpacing w:val="0"/>
        <w:jc w:val="both"/>
        <w:rPr>
          <w:sz w:val="24"/>
          <w:szCs w:val="24"/>
        </w:rPr>
      </w:pPr>
    </w:p>
    <w:p w:rsidR="00E33F35" w:rsidRDefault="008973AC" w:rsidP="0006489F">
      <w:pPr>
        <w:pStyle w:val="ListParagraph"/>
        <w:widowControl/>
        <w:autoSpaceDE/>
        <w:autoSpaceDN/>
        <w:adjustRightInd/>
        <w:ind w:left="0"/>
        <w:contextualSpacing w:val="0"/>
        <w:jc w:val="both"/>
        <w:rPr>
          <w:b/>
          <w:sz w:val="24"/>
          <w:szCs w:val="24"/>
        </w:rPr>
      </w:pPr>
      <w:r>
        <w:rPr>
          <w:b/>
          <w:sz w:val="24"/>
          <w:szCs w:val="24"/>
        </w:rPr>
        <w:t>S. Andre</w:t>
      </w:r>
    </w:p>
    <w:p w:rsidR="008973AC" w:rsidRPr="003937A4" w:rsidRDefault="008973AC" w:rsidP="0006489F">
      <w:pPr>
        <w:pStyle w:val="ListParagraph"/>
        <w:widowControl/>
        <w:autoSpaceDE/>
        <w:autoSpaceDN/>
        <w:adjustRightInd/>
        <w:ind w:left="0"/>
        <w:contextualSpacing w:val="0"/>
        <w:jc w:val="both"/>
        <w:rPr>
          <w:b/>
          <w:sz w:val="24"/>
          <w:szCs w:val="24"/>
        </w:rPr>
      </w:pPr>
    </w:p>
    <w:p w:rsidR="009E05E5" w:rsidRPr="003937A4" w:rsidRDefault="00032576" w:rsidP="00E33F35">
      <w:pPr>
        <w:pStyle w:val="ListParagraph"/>
        <w:widowControl/>
        <w:autoSpaceDE/>
        <w:autoSpaceDN/>
        <w:adjustRightInd/>
        <w:ind w:left="0"/>
        <w:contextualSpacing w:val="0"/>
        <w:jc w:val="both"/>
        <w:rPr>
          <w:b/>
          <w:sz w:val="24"/>
          <w:szCs w:val="24"/>
        </w:rPr>
      </w:pPr>
      <w:r w:rsidRPr="003937A4">
        <w:rPr>
          <w:b/>
          <w:sz w:val="24"/>
          <w:szCs w:val="24"/>
        </w:rPr>
        <w:t>Judge of the Supreme Court</w:t>
      </w:r>
      <w:bookmarkEnd w:id="0"/>
    </w:p>
    <w:sectPr w:rsidR="009E05E5" w:rsidRPr="003937A4"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2D" w:rsidRDefault="007B7F2D" w:rsidP="00DB6D34">
      <w:r>
        <w:separator/>
      </w:r>
    </w:p>
  </w:endnote>
  <w:endnote w:type="continuationSeparator" w:id="0">
    <w:p w:rsidR="007B7F2D" w:rsidRDefault="007B7F2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16" w:rsidRDefault="00B37B3D">
    <w:pPr>
      <w:pStyle w:val="Footer"/>
      <w:jc w:val="center"/>
    </w:pPr>
    <w:r>
      <w:fldChar w:fldCharType="begin"/>
    </w:r>
    <w:r w:rsidR="00783F16">
      <w:instrText xml:space="preserve"> PAGE   \* MERGEFORMAT </w:instrText>
    </w:r>
    <w:r>
      <w:fldChar w:fldCharType="separate"/>
    </w:r>
    <w:r w:rsidR="00121DF9">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16" w:rsidRDefault="00B37B3D">
    <w:pPr>
      <w:pStyle w:val="Footer"/>
      <w:jc w:val="center"/>
    </w:pPr>
    <w:r>
      <w:fldChar w:fldCharType="begin"/>
    </w:r>
    <w:r w:rsidR="00783F16">
      <w:instrText xml:space="preserve"> PAGE   \* MERGEFORMAT </w:instrText>
    </w:r>
    <w:r>
      <w:fldChar w:fldCharType="separate"/>
    </w:r>
    <w:r w:rsidR="00121DF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2D" w:rsidRDefault="007B7F2D" w:rsidP="00DB6D34">
      <w:r>
        <w:separator/>
      </w:r>
    </w:p>
  </w:footnote>
  <w:footnote w:type="continuationSeparator" w:id="0">
    <w:p w:rsidR="007B7F2D" w:rsidRDefault="007B7F2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F32BF"/>
    <w:multiLevelType w:val="hybridMultilevel"/>
    <w:tmpl w:val="144E3A6A"/>
    <w:lvl w:ilvl="0" w:tplc="BBCE5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ExMbMwtLCwMDMxsDBQ0lEKTi0uzszPAykwrgUAXsKNPiwAAAA="/>
  </w:docVars>
  <w:rsids>
    <w:rsidRoot w:val="008D7F84"/>
    <w:rsid w:val="00005BEF"/>
    <w:rsid w:val="00013542"/>
    <w:rsid w:val="0002497E"/>
    <w:rsid w:val="00030C81"/>
    <w:rsid w:val="00032576"/>
    <w:rsid w:val="0006489F"/>
    <w:rsid w:val="00075573"/>
    <w:rsid w:val="00080BD4"/>
    <w:rsid w:val="00080BD6"/>
    <w:rsid w:val="0008768D"/>
    <w:rsid w:val="00091036"/>
    <w:rsid w:val="00094C7A"/>
    <w:rsid w:val="000A02CF"/>
    <w:rsid w:val="000A10B8"/>
    <w:rsid w:val="000B2E6A"/>
    <w:rsid w:val="000B44D6"/>
    <w:rsid w:val="000D1DD3"/>
    <w:rsid w:val="000E39A5"/>
    <w:rsid w:val="000E7400"/>
    <w:rsid w:val="001008BC"/>
    <w:rsid w:val="00101D12"/>
    <w:rsid w:val="00117CBF"/>
    <w:rsid w:val="00121DF9"/>
    <w:rsid w:val="00126A10"/>
    <w:rsid w:val="00136B77"/>
    <w:rsid w:val="001376AB"/>
    <w:rsid w:val="00144612"/>
    <w:rsid w:val="001456DE"/>
    <w:rsid w:val="001572E8"/>
    <w:rsid w:val="00160729"/>
    <w:rsid w:val="0016510C"/>
    <w:rsid w:val="00170915"/>
    <w:rsid w:val="00171F06"/>
    <w:rsid w:val="00177704"/>
    <w:rsid w:val="00180158"/>
    <w:rsid w:val="00185139"/>
    <w:rsid w:val="00186F92"/>
    <w:rsid w:val="00192831"/>
    <w:rsid w:val="001D52AF"/>
    <w:rsid w:val="001E3539"/>
    <w:rsid w:val="001E4ED8"/>
    <w:rsid w:val="001E576A"/>
    <w:rsid w:val="001F2F6A"/>
    <w:rsid w:val="0020244B"/>
    <w:rsid w:val="002100CE"/>
    <w:rsid w:val="00231C17"/>
    <w:rsid w:val="00232CFB"/>
    <w:rsid w:val="00236AAC"/>
    <w:rsid w:val="0024353F"/>
    <w:rsid w:val="00257AF0"/>
    <w:rsid w:val="00270E65"/>
    <w:rsid w:val="0028799B"/>
    <w:rsid w:val="00290E14"/>
    <w:rsid w:val="0029238D"/>
    <w:rsid w:val="002A7376"/>
    <w:rsid w:val="002B2255"/>
    <w:rsid w:val="002C7560"/>
    <w:rsid w:val="002D06AA"/>
    <w:rsid w:val="002D67FC"/>
    <w:rsid w:val="002E6963"/>
    <w:rsid w:val="002F40A1"/>
    <w:rsid w:val="00301D88"/>
    <w:rsid w:val="00304E76"/>
    <w:rsid w:val="003071D1"/>
    <w:rsid w:val="003179AE"/>
    <w:rsid w:val="00346153"/>
    <w:rsid w:val="003647E7"/>
    <w:rsid w:val="0037270D"/>
    <w:rsid w:val="003755FE"/>
    <w:rsid w:val="00377341"/>
    <w:rsid w:val="003838CC"/>
    <w:rsid w:val="00384A53"/>
    <w:rsid w:val="003862CB"/>
    <w:rsid w:val="0038700C"/>
    <w:rsid w:val="00393638"/>
    <w:rsid w:val="003937A4"/>
    <w:rsid w:val="00396782"/>
    <w:rsid w:val="003B461C"/>
    <w:rsid w:val="003B4C19"/>
    <w:rsid w:val="003B61A8"/>
    <w:rsid w:val="003D58AA"/>
    <w:rsid w:val="003D7B97"/>
    <w:rsid w:val="003E2ABC"/>
    <w:rsid w:val="003F0F8D"/>
    <w:rsid w:val="003F6F72"/>
    <w:rsid w:val="004156B9"/>
    <w:rsid w:val="00445BFA"/>
    <w:rsid w:val="00452BB6"/>
    <w:rsid w:val="0045515D"/>
    <w:rsid w:val="0046133B"/>
    <w:rsid w:val="00465696"/>
    <w:rsid w:val="00470173"/>
    <w:rsid w:val="004706DB"/>
    <w:rsid w:val="004873AB"/>
    <w:rsid w:val="004C3D80"/>
    <w:rsid w:val="004D1E55"/>
    <w:rsid w:val="004D37D3"/>
    <w:rsid w:val="004D5478"/>
    <w:rsid w:val="004F3823"/>
    <w:rsid w:val="00507E2D"/>
    <w:rsid w:val="005207C8"/>
    <w:rsid w:val="00530663"/>
    <w:rsid w:val="00531376"/>
    <w:rsid w:val="005460DE"/>
    <w:rsid w:val="0055036F"/>
    <w:rsid w:val="005514D6"/>
    <w:rsid w:val="00552704"/>
    <w:rsid w:val="00556AAF"/>
    <w:rsid w:val="00572AB3"/>
    <w:rsid w:val="005836AC"/>
    <w:rsid w:val="00584583"/>
    <w:rsid w:val="0058461A"/>
    <w:rsid w:val="00585815"/>
    <w:rsid w:val="00594FAC"/>
    <w:rsid w:val="005952A4"/>
    <w:rsid w:val="005A60F9"/>
    <w:rsid w:val="005B0E48"/>
    <w:rsid w:val="005B538A"/>
    <w:rsid w:val="005C1B69"/>
    <w:rsid w:val="005D1D56"/>
    <w:rsid w:val="005D30FE"/>
    <w:rsid w:val="005F5FB0"/>
    <w:rsid w:val="00606587"/>
    <w:rsid w:val="00606EEA"/>
    <w:rsid w:val="006174DB"/>
    <w:rsid w:val="00621984"/>
    <w:rsid w:val="00624E27"/>
    <w:rsid w:val="0064023C"/>
    <w:rsid w:val="006578C2"/>
    <w:rsid w:val="00666D33"/>
    <w:rsid w:val="006A2C88"/>
    <w:rsid w:val="006A58E4"/>
    <w:rsid w:val="006B7A47"/>
    <w:rsid w:val="006B7D7D"/>
    <w:rsid w:val="006C2604"/>
    <w:rsid w:val="006D36C9"/>
    <w:rsid w:val="006E7ABD"/>
    <w:rsid w:val="00702CF7"/>
    <w:rsid w:val="00707FD9"/>
    <w:rsid w:val="007119FF"/>
    <w:rsid w:val="007175A6"/>
    <w:rsid w:val="00721283"/>
    <w:rsid w:val="007273E4"/>
    <w:rsid w:val="00736B33"/>
    <w:rsid w:val="00744508"/>
    <w:rsid w:val="00744A8E"/>
    <w:rsid w:val="0074729D"/>
    <w:rsid w:val="0075368A"/>
    <w:rsid w:val="0076324E"/>
    <w:rsid w:val="007820CB"/>
    <w:rsid w:val="00783F16"/>
    <w:rsid w:val="00794A59"/>
    <w:rsid w:val="007A47DC"/>
    <w:rsid w:val="007B6178"/>
    <w:rsid w:val="007B7F2D"/>
    <w:rsid w:val="007C1759"/>
    <w:rsid w:val="007C2809"/>
    <w:rsid w:val="007C55D6"/>
    <w:rsid w:val="007D416E"/>
    <w:rsid w:val="007E5472"/>
    <w:rsid w:val="00807411"/>
    <w:rsid w:val="00814CF5"/>
    <w:rsid w:val="00816425"/>
    <w:rsid w:val="00821758"/>
    <w:rsid w:val="00823079"/>
    <w:rsid w:val="00823890"/>
    <w:rsid w:val="008250BB"/>
    <w:rsid w:val="0083079C"/>
    <w:rsid w:val="0083298A"/>
    <w:rsid w:val="008339D1"/>
    <w:rsid w:val="00834024"/>
    <w:rsid w:val="00841387"/>
    <w:rsid w:val="0084270D"/>
    <w:rsid w:val="008472B3"/>
    <w:rsid w:val="008478D6"/>
    <w:rsid w:val="00851B1E"/>
    <w:rsid w:val="00861993"/>
    <w:rsid w:val="0086361E"/>
    <w:rsid w:val="008973AC"/>
    <w:rsid w:val="008A02B6"/>
    <w:rsid w:val="008A5208"/>
    <w:rsid w:val="008A58A5"/>
    <w:rsid w:val="008C0BA2"/>
    <w:rsid w:val="008C0FD6"/>
    <w:rsid w:val="008D7F84"/>
    <w:rsid w:val="008E1DB1"/>
    <w:rsid w:val="008E512C"/>
    <w:rsid w:val="008E7749"/>
    <w:rsid w:val="008E7F92"/>
    <w:rsid w:val="008F0C10"/>
    <w:rsid w:val="008F311B"/>
    <w:rsid w:val="008F38F7"/>
    <w:rsid w:val="00902D3C"/>
    <w:rsid w:val="00911886"/>
    <w:rsid w:val="00922CDD"/>
    <w:rsid w:val="00926D09"/>
    <w:rsid w:val="009333FF"/>
    <w:rsid w:val="009336BA"/>
    <w:rsid w:val="00937FB4"/>
    <w:rsid w:val="0094087C"/>
    <w:rsid w:val="00947FF2"/>
    <w:rsid w:val="00951EC0"/>
    <w:rsid w:val="009555E9"/>
    <w:rsid w:val="0096041D"/>
    <w:rsid w:val="00963E5D"/>
    <w:rsid w:val="00981287"/>
    <w:rsid w:val="00982E17"/>
    <w:rsid w:val="00983045"/>
    <w:rsid w:val="0099672E"/>
    <w:rsid w:val="009B1806"/>
    <w:rsid w:val="009D15F5"/>
    <w:rsid w:val="009E05E5"/>
    <w:rsid w:val="009E75DA"/>
    <w:rsid w:val="009F1B68"/>
    <w:rsid w:val="009F4DC4"/>
    <w:rsid w:val="00A11166"/>
    <w:rsid w:val="00A14038"/>
    <w:rsid w:val="00A306DA"/>
    <w:rsid w:val="00A357B1"/>
    <w:rsid w:val="00A3626F"/>
    <w:rsid w:val="00A42850"/>
    <w:rsid w:val="00A470EE"/>
    <w:rsid w:val="00A53837"/>
    <w:rsid w:val="00A62F19"/>
    <w:rsid w:val="00A80E4E"/>
    <w:rsid w:val="00A87764"/>
    <w:rsid w:val="00A92C63"/>
    <w:rsid w:val="00AA261A"/>
    <w:rsid w:val="00AA2843"/>
    <w:rsid w:val="00AB1DE9"/>
    <w:rsid w:val="00AC3885"/>
    <w:rsid w:val="00AD5C47"/>
    <w:rsid w:val="00AD75CD"/>
    <w:rsid w:val="00AE3237"/>
    <w:rsid w:val="00AF2EF7"/>
    <w:rsid w:val="00B03D05"/>
    <w:rsid w:val="00B0414B"/>
    <w:rsid w:val="00B05D6E"/>
    <w:rsid w:val="00B119B1"/>
    <w:rsid w:val="00B14612"/>
    <w:rsid w:val="00B23E73"/>
    <w:rsid w:val="00B37B3D"/>
    <w:rsid w:val="00B40898"/>
    <w:rsid w:val="00B4124C"/>
    <w:rsid w:val="00B444D1"/>
    <w:rsid w:val="00B4625E"/>
    <w:rsid w:val="00B53A4B"/>
    <w:rsid w:val="00B54691"/>
    <w:rsid w:val="00B605B4"/>
    <w:rsid w:val="00B72DE7"/>
    <w:rsid w:val="00B75AE2"/>
    <w:rsid w:val="00B9030D"/>
    <w:rsid w:val="00B9148E"/>
    <w:rsid w:val="00B94805"/>
    <w:rsid w:val="00BA16CD"/>
    <w:rsid w:val="00BA6027"/>
    <w:rsid w:val="00BB5DA2"/>
    <w:rsid w:val="00BC1D95"/>
    <w:rsid w:val="00BD0BE9"/>
    <w:rsid w:val="00BD4287"/>
    <w:rsid w:val="00BD60D5"/>
    <w:rsid w:val="00BE1D00"/>
    <w:rsid w:val="00BE3628"/>
    <w:rsid w:val="00BE424C"/>
    <w:rsid w:val="00BF5CC9"/>
    <w:rsid w:val="00C036A5"/>
    <w:rsid w:val="00C065A3"/>
    <w:rsid w:val="00C14327"/>
    <w:rsid w:val="00C22967"/>
    <w:rsid w:val="00C32142"/>
    <w:rsid w:val="00C35333"/>
    <w:rsid w:val="00C55C8B"/>
    <w:rsid w:val="00C55FDF"/>
    <w:rsid w:val="00C5739F"/>
    <w:rsid w:val="00C74AF8"/>
    <w:rsid w:val="00C76244"/>
    <w:rsid w:val="00C87FCA"/>
    <w:rsid w:val="00CA16CD"/>
    <w:rsid w:val="00CA1B0C"/>
    <w:rsid w:val="00CA556C"/>
    <w:rsid w:val="00CA7795"/>
    <w:rsid w:val="00CA7F40"/>
    <w:rsid w:val="00CB3C7E"/>
    <w:rsid w:val="00CD22F0"/>
    <w:rsid w:val="00CD4D0A"/>
    <w:rsid w:val="00CE5E72"/>
    <w:rsid w:val="00CF202E"/>
    <w:rsid w:val="00CF77E2"/>
    <w:rsid w:val="00D03314"/>
    <w:rsid w:val="00D06A0F"/>
    <w:rsid w:val="00D348E8"/>
    <w:rsid w:val="00D46AB7"/>
    <w:rsid w:val="00D56ECC"/>
    <w:rsid w:val="00D65B87"/>
    <w:rsid w:val="00D75D54"/>
    <w:rsid w:val="00D82047"/>
    <w:rsid w:val="00D9293D"/>
    <w:rsid w:val="00DA292E"/>
    <w:rsid w:val="00DB41B2"/>
    <w:rsid w:val="00DB6D34"/>
    <w:rsid w:val="00DC00B7"/>
    <w:rsid w:val="00DC79E9"/>
    <w:rsid w:val="00DC7F3D"/>
    <w:rsid w:val="00DD4E02"/>
    <w:rsid w:val="00DE08C1"/>
    <w:rsid w:val="00DF2970"/>
    <w:rsid w:val="00DF303A"/>
    <w:rsid w:val="00DF7879"/>
    <w:rsid w:val="00E0467F"/>
    <w:rsid w:val="00E0505F"/>
    <w:rsid w:val="00E07C50"/>
    <w:rsid w:val="00E15A19"/>
    <w:rsid w:val="00E26739"/>
    <w:rsid w:val="00E30B60"/>
    <w:rsid w:val="00E33F35"/>
    <w:rsid w:val="00E35862"/>
    <w:rsid w:val="00E41E94"/>
    <w:rsid w:val="00E55C69"/>
    <w:rsid w:val="00E5751D"/>
    <w:rsid w:val="00E57D4D"/>
    <w:rsid w:val="00E6492F"/>
    <w:rsid w:val="00E65691"/>
    <w:rsid w:val="00E91FA1"/>
    <w:rsid w:val="00E9402A"/>
    <w:rsid w:val="00E944E2"/>
    <w:rsid w:val="00E94E48"/>
    <w:rsid w:val="00EA0C79"/>
    <w:rsid w:val="00EA4751"/>
    <w:rsid w:val="00EA6F17"/>
    <w:rsid w:val="00EC12D0"/>
    <w:rsid w:val="00EC2355"/>
    <w:rsid w:val="00EC4C4B"/>
    <w:rsid w:val="00EC6290"/>
    <w:rsid w:val="00ED13C9"/>
    <w:rsid w:val="00EF2051"/>
    <w:rsid w:val="00EF3834"/>
    <w:rsid w:val="00F00A19"/>
    <w:rsid w:val="00F338B0"/>
    <w:rsid w:val="00F3686A"/>
    <w:rsid w:val="00F37850"/>
    <w:rsid w:val="00F51B85"/>
    <w:rsid w:val="00F55AE6"/>
    <w:rsid w:val="00F67C03"/>
    <w:rsid w:val="00F7059D"/>
    <w:rsid w:val="00F73462"/>
    <w:rsid w:val="00F74500"/>
    <w:rsid w:val="00F804CC"/>
    <w:rsid w:val="00F82A83"/>
    <w:rsid w:val="00F83B3D"/>
    <w:rsid w:val="00F864BD"/>
    <w:rsid w:val="00F92D3E"/>
    <w:rsid w:val="00F977B7"/>
    <w:rsid w:val="00FA034C"/>
    <w:rsid w:val="00FB0AFB"/>
    <w:rsid w:val="00FB2453"/>
    <w:rsid w:val="00FB39BA"/>
    <w:rsid w:val="00FC30BF"/>
    <w:rsid w:val="00FC61E3"/>
    <w:rsid w:val="00FE04C1"/>
    <w:rsid w:val="00FF3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0792B-EB9C-4AEE-B7A4-20AEBB0D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RULING%20MA%20AFFIDAVIT%20EVIDENCE%20ALESSANDRA%20MOUSTCHAE%20NEE%20BIANC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9073-D1C2-42E6-975F-851D8189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RULING MA AFFIDAVIT EVIDENCE ALESSANDRA MOUSTCHAE NEE BIANCHI</Template>
  <TotalTime>2</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Michelle</cp:lastModifiedBy>
  <cp:revision>5</cp:revision>
  <cp:lastPrinted>2018-08-03T10:39:00Z</cp:lastPrinted>
  <dcterms:created xsi:type="dcterms:W3CDTF">2018-08-03T10:28:00Z</dcterms:created>
  <dcterms:modified xsi:type="dcterms:W3CDTF">2018-12-11T06:27:00Z</dcterms:modified>
</cp:coreProperties>
</file>