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608E9"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6453AB">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6453AB">
        <w:rPr>
          <w:rFonts w:ascii="Times New Roman" w:hAnsi="Times New Roman" w:cs="Times New Roman"/>
          <w:b/>
          <w:sz w:val="24"/>
          <w:szCs w:val="24"/>
        </w:rPr>
        <w:t xml:space="preserve"> </w:t>
      </w:r>
    </w:p>
    <w:p w14:paraId="3500BF5E"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8BA4233"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1C8AA28E" w14:textId="27067AC0"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8A20C7">
        <w:rPr>
          <w:rFonts w:ascii="Times New Roman" w:hAnsi="Times New Roman" w:cs="Times New Roman"/>
          <w:sz w:val="24"/>
          <w:szCs w:val="24"/>
        </w:rPr>
        <w:t>20</w:t>
      </w:r>
      <w:r>
        <w:rPr>
          <w:rFonts w:ascii="Times New Roman" w:hAnsi="Times New Roman" w:cs="Times New Roman"/>
          <w:sz w:val="24"/>
          <w:szCs w:val="24"/>
        </w:rPr>
        <w:t xml:space="preserve">] SCSC </w:t>
      </w:r>
      <w:r w:rsidR="00F9358D">
        <w:rPr>
          <w:rFonts w:ascii="Times New Roman" w:hAnsi="Times New Roman" w:cs="Times New Roman"/>
          <w:sz w:val="24"/>
          <w:szCs w:val="24"/>
        </w:rPr>
        <w:t>479</w:t>
      </w:r>
    </w:p>
    <w:p w14:paraId="0D8AD72A" w14:textId="4E2222A9" w:rsidR="002E2AE3" w:rsidRPr="004A2599" w:rsidRDefault="006453A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8A20C7">
        <w:rPr>
          <w:rFonts w:ascii="Times New Roman" w:hAnsi="Times New Roman" w:cs="Times New Roman"/>
          <w:sz w:val="24"/>
          <w:szCs w:val="24"/>
        </w:rPr>
        <w:t xml:space="preserve">O </w:t>
      </w:r>
      <w:r w:rsidR="00173C87">
        <w:rPr>
          <w:rFonts w:ascii="Times New Roman" w:hAnsi="Times New Roman" w:cs="Times New Roman"/>
          <w:sz w:val="24"/>
          <w:szCs w:val="24"/>
        </w:rPr>
        <w:t>03/2019</w:t>
      </w:r>
    </w:p>
    <w:p w14:paraId="226D14DE" w14:textId="77777777" w:rsidR="002E2AE3" w:rsidRPr="004A2599" w:rsidRDefault="002E2AE3" w:rsidP="00214DB4">
      <w:pPr>
        <w:spacing w:after="0" w:line="240" w:lineRule="auto"/>
        <w:ind w:left="5580"/>
        <w:rPr>
          <w:rFonts w:ascii="Times New Roman" w:hAnsi="Times New Roman" w:cs="Times New Roman"/>
          <w:sz w:val="24"/>
          <w:szCs w:val="24"/>
        </w:rPr>
      </w:pPr>
    </w:p>
    <w:p w14:paraId="4DC63B60"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14:paraId="48E0AA97" w14:textId="0F0DD17C" w:rsidR="002E2AE3" w:rsidRPr="00214DB4" w:rsidRDefault="006453AB" w:rsidP="00214DB4">
      <w:pPr>
        <w:pStyle w:val="Partynames"/>
      </w:pPr>
      <w:r>
        <w:t>THE REPUBLIC</w:t>
      </w:r>
      <w:r>
        <w:tab/>
      </w:r>
    </w:p>
    <w:p w14:paraId="6DFD3F17" w14:textId="4C5E069C" w:rsidR="002E2AE3" w:rsidRPr="009669CE" w:rsidRDefault="009669CE" w:rsidP="00214DB4">
      <w:pPr>
        <w:pStyle w:val="Attorneysnames"/>
        <w:rPr>
          <w:i w:val="0"/>
        </w:rPr>
      </w:pPr>
      <w:r>
        <w:t xml:space="preserve">(rep by Ms Rongmei)                                                           </w:t>
      </w:r>
      <w:r>
        <w:rPr>
          <w:i w:val="0"/>
        </w:rPr>
        <w:t>Republic</w:t>
      </w:r>
    </w:p>
    <w:p w14:paraId="276A4633"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313DB49" w14:textId="2B2CEE5E" w:rsidR="009539C2" w:rsidRPr="004A2599" w:rsidRDefault="00960F62"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v</w:t>
      </w:r>
    </w:p>
    <w:p w14:paraId="1BD0414F"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F66399C" w14:textId="4112E7F6" w:rsidR="002E2AE3" w:rsidRPr="004A2599" w:rsidRDefault="009669CE" w:rsidP="00214DB4">
      <w:pPr>
        <w:pStyle w:val="Partynames"/>
      </w:pPr>
      <w:r>
        <w:t>Israel Labrosse</w:t>
      </w:r>
    </w:p>
    <w:p w14:paraId="2FBCDB35" w14:textId="06BA973C" w:rsidR="002E2AE3" w:rsidRPr="009669CE" w:rsidRDefault="002E2AE3"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9669CE">
        <w:rPr>
          <w:rFonts w:ascii="Times New Roman" w:hAnsi="Times New Roman" w:cs="Times New Roman"/>
          <w:i/>
          <w:sz w:val="24"/>
          <w:szCs w:val="24"/>
        </w:rPr>
        <w:t xml:space="preserve"> Ms Parmentier</w:t>
      </w:r>
      <w:r w:rsidRPr="004A2599">
        <w:rPr>
          <w:rFonts w:ascii="Times New Roman" w:hAnsi="Times New Roman" w:cs="Times New Roman"/>
          <w:i/>
          <w:sz w:val="24"/>
          <w:szCs w:val="24"/>
        </w:rPr>
        <w:t>)</w:t>
      </w:r>
      <w:r w:rsidR="009669CE">
        <w:rPr>
          <w:rFonts w:ascii="Times New Roman" w:hAnsi="Times New Roman" w:cs="Times New Roman"/>
          <w:i/>
          <w:sz w:val="24"/>
          <w:szCs w:val="24"/>
        </w:rPr>
        <w:t xml:space="preserve">                         </w:t>
      </w:r>
      <w:r w:rsidR="00BB3003">
        <w:rPr>
          <w:rFonts w:ascii="Times New Roman" w:hAnsi="Times New Roman" w:cs="Times New Roman"/>
          <w:i/>
          <w:sz w:val="24"/>
          <w:szCs w:val="24"/>
        </w:rPr>
        <w:t xml:space="preserve">                            </w:t>
      </w:r>
      <w:r w:rsidR="009669CE">
        <w:rPr>
          <w:rFonts w:ascii="Times New Roman" w:hAnsi="Times New Roman" w:cs="Times New Roman"/>
          <w:sz w:val="24"/>
          <w:szCs w:val="24"/>
        </w:rPr>
        <w:t>Accused</w:t>
      </w:r>
    </w:p>
    <w:p w14:paraId="7B32494E" w14:textId="77777777" w:rsidR="002E2AE3" w:rsidRPr="006453AB" w:rsidRDefault="002E2AE3" w:rsidP="006453AB">
      <w:pPr>
        <w:pStyle w:val="Partynames"/>
      </w:pPr>
    </w:p>
    <w:p w14:paraId="5333395C"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F2C5A5B" w14:textId="72FE4E3B" w:rsidR="00405958" w:rsidRPr="008A20C7" w:rsidRDefault="00405958" w:rsidP="00F9358D">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F9358D">
        <w:rPr>
          <w:rFonts w:ascii="Times New Roman" w:hAnsi="Times New Roman" w:cs="Times New Roman"/>
          <w:sz w:val="24"/>
          <w:szCs w:val="24"/>
        </w:rPr>
        <w:tab/>
      </w:r>
      <w:r w:rsidR="00977088" w:rsidRPr="00F9358D">
        <w:rPr>
          <w:rFonts w:ascii="Times New Roman" w:hAnsi="Times New Roman" w:cs="Times New Roman"/>
          <w:i/>
          <w:sz w:val="24"/>
          <w:szCs w:val="24"/>
        </w:rPr>
        <w:t>R v Labrosse</w:t>
      </w:r>
      <w:r w:rsidR="008A20C7">
        <w:rPr>
          <w:rFonts w:ascii="Times New Roman" w:hAnsi="Times New Roman" w:cs="Times New Roman"/>
          <w:i/>
          <w:sz w:val="24"/>
          <w:szCs w:val="24"/>
        </w:rPr>
        <w:t xml:space="preserve"> </w:t>
      </w:r>
      <w:r w:rsidR="0091135C">
        <w:rPr>
          <w:rFonts w:ascii="Times New Roman" w:hAnsi="Times New Roman" w:cs="Times New Roman"/>
          <w:sz w:val="24"/>
          <w:szCs w:val="24"/>
        </w:rPr>
        <w:t>(CO</w:t>
      </w:r>
      <w:r w:rsidR="00173C87">
        <w:rPr>
          <w:rFonts w:ascii="Times New Roman" w:hAnsi="Times New Roman" w:cs="Times New Roman"/>
          <w:sz w:val="24"/>
          <w:szCs w:val="24"/>
        </w:rPr>
        <w:t xml:space="preserve"> 03/</w:t>
      </w:r>
      <w:r w:rsidR="0091135C">
        <w:rPr>
          <w:rFonts w:ascii="Times New Roman" w:hAnsi="Times New Roman" w:cs="Times New Roman"/>
          <w:sz w:val="24"/>
          <w:szCs w:val="24"/>
        </w:rPr>
        <w:t>201</w:t>
      </w:r>
      <w:r w:rsidR="00173C87">
        <w:rPr>
          <w:rFonts w:ascii="Times New Roman" w:hAnsi="Times New Roman" w:cs="Times New Roman"/>
          <w:sz w:val="24"/>
          <w:szCs w:val="24"/>
        </w:rPr>
        <w:t>9</w:t>
      </w:r>
      <w:r w:rsidR="008A20C7">
        <w:rPr>
          <w:rFonts w:ascii="Times New Roman" w:hAnsi="Times New Roman" w:cs="Times New Roman"/>
          <w:sz w:val="24"/>
          <w:szCs w:val="24"/>
        </w:rPr>
        <w:t xml:space="preserve">) [2020] SCSC </w:t>
      </w:r>
      <w:r w:rsidR="00F9358D">
        <w:rPr>
          <w:rFonts w:ascii="Times New Roman" w:hAnsi="Times New Roman" w:cs="Times New Roman"/>
          <w:sz w:val="24"/>
          <w:szCs w:val="24"/>
        </w:rPr>
        <w:t xml:space="preserve">479 </w:t>
      </w:r>
      <w:r w:rsidR="00173C87">
        <w:rPr>
          <w:rFonts w:ascii="Times New Roman" w:hAnsi="Times New Roman" w:cs="Times New Roman"/>
          <w:sz w:val="24"/>
          <w:szCs w:val="24"/>
        </w:rPr>
        <w:t>(24</w:t>
      </w:r>
      <w:r w:rsidR="00173C87" w:rsidRPr="00F9358D">
        <w:rPr>
          <w:rFonts w:ascii="Times New Roman" w:hAnsi="Times New Roman" w:cs="Times New Roman"/>
          <w:sz w:val="24"/>
          <w:szCs w:val="24"/>
          <w:vertAlign w:val="superscript"/>
        </w:rPr>
        <w:t>th</w:t>
      </w:r>
      <w:r w:rsidR="003B5972">
        <w:rPr>
          <w:rFonts w:ascii="Times New Roman" w:hAnsi="Times New Roman" w:cs="Times New Roman"/>
          <w:sz w:val="24"/>
          <w:szCs w:val="24"/>
        </w:rPr>
        <w:t xml:space="preserve"> July 2020</w:t>
      </w:r>
      <w:r w:rsidR="008A20C7">
        <w:rPr>
          <w:rFonts w:ascii="Times New Roman" w:hAnsi="Times New Roman" w:cs="Times New Roman"/>
          <w:sz w:val="24"/>
          <w:szCs w:val="24"/>
        </w:rPr>
        <w:t>)</w:t>
      </w:r>
    </w:p>
    <w:p w14:paraId="13935065" w14:textId="59A417AD" w:rsidR="002E2AE3" w:rsidRPr="00460314"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3B5972">
        <w:rPr>
          <w:rFonts w:ascii="Times New Roman" w:hAnsi="Times New Roman" w:cs="Times New Roman"/>
          <w:b/>
          <w:sz w:val="24"/>
          <w:szCs w:val="24"/>
        </w:rPr>
        <w:tab/>
      </w:r>
      <w:r w:rsidR="009669CE">
        <w:rPr>
          <w:rFonts w:ascii="Times New Roman" w:hAnsi="Times New Roman" w:cs="Times New Roman"/>
          <w:sz w:val="24"/>
          <w:szCs w:val="24"/>
        </w:rPr>
        <w:t>Govinden J</w:t>
      </w:r>
    </w:p>
    <w:p w14:paraId="157FE592" w14:textId="6CAB297E" w:rsidR="00344425" w:rsidRPr="009669CE" w:rsidRDefault="00346D7F" w:rsidP="00214DB4">
      <w:pPr>
        <w:spacing w:after="0" w:line="240" w:lineRule="auto"/>
        <w:ind w:left="1890" w:hanging="1890"/>
        <w:rPr>
          <w:rFonts w:ascii="Times New Roman" w:hAnsi="Times New Roman" w:cs="Times New Roman"/>
          <w:sz w:val="24"/>
          <w:szCs w:val="24"/>
        </w:rPr>
      </w:pPr>
      <w:r w:rsidRPr="00C01686">
        <w:rPr>
          <w:rFonts w:ascii="Times New Roman" w:hAnsi="Times New Roman" w:cs="Times New Roman"/>
          <w:b/>
          <w:sz w:val="24"/>
          <w:szCs w:val="24"/>
        </w:rPr>
        <w:t>Summary:</w:t>
      </w:r>
      <w:r w:rsidRPr="004A2599">
        <w:rPr>
          <w:rFonts w:ascii="Times New Roman" w:hAnsi="Times New Roman" w:cs="Times New Roman"/>
          <w:b/>
          <w:sz w:val="24"/>
          <w:szCs w:val="24"/>
        </w:rPr>
        <w:t xml:space="preserve"> </w:t>
      </w:r>
      <w:r w:rsidR="003B5972">
        <w:rPr>
          <w:rFonts w:ascii="Times New Roman" w:hAnsi="Times New Roman" w:cs="Times New Roman"/>
          <w:b/>
          <w:sz w:val="24"/>
          <w:szCs w:val="24"/>
        </w:rPr>
        <w:tab/>
      </w:r>
      <w:r w:rsidR="009669CE">
        <w:rPr>
          <w:rFonts w:ascii="Times New Roman" w:hAnsi="Times New Roman" w:cs="Times New Roman"/>
          <w:sz w:val="24"/>
          <w:szCs w:val="24"/>
        </w:rPr>
        <w:t xml:space="preserve">No Case to </w:t>
      </w:r>
      <w:r w:rsidR="00F9358D">
        <w:rPr>
          <w:rFonts w:ascii="Times New Roman" w:hAnsi="Times New Roman" w:cs="Times New Roman"/>
          <w:sz w:val="24"/>
          <w:szCs w:val="24"/>
        </w:rPr>
        <w:t>answer</w:t>
      </w:r>
      <w:r w:rsidR="00A548C9">
        <w:rPr>
          <w:rFonts w:ascii="Times New Roman" w:hAnsi="Times New Roman" w:cs="Times New Roman"/>
          <w:sz w:val="24"/>
          <w:szCs w:val="24"/>
        </w:rPr>
        <w:t xml:space="preserve"> submission</w:t>
      </w:r>
      <w:r w:rsidR="009669CE" w:rsidRPr="009669CE">
        <w:rPr>
          <w:rFonts w:ascii="Times New Roman" w:hAnsi="Times New Roman" w:cs="Times New Roman"/>
          <w:sz w:val="24"/>
          <w:szCs w:val="24"/>
        </w:rPr>
        <w:t>;</w:t>
      </w:r>
      <w:r w:rsidR="009669CE">
        <w:rPr>
          <w:rFonts w:ascii="Times New Roman" w:hAnsi="Times New Roman" w:cs="Times New Roman"/>
          <w:sz w:val="24"/>
          <w:szCs w:val="24"/>
        </w:rPr>
        <w:t xml:space="preserve"> </w:t>
      </w:r>
      <w:r w:rsidR="009669CE" w:rsidRPr="009669CE">
        <w:rPr>
          <w:rFonts w:ascii="Times New Roman" w:hAnsi="Times New Roman" w:cs="Times New Roman"/>
          <w:sz w:val="24"/>
          <w:szCs w:val="24"/>
        </w:rPr>
        <w:t>Section 183 of the Criminal Procedure Code</w:t>
      </w:r>
      <w:r w:rsidR="00A548C9">
        <w:rPr>
          <w:rFonts w:ascii="Times New Roman" w:hAnsi="Times New Roman" w:cs="Times New Roman"/>
          <w:b/>
          <w:sz w:val="24"/>
          <w:szCs w:val="24"/>
        </w:rPr>
        <w:t>.</w:t>
      </w:r>
    </w:p>
    <w:p w14:paraId="6696D253" w14:textId="4419E4FB"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3B5972">
        <w:rPr>
          <w:rFonts w:ascii="Times New Roman" w:hAnsi="Times New Roman" w:cs="Times New Roman"/>
          <w:b/>
          <w:sz w:val="24"/>
          <w:szCs w:val="24"/>
        </w:rPr>
        <w:tab/>
      </w:r>
      <w:r w:rsidR="003B5972">
        <w:rPr>
          <w:rFonts w:ascii="Times New Roman" w:hAnsi="Times New Roman" w:cs="Times New Roman"/>
          <w:b/>
          <w:sz w:val="24"/>
          <w:szCs w:val="24"/>
        </w:rPr>
        <w:tab/>
      </w:r>
      <w:r w:rsidR="009669CE" w:rsidRPr="009669CE">
        <w:rPr>
          <w:rFonts w:ascii="Times New Roman" w:hAnsi="Times New Roman" w:cs="Times New Roman"/>
          <w:sz w:val="24"/>
          <w:szCs w:val="24"/>
        </w:rPr>
        <w:t>Written submissions 20</w:t>
      </w:r>
      <w:r w:rsidR="009669CE" w:rsidRPr="009669CE">
        <w:rPr>
          <w:rFonts w:ascii="Times New Roman" w:hAnsi="Times New Roman" w:cs="Times New Roman"/>
          <w:sz w:val="24"/>
          <w:szCs w:val="24"/>
          <w:vertAlign w:val="superscript"/>
        </w:rPr>
        <w:t>th</w:t>
      </w:r>
      <w:r w:rsidR="009669CE" w:rsidRPr="009669CE">
        <w:rPr>
          <w:rFonts w:ascii="Times New Roman" w:hAnsi="Times New Roman" w:cs="Times New Roman"/>
          <w:sz w:val="24"/>
          <w:szCs w:val="24"/>
        </w:rPr>
        <w:t xml:space="preserve"> of June 2020</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14:paraId="430FB483" w14:textId="589E185F"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BB3003">
        <w:rPr>
          <w:rFonts w:ascii="Times New Roman" w:hAnsi="Times New Roman" w:cs="Times New Roman"/>
          <w:sz w:val="24"/>
          <w:szCs w:val="24"/>
        </w:rPr>
        <w:t>:</w:t>
      </w:r>
      <w:r w:rsidR="009669CE" w:rsidRPr="00BB3003">
        <w:rPr>
          <w:rFonts w:ascii="Times New Roman" w:hAnsi="Times New Roman" w:cs="Times New Roman"/>
          <w:sz w:val="24"/>
          <w:szCs w:val="24"/>
        </w:rPr>
        <w:t xml:space="preserve"> </w:t>
      </w:r>
      <w:r w:rsidR="003B5972">
        <w:rPr>
          <w:rFonts w:ascii="Times New Roman" w:hAnsi="Times New Roman" w:cs="Times New Roman"/>
          <w:sz w:val="24"/>
          <w:szCs w:val="24"/>
        </w:rPr>
        <w:tab/>
      </w:r>
      <w:r w:rsidR="009669CE" w:rsidRPr="00BB3003">
        <w:rPr>
          <w:rFonts w:ascii="Times New Roman" w:hAnsi="Times New Roman" w:cs="Times New Roman"/>
          <w:sz w:val="24"/>
          <w:szCs w:val="24"/>
        </w:rPr>
        <w:t>24</w:t>
      </w:r>
      <w:r w:rsidR="009669CE" w:rsidRPr="00BB3003">
        <w:rPr>
          <w:rFonts w:ascii="Times New Roman" w:hAnsi="Times New Roman" w:cs="Times New Roman"/>
          <w:sz w:val="24"/>
          <w:szCs w:val="24"/>
          <w:vertAlign w:val="superscript"/>
        </w:rPr>
        <w:t>th</w:t>
      </w:r>
      <w:r w:rsidR="009669CE" w:rsidRPr="00BB3003">
        <w:rPr>
          <w:rFonts w:ascii="Times New Roman" w:hAnsi="Times New Roman" w:cs="Times New Roman"/>
          <w:sz w:val="24"/>
          <w:szCs w:val="24"/>
        </w:rPr>
        <w:t xml:space="preserve"> of July 2020</w:t>
      </w:r>
      <w:r w:rsidR="004A2599" w:rsidRPr="009669CE">
        <w:rPr>
          <w:rFonts w:ascii="Times New Roman" w:hAnsi="Times New Roman" w:cs="Times New Roman"/>
          <w:b/>
          <w:i/>
          <w:sz w:val="24"/>
          <w:szCs w:val="24"/>
        </w:rPr>
        <w:tab/>
      </w:r>
    </w:p>
    <w:p w14:paraId="4C8CD0D1" w14:textId="56661AD4"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C01686">
        <w:rPr>
          <w:rFonts w:ascii="Times New Roman" w:hAnsi="Times New Roman" w:cs="Times New Roman"/>
          <w:b/>
          <w:sz w:val="24"/>
          <w:szCs w:val="24"/>
        </w:rPr>
        <w:t>ORDER</w:t>
      </w:r>
      <w:r w:rsidRPr="004A2599">
        <w:rPr>
          <w:rFonts w:ascii="Times New Roman" w:hAnsi="Times New Roman" w:cs="Times New Roman"/>
          <w:b/>
          <w:sz w:val="24"/>
          <w:szCs w:val="24"/>
        </w:rPr>
        <w:t xml:space="preserve"> </w:t>
      </w:r>
    </w:p>
    <w:p w14:paraId="5133C9DA" w14:textId="0896222D" w:rsidR="00CC6AD0" w:rsidRPr="004A2599" w:rsidRDefault="00A14A51" w:rsidP="003B5972">
      <w:pPr>
        <w:tabs>
          <w:tab w:val="left" w:pos="2892"/>
        </w:tabs>
        <w:spacing w:before="120" w:after="0" w:line="360" w:lineRule="auto"/>
        <w:jc w:val="both"/>
        <w:rPr>
          <w:rFonts w:ascii="Times New Roman" w:hAnsi="Times New Roman" w:cs="Times New Roman"/>
          <w:b/>
          <w:sz w:val="24"/>
          <w:szCs w:val="24"/>
        </w:rPr>
      </w:pPr>
      <w:r w:rsidRPr="003B5972">
        <w:rPr>
          <w:rFonts w:ascii="Times New Roman" w:hAnsi="Times New Roman" w:cs="Times New Roman"/>
          <w:sz w:val="24"/>
          <w:szCs w:val="24"/>
        </w:rPr>
        <w:t>For r</w:t>
      </w:r>
      <w:r w:rsidR="00A548C9" w:rsidRPr="003B5972">
        <w:rPr>
          <w:rFonts w:ascii="Times New Roman" w:hAnsi="Times New Roman" w:cs="Times New Roman"/>
          <w:sz w:val="24"/>
          <w:szCs w:val="24"/>
        </w:rPr>
        <w:t xml:space="preserve">easons given in the Ruling the </w:t>
      </w:r>
      <w:r w:rsidR="00BB3003" w:rsidRPr="003B5972">
        <w:rPr>
          <w:rFonts w:ascii="Times New Roman" w:hAnsi="Times New Roman" w:cs="Times New Roman"/>
          <w:sz w:val="24"/>
          <w:szCs w:val="24"/>
        </w:rPr>
        <w:t>C</w:t>
      </w:r>
      <w:r w:rsidRPr="003B5972">
        <w:rPr>
          <w:rFonts w:ascii="Times New Roman" w:hAnsi="Times New Roman" w:cs="Times New Roman"/>
          <w:sz w:val="24"/>
          <w:szCs w:val="24"/>
        </w:rPr>
        <w:t>ourt is satisfied that a prima facie c</w:t>
      </w:r>
      <w:r w:rsidR="00BB3003" w:rsidRPr="003B5972">
        <w:rPr>
          <w:rFonts w:ascii="Times New Roman" w:hAnsi="Times New Roman" w:cs="Times New Roman"/>
          <w:sz w:val="24"/>
          <w:szCs w:val="24"/>
        </w:rPr>
        <w:t xml:space="preserve">ase </w:t>
      </w:r>
      <w:r w:rsidRPr="003B5972">
        <w:rPr>
          <w:rFonts w:ascii="Times New Roman" w:hAnsi="Times New Roman" w:cs="Times New Roman"/>
          <w:sz w:val="24"/>
          <w:szCs w:val="24"/>
        </w:rPr>
        <w:t>exists against the Accused person and he has</w:t>
      </w:r>
      <w:r w:rsidR="00BB3003" w:rsidRPr="003B5972">
        <w:rPr>
          <w:rFonts w:ascii="Times New Roman" w:hAnsi="Times New Roman" w:cs="Times New Roman"/>
          <w:sz w:val="24"/>
          <w:szCs w:val="24"/>
        </w:rPr>
        <w:t xml:space="preserve"> a</w:t>
      </w:r>
      <w:r w:rsidRPr="003B5972">
        <w:rPr>
          <w:rFonts w:ascii="Times New Roman" w:hAnsi="Times New Roman" w:cs="Times New Roman"/>
          <w:sz w:val="24"/>
          <w:szCs w:val="24"/>
        </w:rPr>
        <w:t xml:space="preserve"> case to answer.</w:t>
      </w:r>
    </w:p>
    <w:p w14:paraId="4AD38790"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30047136" w14:textId="77777777" w:rsidR="00F33B83" w:rsidRDefault="006453AB"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3577EC8D"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4BA9F15" w14:textId="77777777" w:rsidR="00722761" w:rsidRPr="004A2599" w:rsidRDefault="00722761" w:rsidP="00722761">
      <w:pPr>
        <w:rPr>
          <w:rFonts w:ascii="Times New Roman" w:hAnsi="Times New Roman" w:cs="Times New Roman"/>
          <w:sz w:val="24"/>
          <w:szCs w:val="24"/>
        </w:rPr>
      </w:pPr>
    </w:p>
    <w:p w14:paraId="422BF530" w14:textId="34C253F6" w:rsidR="0091135C" w:rsidRDefault="0091135C" w:rsidP="0091135C">
      <w:pPr>
        <w:pStyle w:val="JudgmentText"/>
        <w:numPr>
          <w:ilvl w:val="0"/>
          <w:numId w:val="14"/>
        </w:numPr>
      </w:pPr>
      <w:r>
        <w:t>I have considered the submission of learned counsel for the aforementioned accused</w:t>
      </w:r>
      <w:r w:rsidR="00BB3003">
        <w:t xml:space="preserve"> persons</w:t>
      </w:r>
      <w:r>
        <w:t xml:space="preserve"> at the close of the prosecution case in support of her contention that the accused</w:t>
      </w:r>
      <w:r w:rsidR="00BB3003">
        <w:t xml:space="preserve"> person</w:t>
      </w:r>
      <w:r>
        <w:t xml:space="preserve"> has no case to answer. I have also considered the submission of learned counsel for the prosecution who submitted that the accused had a case to answer.</w:t>
      </w:r>
    </w:p>
    <w:p w14:paraId="2B6A05FC" w14:textId="6208BE12" w:rsidR="0091135C" w:rsidRDefault="0091135C" w:rsidP="0091135C">
      <w:pPr>
        <w:pStyle w:val="JudgmentText"/>
        <w:numPr>
          <w:ilvl w:val="0"/>
          <w:numId w:val="14"/>
        </w:numPr>
      </w:pPr>
      <w:r>
        <w:lastRenderedPageBreak/>
        <w:t>The accused has been charged with the offences of Trafficking in persons, contrary to and punishabl</w:t>
      </w:r>
      <w:r w:rsidR="00BB3003">
        <w:t>e under Section 3(1) (a) and (e</w:t>
      </w:r>
      <w:r>
        <w:t xml:space="preserve">) read with Section 5(1) of the Prohibition of Trafficking in persons Act 2014 in three different </w:t>
      </w:r>
      <w:r w:rsidR="00A14A51">
        <w:t xml:space="preserve">separate </w:t>
      </w:r>
      <w:r>
        <w:t>counts.</w:t>
      </w:r>
    </w:p>
    <w:p w14:paraId="1D745C55" w14:textId="77777777" w:rsidR="0091135C" w:rsidRDefault="0091135C" w:rsidP="0091135C">
      <w:pPr>
        <w:pStyle w:val="JudgmentText"/>
        <w:numPr>
          <w:ilvl w:val="0"/>
          <w:numId w:val="14"/>
        </w:numPr>
      </w:pPr>
      <w:r>
        <w:t xml:space="preserve">In the case of </w:t>
      </w:r>
      <w:r>
        <w:rPr>
          <w:b/>
          <w:i/>
        </w:rPr>
        <w:t>R v Stiven 1971 SLR No 9 at pg 137</w:t>
      </w:r>
      <w:r>
        <w:t xml:space="preserve"> it was held what court has to consider at the stage a no case to answer application is made is whether;</w:t>
      </w:r>
    </w:p>
    <w:p w14:paraId="1406DCCF" w14:textId="77777777" w:rsidR="0091135C" w:rsidRDefault="0091135C" w:rsidP="0091135C">
      <w:pPr>
        <w:pStyle w:val="JudgmentText"/>
        <w:numPr>
          <w:ilvl w:val="0"/>
          <w:numId w:val="15"/>
        </w:numPr>
      </w:pPr>
      <w:r>
        <w:t>there is no evidence to prove the essential elements of the offence charged.</w:t>
      </w:r>
    </w:p>
    <w:p w14:paraId="66519FF4" w14:textId="77777777" w:rsidR="0091135C" w:rsidRDefault="0091135C" w:rsidP="0091135C">
      <w:pPr>
        <w:pStyle w:val="JudgmentText"/>
        <w:numPr>
          <w:ilvl w:val="0"/>
          <w:numId w:val="15"/>
        </w:numPr>
      </w:pPr>
      <w:r>
        <w:t>whether the evidence for the prosecution has been so discredited or is so manifestly unreliable that no reasonable tribunal could safely convict</w:t>
      </w:r>
    </w:p>
    <w:p w14:paraId="64723AAA" w14:textId="77777777" w:rsidR="0091135C" w:rsidRDefault="0091135C" w:rsidP="0091135C">
      <w:pPr>
        <w:pStyle w:val="JudgmentText"/>
        <w:numPr>
          <w:ilvl w:val="0"/>
          <w:numId w:val="14"/>
        </w:numPr>
      </w:pPr>
      <w:r>
        <w:rPr>
          <w:b/>
          <w:i/>
        </w:rPr>
        <w:t>Archbold in Criminal Pleadings Evidence and Practice 2008 edition at page 492</w:t>
      </w:r>
      <w:r>
        <w:rPr>
          <w:b/>
        </w:rPr>
        <w:t xml:space="preserve"> </w:t>
      </w:r>
      <w:r>
        <w:t>sets out the principle in a no case to answer application.</w:t>
      </w:r>
    </w:p>
    <w:p w14:paraId="0D418299" w14:textId="77777777" w:rsidR="0091135C" w:rsidRDefault="0091135C" w:rsidP="0091135C">
      <w:pPr>
        <w:pStyle w:val="JudgmentText"/>
        <w:numPr>
          <w:ilvl w:val="0"/>
          <w:numId w:val="0"/>
        </w:numPr>
        <w:ind w:left="720"/>
        <w:rPr>
          <w:i/>
        </w:rPr>
      </w:pPr>
      <w:r>
        <w:rPr>
          <w:i/>
        </w:rPr>
        <w:t>“A submission of no case should be allowed where there is no evidence upon which, if the evidence adduced were accepted, a reasonable jury, if properly directed, could convict.”</w:t>
      </w:r>
    </w:p>
    <w:p w14:paraId="253BDE35" w14:textId="77777777" w:rsidR="0091135C" w:rsidRDefault="0091135C" w:rsidP="0091135C">
      <w:pPr>
        <w:pStyle w:val="JudgmentText"/>
        <w:numPr>
          <w:ilvl w:val="0"/>
          <w:numId w:val="14"/>
        </w:numPr>
      </w:pPr>
      <w:r>
        <w:t xml:space="preserve">In </w:t>
      </w:r>
      <w:r>
        <w:rPr>
          <w:b/>
          <w:i/>
        </w:rPr>
        <w:t>David Sopha &amp; Anor v Republic</w:t>
      </w:r>
      <w:r>
        <w:t xml:space="preserve"> </w:t>
      </w:r>
      <w:r>
        <w:rPr>
          <w:b/>
          <w:i/>
        </w:rPr>
        <w:t>SCA 2/1991</w:t>
      </w:r>
      <w:r>
        <w:t xml:space="preserve"> the Seychelles Court of Appeal held:</w:t>
      </w:r>
    </w:p>
    <w:p w14:paraId="04C85AB1" w14:textId="77777777" w:rsidR="0091135C" w:rsidRDefault="0091135C" w:rsidP="0091135C">
      <w:pPr>
        <w:pStyle w:val="JudgmentText"/>
        <w:numPr>
          <w:ilvl w:val="0"/>
          <w:numId w:val="0"/>
        </w:numPr>
        <w:ind w:left="720"/>
        <w:rPr>
          <w:i/>
        </w:rPr>
      </w:pPr>
      <w:r>
        <w:rPr>
          <w:i/>
        </w:rPr>
        <w:t>“In considering a submission of no case to answer, the judge must decide whether the evidence, taken at its highest, could lead to a properly directed jury convicting the accused. If so, the case should be allowed to go to the jury.”</w:t>
      </w:r>
    </w:p>
    <w:p w14:paraId="154BFE10" w14:textId="4BDEE3F9" w:rsidR="0091135C" w:rsidRDefault="0091135C" w:rsidP="0091135C">
      <w:pPr>
        <w:pStyle w:val="JudgmentText"/>
        <w:numPr>
          <w:ilvl w:val="0"/>
          <w:numId w:val="0"/>
        </w:numPr>
        <w:ind w:left="720"/>
      </w:pPr>
      <w:r>
        <w:t>Though the submission is made</w:t>
      </w:r>
      <w:r w:rsidR="00BB3003">
        <w:t>, the</w:t>
      </w:r>
      <w:r>
        <w:t xml:space="preserve"> Learned counsel for the Accused person does not ground the content of her objections on either limbs of the case of </w:t>
      </w:r>
      <w:r w:rsidRPr="007520A4">
        <w:rPr>
          <w:i/>
        </w:rPr>
        <w:t>Stivens</w:t>
      </w:r>
      <w:r>
        <w:t>. That is</w:t>
      </w:r>
      <w:r w:rsidR="00A548C9">
        <w:t>,</w:t>
      </w:r>
      <w:r>
        <w:t xml:space="preserve"> it is not clear as to whether she is asking for dismissal on the ground of lack of credibility or non- proving of an essential element of the offence. It appears to be a mixture of bot</w:t>
      </w:r>
      <w:r w:rsidR="00BB3003">
        <w:t>h, with references being made to</w:t>
      </w:r>
      <w:r>
        <w:t xml:space="preserve"> instances of weaknesses of prosecution witnesses and occasionally lack of proof to sustain the charge</w:t>
      </w:r>
      <w:r w:rsidR="00BB3003">
        <w:t>s,</w:t>
      </w:r>
      <w:r>
        <w:t xml:space="preserve"> generally. In these </w:t>
      </w:r>
      <w:r w:rsidR="00A14A51">
        <w:t xml:space="preserve">kinds of </w:t>
      </w:r>
      <w:r>
        <w:t>submissions it is highly advisable that the legal basis of the submission should first be made clear and thereafter that this should be accompanied with submissions supporting the existence of the grounds that calls for the dismissal. That as it may, reading the Defence submission as a whol</w:t>
      </w:r>
      <w:r w:rsidR="00BB3003">
        <w:t>e it appears that they are</w:t>
      </w:r>
      <w:r>
        <w:t xml:space="preserve"> contending that the Prosecution has not managed to come </w:t>
      </w:r>
      <w:r>
        <w:lastRenderedPageBreak/>
        <w:t xml:space="preserve">to proof as to some elements of the offence and that some credibility is lacking in </w:t>
      </w:r>
      <w:r w:rsidR="00BB3003">
        <w:t>the testimonies of some witnesses.</w:t>
      </w:r>
      <w:r>
        <w:t xml:space="preserve">   </w:t>
      </w:r>
    </w:p>
    <w:p w14:paraId="1F5E6369" w14:textId="254E6755" w:rsidR="0091135C" w:rsidRDefault="0091135C" w:rsidP="0091135C">
      <w:pPr>
        <w:pStyle w:val="JudgmentText"/>
        <w:numPr>
          <w:ilvl w:val="0"/>
          <w:numId w:val="14"/>
        </w:numPr>
      </w:pPr>
      <w:r>
        <w:t>I have thoroughly consider</w:t>
      </w:r>
      <w:r w:rsidR="00BB3003">
        <w:t>ed</w:t>
      </w:r>
      <w:r>
        <w:t xml:space="preserve"> the submission of No case to Answer and the Reply thereto in the light of the fact</w:t>
      </w:r>
      <w:r w:rsidR="00BB3003">
        <w:t>s led by the prosecution so far. H</w:t>
      </w:r>
      <w:r>
        <w:t>aving done, I find that it cannot be said that the evidence of the prosecution witnesses have been so discredited by cross examination that no reasonable tribunal could convict</w:t>
      </w:r>
      <w:r w:rsidR="00A548C9">
        <w:t xml:space="preserve"> on it</w:t>
      </w:r>
      <w:r>
        <w:t>. It</w:t>
      </w:r>
      <w:r w:rsidR="00BB3003">
        <w:t xml:space="preserve"> also</w:t>
      </w:r>
      <w:r>
        <w:t xml:space="preserve"> cannot be said that there is no evidence to prove the essential elements of the offences charged.</w:t>
      </w:r>
    </w:p>
    <w:p w14:paraId="03188472" w14:textId="5DFA4CA8" w:rsidR="0091135C" w:rsidRDefault="0091135C" w:rsidP="0091135C">
      <w:pPr>
        <w:pStyle w:val="JudgmentText"/>
        <w:numPr>
          <w:ilvl w:val="0"/>
          <w:numId w:val="14"/>
        </w:numPr>
      </w:pPr>
      <w:r>
        <w:t>Therefore</w:t>
      </w:r>
      <w:r w:rsidR="003C7A88">
        <w:t>,</w:t>
      </w:r>
      <w:r>
        <w:t xml:space="preserve"> for the aforementioned reasons this court is satisfied that a prima facie case in respect of   the charge</w:t>
      </w:r>
      <w:r w:rsidR="00BB3003">
        <w:t>s</w:t>
      </w:r>
      <w:r>
        <w:t xml:space="preserve"> exists </w:t>
      </w:r>
      <w:r w:rsidR="003C7A88">
        <w:t xml:space="preserve">against the accused </w:t>
      </w:r>
      <w:r>
        <w:t xml:space="preserve"> and that there is no merit in the contenti</w:t>
      </w:r>
      <w:r w:rsidR="003C7A88">
        <w:t>on of defence counsel that the A</w:t>
      </w:r>
      <w:r>
        <w:t>ccused</w:t>
      </w:r>
      <w:r w:rsidR="00BB3003">
        <w:t xml:space="preserve"> persons</w:t>
      </w:r>
      <w:r>
        <w:t xml:space="preserve"> in this case has no case to answer.</w:t>
      </w:r>
      <w:r w:rsidR="003C7A88">
        <w:t xml:space="preserve"> As a result the</w:t>
      </w:r>
      <w:r>
        <w:t xml:space="preserve"> court is</w:t>
      </w:r>
      <w:r w:rsidR="003C7A88">
        <w:t xml:space="preserve"> of the view that he </w:t>
      </w:r>
      <w:r w:rsidR="00BB3003">
        <w:t>has</w:t>
      </w:r>
      <w:r>
        <w:t xml:space="preserve"> a case to answer in respect of the charge</w:t>
      </w:r>
      <w:r w:rsidR="00A14A51">
        <w:t>s</w:t>
      </w:r>
      <w:r w:rsidR="003C7A88">
        <w:t xml:space="preserve"> filed</w:t>
      </w:r>
      <w:r>
        <w:t xml:space="preserve"> against him.</w:t>
      </w:r>
    </w:p>
    <w:p w14:paraId="5E9DBFF6" w14:textId="0E7122BD" w:rsidR="0091135C" w:rsidRDefault="0091135C" w:rsidP="0091135C">
      <w:pPr>
        <w:pStyle w:val="JudgmentText"/>
        <w:numPr>
          <w:ilvl w:val="0"/>
          <w:numId w:val="14"/>
        </w:numPr>
      </w:pPr>
      <w:r>
        <w:t>Therefore</w:t>
      </w:r>
      <w:r w:rsidR="00A548C9">
        <w:t>,</w:t>
      </w:r>
      <w:r>
        <w:t xml:space="preserve"> this court proceeds to call for a defence from the accused in respect of the charges levelled against him.</w:t>
      </w:r>
    </w:p>
    <w:p w14:paraId="64DA2333" w14:textId="77777777" w:rsidR="0091135C" w:rsidRDefault="0091135C" w:rsidP="0091135C">
      <w:pPr>
        <w:pStyle w:val="ListParagraph"/>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instrText xml:space="preserve">  </w:instrText>
      </w:r>
      <w:r>
        <w:rPr>
          <w:sz w:val="24"/>
          <w:szCs w:val="24"/>
          <w:highlight w:val="lightGray"/>
        </w:rPr>
        <w:fldChar w:fldCharType="end"/>
      </w:r>
    </w:p>
    <w:p w14:paraId="0BD6FF4F" w14:textId="77777777" w:rsidR="00FF330F" w:rsidRDefault="00FF330F" w:rsidP="005B12AA">
      <w:pPr>
        <w:pStyle w:val="JudgmentText"/>
        <w:numPr>
          <w:ilvl w:val="0"/>
          <w:numId w:val="0"/>
        </w:numPr>
        <w:spacing w:line="480" w:lineRule="auto"/>
        <w:ind w:left="720" w:hanging="720"/>
        <w:rPr>
          <w:b/>
        </w:rPr>
      </w:pPr>
    </w:p>
    <w:p w14:paraId="1675DBDF" w14:textId="5EBB77D0" w:rsidR="005B12AA" w:rsidRDefault="005B12AA" w:rsidP="0091135C">
      <w:pPr>
        <w:pStyle w:val="JudgmentText"/>
        <w:numPr>
          <w:ilvl w:val="0"/>
          <w:numId w:val="0"/>
        </w:numPr>
        <w:spacing w:line="480" w:lineRule="auto"/>
        <w:rPr>
          <w:b/>
        </w:rPr>
      </w:pPr>
    </w:p>
    <w:p w14:paraId="602BBF0D" w14:textId="4045443A" w:rsidR="006A68E2" w:rsidRPr="006216A8" w:rsidRDefault="00722761" w:rsidP="006216A8">
      <w:pPr>
        <w:pStyle w:val="JudgmentText"/>
        <w:keepNext/>
        <w:numPr>
          <w:ilvl w:val="0"/>
          <w:numId w:val="0"/>
        </w:numPr>
        <w:tabs>
          <w:tab w:val="left" w:pos="720"/>
        </w:tabs>
      </w:pPr>
      <w:r w:rsidRPr="006216A8">
        <w:t>Signed, dated and delivered at Ile du Port</w:t>
      </w:r>
      <w:r w:rsidR="0070371E" w:rsidRPr="006216A8">
        <w:t xml:space="preserve"> </w:t>
      </w:r>
      <w:r w:rsidR="0091135C">
        <w:t>on</w:t>
      </w:r>
      <w:r w:rsidR="00967E2D">
        <w:t xml:space="preserve"> 24</w:t>
      </w:r>
      <w:r w:rsidR="00967E2D" w:rsidRPr="00967E2D">
        <w:rPr>
          <w:vertAlign w:val="superscript"/>
        </w:rPr>
        <w:t>th</w:t>
      </w:r>
      <w:r w:rsidR="00967E2D">
        <w:t xml:space="preserve"> of July 2</w:t>
      </w:r>
      <w:bookmarkStart w:id="0" w:name="_GoBack"/>
      <w:bookmarkEnd w:id="0"/>
      <w:r w:rsidR="00460314" w:rsidRPr="006216A8">
        <w:t>020</w:t>
      </w:r>
      <w:r w:rsidR="00815F48">
        <w:t>.</w:t>
      </w:r>
    </w:p>
    <w:p w14:paraId="094D4F1C" w14:textId="77777777" w:rsidR="003A6C9E" w:rsidRPr="004A2599" w:rsidRDefault="003A6C9E" w:rsidP="00CC437E">
      <w:pPr>
        <w:keepNext/>
        <w:rPr>
          <w:rFonts w:ascii="Times New Roman" w:hAnsi="Times New Roman" w:cs="Times New Roman"/>
          <w:sz w:val="24"/>
          <w:szCs w:val="24"/>
        </w:rPr>
      </w:pPr>
    </w:p>
    <w:p w14:paraId="75E0A289"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45C858E8" w14:textId="0E5CC721" w:rsidR="0070371E" w:rsidRDefault="0091135C"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Govinden </w:t>
      </w:r>
      <w:r w:rsidR="00460314">
        <w:rPr>
          <w:rFonts w:ascii="Times New Roman" w:hAnsi="Times New Roman" w:cs="Times New Roman"/>
          <w:sz w:val="24"/>
          <w:szCs w:val="24"/>
        </w:rPr>
        <w:t xml:space="preserve"> J</w:t>
      </w:r>
    </w:p>
    <w:p w14:paraId="02BAB320" w14:textId="4F7674F1" w:rsidR="00A548C9" w:rsidRDefault="00A548C9"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Judge of the Supreme Court</w:t>
      </w:r>
    </w:p>
    <w:p w14:paraId="32078EEE"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DBBAE" w14:textId="77777777" w:rsidR="005E1B18" w:rsidRDefault="005E1B18" w:rsidP="006A68E2">
      <w:pPr>
        <w:spacing w:after="0" w:line="240" w:lineRule="auto"/>
      </w:pPr>
      <w:r>
        <w:separator/>
      </w:r>
    </w:p>
  </w:endnote>
  <w:endnote w:type="continuationSeparator" w:id="0">
    <w:p w14:paraId="27C847BB" w14:textId="77777777" w:rsidR="005E1B18" w:rsidRDefault="005E1B1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1F8FD479" w14:textId="77777777" w:rsidR="00F33B83" w:rsidRDefault="00F33B83">
        <w:pPr>
          <w:pStyle w:val="Footer"/>
          <w:jc w:val="center"/>
        </w:pPr>
        <w:r>
          <w:fldChar w:fldCharType="begin"/>
        </w:r>
        <w:r>
          <w:instrText xml:space="preserve"> PAGE   \* MERGEFORMAT </w:instrText>
        </w:r>
        <w:r>
          <w:fldChar w:fldCharType="separate"/>
        </w:r>
        <w:r w:rsidR="00967E2D">
          <w:rPr>
            <w:noProof/>
          </w:rPr>
          <w:t>3</w:t>
        </w:r>
        <w:r>
          <w:rPr>
            <w:noProof/>
          </w:rPr>
          <w:fldChar w:fldCharType="end"/>
        </w:r>
      </w:p>
    </w:sdtContent>
  </w:sdt>
  <w:p w14:paraId="6BD6E665"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4AD33" w14:textId="77777777" w:rsidR="005E1B18" w:rsidRDefault="005E1B18" w:rsidP="006A68E2">
      <w:pPr>
        <w:spacing w:after="0" w:line="240" w:lineRule="auto"/>
      </w:pPr>
      <w:r>
        <w:separator/>
      </w:r>
    </w:p>
  </w:footnote>
  <w:footnote w:type="continuationSeparator" w:id="0">
    <w:p w14:paraId="7E13C2F6" w14:textId="77777777" w:rsidR="005E1B18" w:rsidRDefault="005E1B1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20C406D"/>
    <w:multiLevelType w:val="multilevel"/>
    <w:tmpl w:val="88501094"/>
    <w:lvl w:ilvl="0">
      <w:start w:val="1"/>
      <w:numFmt w:val="lowerLetter"/>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D55927"/>
    <w:multiLevelType w:val="hybridMultilevel"/>
    <w:tmpl w:val="A0F43338"/>
    <w:lvl w:ilvl="0" w:tplc="335CA868">
      <w:start w:val="1"/>
      <w:numFmt w:val="decimal"/>
      <w:lvlText w:val="[%1]"/>
      <w:lvlJc w:val="left"/>
      <w:pPr>
        <w:ind w:left="720" w:hanging="360"/>
      </w:pPr>
      <w:rPr>
        <w:b w:val="0"/>
        <w:bCs/>
        <w:sz w:val="24"/>
        <w:szCs w:val="24"/>
      </w:rPr>
    </w:lvl>
    <w:lvl w:ilvl="1" w:tplc="DD500ABC">
      <w:start w:val="1"/>
      <w:numFmt w:val="lowerLetter"/>
      <w:lvlText w:val="%2."/>
      <w:lvlJc w:val="left"/>
      <w:pPr>
        <w:ind w:left="2160" w:hanging="360"/>
      </w:pPr>
      <w:rPr>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43CD5"/>
    <w:rsid w:val="00046F0B"/>
    <w:rsid w:val="00063E09"/>
    <w:rsid w:val="00071B84"/>
    <w:rsid w:val="0008560D"/>
    <w:rsid w:val="0009242F"/>
    <w:rsid w:val="00097D19"/>
    <w:rsid w:val="000F4CF3"/>
    <w:rsid w:val="001135C2"/>
    <w:rsid w:val="001228C2"/>
    <w:rsid w:val="00122BE3"/>
    <w:rsid w:val="001428B9"/>
    <w:rsid w:val="00144FD3"/>
    <w:rsid w:val="00155DEE"/>
    <w:rsid w:val="001723B1"/>
    <w:rsid w:val="00173C87"/>
    <w:rsid w:val="00176C3C"/>
    <w:rsid w:val="00180299"/>
    <w:rsid w:val="001B322A"/>
    <w:rsid w:val="001B4C3E"/>
    <w:rsid w:val="001C5E0C"/>
    <w:rsid w:val="001C78EC"/>
    <w:rsid w:val="001D33D2"/>
    <w:rsid w:val="001E4C89"/>
    <w:rsid w:val="001F7ADC"/>
    <w:rsid w:val="002015F8"/>
    <w:rsid w:val="00212006"/>
    <w:rsid w:val="0021402A"/>
    <w:rsid w:val="00214DB4"/>
    <w:rsid w:val="00235626"/>
    <w:rsid w:val="00237487"/>
    <w:rsid w:val="00243AE1"/>
    <w:rsid w:val="00251094"/>
    <w:rsid w:val="00275F12"/>
    <w:rsid w:val="0027651D"/>
    <w:rsid w:val="00277766"/>
    <w:rsid w:val="0028060E"/>
    <w:rsid w:val="002965C0"/>
    <w:rsid w:val="002B4477"/>
    <w:rsid w:val="002C05DB"/>
    <w:rsid w:val="002D4EB8"/>
    <w:rsid w:val="002E2AE3"/>
    <w:rsid w:val="002E5963"/>
    <w:rsid w:val="003137B8"/>
    <w:rsid w:val="0032761A"/>
    <w:rsid w:val="00344425"/>
    <w:rsid w:val="00346D7F"/>
    <w:rsid w:val="00353358"/>
    <w:rsid w:val="003615E7"/>
    <w:rsid w:val="00380619"/>
    <w:rsid w:val="003A6C9E"/>
    <w:rsid w:val="003B5972"/>
    <w:rsid w:val="003C7A88"/>
    <w:rsid w:val="003E2E94"/>
    <w:rsid w:val="003E4291"/>
    <w:rsid w:val="00403F4C"/>
    <w:rsid w:val="00404649"/>
    <w:rsid w:val="00405958"/>
    <w:rsid w:val="00412994"/>
    <w:rsid w:val="00425339"/>
    <w:rsid w:val="00440236"/>
    <w:rsid w:val="004452C4"/>
    <w:rsid w:val="004601C6"/>
    <w:rsid w:val="00460314"/>
    <w:rsid w:val="00463B4E"/>
    <w:rsid w:val="00472219"/>
    <w:rsid w:val="00492647"/>
    <w:rsid w:val="004A2599"/>
    <w:rsid w:val="004B6355"/>
    <w:rsid w:val="004C16E0"/>
    <w:rsid w:val="004F2517"/>
    <w:rsid w:val="004F296A"/>
    <w:rsid w:val="0050710E"/>
    <w:rsid w:val="00521980"/>
    <w:rsid w:val="00560549"/>
    <w:rsid w:val="00570856"/>
    <w:rsid w:val="00580010"/>
    <w:rsid w:val="00580CF1"/>
    <w:rsid w:val="0058411C"/>
    <w:rsid w:val="005A5FCB"/>
    <w:rsid w:val="005B12AA"/>
    <w:rsid w:val="005D55F0"/>
    <w:rsid w:val="005E1B18"/>
    <w:rsid w:val="005E479C"/>
    <w:rsid w:val="005E74CC"/>
    <w:rsid w:val="005F5819"/>
    <w:rsid w:val="00603DE3"/>
    <w:rsid w:val="0061354A"/>
    <w:rsid w:val="006216A8"/>
    <w:rsid w:val="00622D6D"/>
    <w:rsid w:val="00635504"/>
    <w:rsid w:val="006453AB"/>
    <w:rsid w:val="00652326"/>
    <w:rsid w:val="006558F0"/>
    <w:rsid w:val="00662CEA"/>
    <w:rsid w:val="00662DA6"/>
    <w:rsid w:val="00665F70"/>
    <w:rsid w:val="00682372"/>
    <w:rsid w:val="006A19BD"/>
    <w:rsid w:val="006A68E2"/>
    <w:rsid w:val="006E1D5E"/>
    <w:rsid w:val="006E2026"/>
    <w:rsid w:val="006F52D5"/>
    <w:rsid w:val="0070371E"/>
    <w:rsid w:val="00722761"/>
    <w:rsid w:val="0075089B"/>
    <w:rsid w:val="0075238B"/>
    <w:rsid w:val="00773F60"/>
    <w:rsid w:val="00796B89"/>
    <w:rsid w:val="007D25FE"/>
    <w:rsid w:val="007F7360"/>
    <w:rsid w:val="007F7905"/>
    <w:rsid w:val="008001C8"/>
    <w:rsid w:val="00815F48"/>
    <w:rsid w:val="00816C5D"/>
    <w:rsid w:val="008212D8"/>
    <w:rsid w:val="00854252"/>
    <w:rsid w:val="008577B7"/>
    <w:rsid w:val="008762CB"/>
    <w:rsid w:val="00877BA3"/>
    <w:rsid w:val="00890A28"/>
    <w:rsid w:val="00895136"/>
    <w:rsid w:val="008A20C7"/>
    <w:rsid w:val="008D7FDE"/>
    <w:rsid w:val="008E771B"/>
    <w:rsid w:val="00904902"/>
    <w:rsid w:val="0091135C"/>
    <w:rsid w:val="00933DE3"/>
    <w:rsid w:val="00943A9C"/>
    <w:rsid w:val="00952755"/>
    <w:rsid w:val="009539C2"/>
    <w:rsid w:val="00954BE9"/>
    <w:rsid w:val="00960F62"/>
    <w:rsid w:val="00961921"/>
    <w:rsid w:val="009669CE"/>
    <w:rsid w:val="00967E2D"/>
    <w:rsid w:val="009728EB"/>
    <w:rsid w:val="00977088"/>
    <w:rsid w:val="00995AA5"/>
    <w:rsid w:val="00996C66"/>
    <w:rsid w:val="009A769C"/>
    <w:rsid w:val="009B495E"/>
    <w:rsid w:val="009B5367"/>
    <w:rsid w:val="009C2618"/>
    <w:rsid w:val="009E6618"/>
    <w:rsid w:val="009F125D"/>
    <w:rsid w:val="00A011E0"/>
    <w:rsid w:val="00A14A51"/>
    <w:rsid w:val="00A2058F"/>
    <w:rsid w:val="00A3362C"/>
    <w:rsid w:val="00A33CD8"/>
    <w:rsid w:val="00A43220"/>
    <w:rsid w:val="00A439AC"/>
    <w:rsid w:val="00A53A28"/>
    <w:rsid w:val="00A548C9"/>
    <w:rsid w:val="00AA4273"/>
    <w:rsid w:val="00AA69D8"/>
    <w:rsid w:val="00AD6F04"/>
    <w:rsid w:val="00AE4163"/>
    <w:rsid w:val="00AE453D"/>
    <w:rsid w:val="00B0193C"/>
    <w:rsid w:val="00B03209"/>
    <w:rsid w:val="00B628DF"/>
    <w:rsid w:val="00B810B2"/>
    <w:rsid w:val="00B84797"/>
    <w:rsid w:val="00B950DF"/>
    <w:rsid w:val="00BB1A3E"/>
    <w:rsid w:val="00BB3003"/>
    <w:rsid w:val="00BC73B1"/>
    <w:rsid w:val="00C01686"/>
    <w:rsid w:val="00C17106"/>
    <w:rsid w:val="00C208EF"/>
    <w:rsid w:val="00C2466E"/>
    <w:rsid w:val="00C27F06"/>
    <w:rsid w:val="00C30EE7"/>
    <w:rsid w:val="00C72607"/>
    <w:rsid w:val="00C72BDA"/>
    <w:rsid w:val="00CA33F9"/>
    <w:rsid w:val="00CC437E"/>
    <w:rsid w:val="00CC6AD0"/>
    <w:rsid w:val="00CD09C7"/>
    <w:rsid w:val="00D14CA5"/>
    <w:rsid w:val="00D31F1B"/>
    <w:rsid w:val="00D33DBF"/>
    <w:rsid w:val="00D557A1"/>
    <w:rsid w:val="00D710E7"/>
    <w:rsid w:val="00D73BC1"/>
    <w:rsid w:val="00DB2038"/>
    <w:rsid w:val="00DC128E"/>
    <w:rsid w:val="00DC7EFC"/>
    <w:rsid w:val="00DF1EA8"/>
    <w:rsid w:val="00DF2E57"/>
    <w:rsid w:val="00DF41D6"/>
    <w:rsid w:val="00E12D2E"/>
    <w:rsid w:val="00E1659A"/>
    <w:rsid w:val="00E326E2"/>
    <w:rsid w:val="00E45B1C"/>
    <w:rsid w:val="00E45F78"/>
    <w:rsid w:val="00E76398"/>
    <w:rsid w:val="00E94D59"/>
    <w:rsid w:val="00EC79A3"/>
    <w:rsid w:val="00ED0BFC"/>
    <w:rsid w:val="00EE4E66"/>
    <w:rsid w:val="00EF13E2"/>
    <w:rsid w:val="00F1394E"/>
    <w:rsid w:val="00F2689A"/>
    <w:rsid w:val="00F30025"/>
    <w:rsid w:val="00F328D6"/>
    <w:rsid w:val="00F33B83"/>
    <w:rsid w:val="00F47CCB"/>
    <w:rsid w:val="00F51824"/>
    <w:rsid w:val="00F720C5"/>
    <w:rsid w:val="00F75D9C"/>
    <w:rsid w:val="00F8128A"/>
    <w:rsid w:val="00F90128"/>
    <w:rsid w:val="00F914B1"/>
    <w:rsid w:val="00F9358D"/>
    <w:rsid w:val="00FC29AB"/>
    <w:rsid w:val="00FD5633"/>
    <w:rsid w:val="00FF3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700C"/>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apple-style-span">
    <w:name w:val="apple-style-span"/>
    <w:rsid w:val="00CA33F9"/>
  </w:style>
  <w:style w:type="paragraph" w:styleId="Quote">
    <w:name w:val="Quote"/>
    <w:basedOn w:val="Normal"/>
    <w:next w:val="Normal"/>
    <w:link w:val="QuoteChar"/>
    <w:uiPriority w:val="29"/>
    <w:qFormat/>
    <w:rsid w:val="005D55F0"/>
    <w:pPr>
      <w:spacing w:before="200" w:after="280" w:line="256" w:lineRule="auto"/>
      <w:ind w:left="864" w:right="864"/>
      <w:jc w:val="both"/>
    </w:pPr>
    <w:rPr>
      <w:rFonts w:ascii="Times New Roman" w:eastAsia="Calibri" w:hAnsi="Times New Roman" w:cs="Times New Roman"/>
      <w:iCs/>
      <w:sz w:val="20"/>
      <w:lang w:val="en-US"/>
    </w:rPr>
  </w:style>
  <w:style w:type="character" w:customStyle="1" w:styleId="QuoteChar">
    <w:name w:val="Quote Char"/>
    <w:basedOn w:val="DefaultParagraphFont"/>
    <w:link w:val="Quote"/>
    <w:uiPriority w:val="29"/>
    <w:rsid w:val="005D55F0"/>
    <w:rPr>
      <w:rFonts w:ascii="Times New Roman" w:eastAsia="Calibri" w:hAnsi="Times New Roman" w:cs="Times New Roman"/>
      <w:iCs/>
      <w:sz w:val="20"/>
    </w:rPr>
  </w:style>
  <w:style w:type="paragraph" w:styleId="FootnoteText">
    <w:name w:val="footnote text"/>
    <w:basedOn w:val="Normal"/>
    <w:link w:val="FootnoteTextChar"/>
    <w:uiPriority w:val="99"/>
    <w:semiHidden/>
    <w:unhideWhenUsed/>
    <w:rsid w:val="00E76398"/>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7639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763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77030839">
      <w:bodyDiv w:val="1"/>
      <w:marLeft w:val="0"/>
      <w:marRight w:val="0"/>
      <w:marTop w:val="0"/>
      <w:marBottom w:val="0"/>
      <w:divBdr>
        <w:top w:val="none" w:sz="0" w:space="0" w:color="auto"/>
        <w:left w:val="none" w:sz="0" w:space="0" w:color="auto"/>
        <w:bottom w:val="none" w:sz="0" w:space="0" w:color="auto"/>
        <w:right w:val="none" w:sz="0" w:space="0" w:color="auto"/>
      </w:divBdr>
    </w:div>
    <w:div w:id="18961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osse\AppData\Local\Microsoft\Windows\INetCache\Content.Outlook\JOR8JPKB\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43713-6EAF-4740-901C-0934112C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12</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7</cp:revision>
  <cp:lastPrinted>2020-07-28T09:37:00Z</cp:lastPrinted>
  <dcterms:created xsi:type="dcterms:W3CDTF">2020-07-28T09:36:00Z</dcterms:created>
  <dcterms:modified xsi:type="dcterms:W3CDTF">2020-08-14T05:10:00Z</dcterms:modified>
</cp:coreProperties>
</file>