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0A" w:rsidRPr="004A2599" w:rsidRDefault="00601A0A" w:rsidP="00601A0A">
      <w:pPr>
        <w:tabs>
          <w:tab w:val="left" w:pos="4092"/>
        </w:tabs>
        <w:spacing w:after="0" w:line="240" w:lineRule="auto"/>
        <w:jc w:val="center"/>
        <w:rPr>
          <w:rFonts w:ascii="Times New Roman" w:hAnsi="Times New Roman"/>
          <w:b/>
          <w:sz w:val="24"/>
          <w:szCs w:val="24"/>
        </w:rPr>
      </w:pPr>
      <w:r w:rsidRPr="004A2599">
        <w:rPr>
          <w:rFonts w:ascii="Times New Roman" w:hAnsi="Times New Roman"/>
          <w:b/>
          <w:sz w:val="24"/>
          <w:szCs w:val="24"/>
        </w:rPr>
        <w:t>SUPREME</w:t>
      </w:r>
      <w:r>
        <w:rPr>
          <w:rFonts w:ascii="Times New Roman" w:hAnsi="Times New Roman"/>
          <w:b/>
          <w:sz w:val="24"/>
          <w:szCs w:val="24"/>
        </w:rPr>
        <w:t xml:space="preserve"> </w:t>
      </w:r>
      <w:r w:rsidRPr="004A2599">
        <w:rPr>
          <w:rFonts w:ascii="Times New Roman" w:hAnsi="Times New Roman"/>
          <w:b/>
          <w:sz w:val="24"/>
          <w:szCs w:val="24"/>
        </w:rPr>
        <w:t>COURT OF SEYCHELLES</w:t>
      </w:r>
      <w:r>
        <w:rPr>
          <w:rFonts w:ascii="Times New Roman" w:hAnsi="Times New Roman"/>
          <w:b/>
          <w:sz w:val="24"/>
          <w:szCs w:val="24"/>
        </w:rPr>
        <w:t xml:space="preserve"> </w:t>
      </w:r>
    </w:p>
    <w:p w:rsidR="00601A0A" w:rsidRPr="004A2599" w:rsidRDefault="00601A0A" w:rsidP="00601A0A">
      <w:pPr>
        <w:pBdr>
          <w:bottom w:val="single" w:sz="4" w:space="1" w:color="auto"/>
        </w:pBdr>
        <w:tabs>
          <w:tab w:val="left" w:pos="4092"/>
        </w:tabs>
        <w:spacing w:line="240" w:lineRule="auto"/>
        <w:jc w:val="center"/>
        <w:rPr>
          <w:rFonts w:ascii="Times New Roman" w:hAnsi="Times New Roman"/>
          <w:b/>
          <w:sz w:val="24"/>
          <w:szCs w:val="24"/>
        </w:rPr>
      </w:pPr>
    </w:p>
    <w:p w:rsidR="00601A0A" w:rsidRPr="00380619" w:rsidRDefault="00601A0A" w:rsidP="00601A0A">
      <w:pPr>
        <w:spacing w:after="0" w:line="240" w:lineRule="auto"/>
        <w:ind w:left="5580"/>
        <w:rPr>
          <w:rFonts w:ascii="Times New Roman" w:hAnsi="Times New Roman"/>
          <w:b/>
          <w:sz w:val="24"/>
          <w:szCs w:val="24"/>
          <w:u w:val="single"/>
        </w:rPr>
      </w:pPr>
      <w:r w:rsidRPr="00380619">
        <w:rPr>
          <w:rFonts w:ascii="Times New Roman" w:hAnsi="Times New Roman"/>
          <w:b/>
          <w:sz w:val="24"/>
          <w:szCs w:val="24"/>
          <w:u w:val="single"/>
        </w:rPr>
        <w:t xml:space="preserve">Reportable </w:t>
      </w:r>
    </w:p>
    <w:p w:rsidR="00601A0A" w:rsidRPr="004A2599" w:rsidRDefault="00601A0A" w:rsidP="00601A0A">
      <w:pPr>
        <w:spacing w:after="0" w:line="240" w:lineRule="auto"/>
        <w:ind w:left="5580"/>
        <w:rPr>
          <w:rFonts w:ascii="Times New Roman" w:hAnsi="Times New Roman"/>
          <w:sz w:val="24"/>
          <w:szCs w:val="24"/>
        </w:rPr>
      </w:pPr>
      <w:r>
        <w:rPr>
          <w:rFonts w:ascii="Times New Roman" w:hAnsi="Times New Roman"/>
          <w:sz w:val="24"/>
          <w:szCs w:val="24"/>
        </w:rPr>
        <w:t>[2021</w:t>
      </w:r>
      <w:r>
        <w:rPr>
          <w:rFonts w:ascii="Times New Roman" w:hAnsi="Times New Roman"/>
          <w:sz w:val="24"/>
          <w:szCs w:val="24"/>
        </w:rPr>
        <w:t xml:space="preserve">] SCSC </w:t>
      </w:r>
      <w:r w:rsidR="00D11246">
        <w:rPr>
          <w:rFonts w:ascii="Times New Roman" w:hAnsi="Times New Roman"/>
          <w:sz w:val="24"/>
          <w:szCs w:val="24"/>
        </w:rPr>
        <w:t>146</w:t>
      </w:r>
    </w:p>
    <w:p w:rsidR="00601A0A" w:rsidRPr="004A2599" w:rsidRDefault="00601A0A" w:rsidP="00601A0A">
      <w:pPr>
        <w:spacing w:after="0" w:line="240" w:lineRule="auto"/>
        <w:ind w:left="5580"/>
        <w:rPr>
          <w:rFonts w:ascii="Times New Roman" w:hAnsi="Times New Roman"/>
          <w:sz w:val="24"/>
          <w:szCs w:val="24"/>
        </w:rPr>
      </w:pPr>
      <w:r>
        <w:rPr>
          <w:rFonts w:ascii="Times New Roman" w:hAnsi="Times New Roman"/>
          <w:sz w:val="24"/>
          <w:szCs w:val="24"/>
        </w:rPr>
        <w:t>CO</w:t>
      </w:r>
      <w:r>
        <w:rPr>
          <w:rFonts w:ascii="Times New Roman" w:hAnsi="Times New Roman"/>
          <w:sz w:val="24"/>
          <w:szCs w:val="24"/>
        </w:rPr>
        <w:t xml:space="preserve"> </w:t>
      </w:r>
      <w:r>
        <w:rPr>
          <w:rFonts w:ascii="Times New Roman" w:hAnsi="Times New Roman"/>
          <w:sz w:val="24"/>
          <w:szCs w:val="24"/>
        </w:rPr>
        <w:t>27</w:t>
      </w:r>
      <w:r w:rsidRPr="004A2599">
        <w:rPr>
          <w:rFonts w:ascii="Times New Roman" w:hAnsi="Times New Roman"/>
          <w:sz w:val="24"/>
          <w:szCs w:val="24"/>
        </w:rPr>
        <w:t>/20</w:t>
      </w:r>
      <w:r>
        <w:rPr>
          <w:rFonts w:ascii="Times New Roman" w:hAnsi="Times New Roman"/>
          <w:sz w:val="24"/>
          <w:szCs w:val="24"/>
        </w:rPr>
        <w:t>17</w:t>
      </w:r>
    </w:p>
    <w:p w:rsidR="00601A0A" w:rsidRPr="004A2599" w:rsidRDefault="00601A0A" w:rsidP="00601A0A">
      <w:pPr>
        <w:spacing w:after="0" w:line="240" w:lineRule="auto"/>
        <w:ind w:left="5580"/>
        <w:rPr>
          <w:rFonts w:ascii="Times New Roman" w:hAnsi="Times New Roman"/>
          <w:sz w:val="24"/>
          <w:szCs w:val="24"/>
        </w:rPr>
      </w:pPr>
      <w:bookmarkStart w:id="0" w:name="_GoBack"/>
      <w:bookmarkEnd w:id="0"/>
    </w:p>
    <w:p w:rsidR="00601A0A" w:rsidRPr="004A2599" w:rsidRDefault="00601A0A" w:rsidP="00601A0A">
      <w:pPr>
        <w:spacing w:after="0" w:line="240" w:lineRule="auto"/>
        <w:ind w:left="5580"/>
        <w:rPr>
          <w:rFonts w:ascii="Times New Roman" w:hAnsi="Times New Roman"/>
          <w:sz w:val="24"/>
          <w:szCs w:val="24"/>
        </w:rPr>
      </w:pPr>
    </w:p>
    <w:p w:rsidR="00601A0A" w:rsidRPr="004A2599" w:rsidRDefault="00601A0A" w:rsidP="00601A0A">
      <w:pPr>
        <w:tabs>
          <w:tab w:val="left" w:pos="540"/>
          <w:tab w:val="left" w:pos="4092"/>
        </w:tabs>
        <w:spacing w:after="0" w:line="240" w:lineRule="auto"/>
        <w:rPr>
          <w:rFonts w:ascii="Times New Roman" w:hAnsi="Times New Roman"/>
          <w:sz w:val="24"/>
          <w:szCs w:val="24"/>
        </w:rPr>
      </w:pPr>
      <w:r w:rsidRPr="004A2599">
        <w:rPr>
          <w:rFonts w:ascii="Times New Roman" w:hAnsi="Times New Roman"/>
          <w:sz w:val="24"/>
          <w:szCs w:val="24"/>
        </w:rPr>
        <w:t>In the matter between:</w:t>
      </w:r>
    </w:p>
    <w:p w:rsidR="00601A0A" w:rsidRPr="00214DB4" w:rsidRDefault="00601A0A" w:rsidP="00601A0A">
      <w:pPr>
        <w:pStyle w:val="Partynames"/>
      </w:pPr>
      <w:r>
        <w:t>THE REPUBLIC</w:t>
      </w:r>
      <w:r w:rsidRPr="00214DB4">
        <w:tab/>
      </w:r>
      <w:r>
        <w:t>Prosecution</w:t>
      </w:r>
    </w:p>
    <w:p w:rsidR="00601A0A" w:rsidRPr="00214DB4" w:rsidRDefault="00601A0A" w:rsidP="00601A0A">
      <w:pPr>
        <w:pStyle w:val="Attorneysnames"/>
      </w:pPr>
      <w:r>
        <w:t>(rep. by Hemanth Kumar</w:t>
      </w:r>
      <w:r w:rsidRPr="00214DB4">
        <w:t>)</w:t>
      </w:r>
    </w:p>
    <w:p w:rsidR="00601A0A" w:rsidRPr="004A2599" w:rsidRDefault="00601A0A" w:rsidP="00601A0A">
      <w:pPr>
        <w:tabs>
          <w:tab w:val="left" w:pos="540"/>
          <w:tab w:val="left" w:pos="4092"/>
          <w:tab w:val="left" w:pos="5580"/>
        </w:tabs>
        <w:spacing w:after="0" w:line="240" w:lineRule="auto"/>
        <w:rPr>
          <w:rFonts w:ascii="Times New Roman" w:hAnsi="Times New Roman"/>
          <w:sz w:val="24"/>
          <w:szCs w:val="24"/>
        </w:rPr>
      </w:pPr>
    </w:p>
    <w:p w:rsidR="00601A0A" w:rsidRPr="004A2599" w:rsidRDefault="00601A0A" w:rsidP="00601A0A">
      <w:pPr>
        <w:tabs>
          <w:tab w:val="left" w:pos="540"/>
          <w:tab w:val="left" w:pos="4092"/>
          <w:tab w:val="left" w:pos="5580"/>
        </w:tabs>
        <w:spacing w:after="0" w:line="240" w:lineRule="auto"/>
        <w:rPr>
          <w:rFonts w:ascii="Times New Roman" w:hAnsi="Times New Roman"/>
          <w:sz w:val="24"/>
          <w:szCs w:val="24"/>
        </w:rPr>
      </w:pPr>
      <w:r w:rsidRPr="004A2599">
        <w:rPr>
          <w:rFonts w:ascii="Times New Roman" w:hAnsi="Times New Roman"/>
          <w:sz w:val="24"/>
          <w:szCs w:val="24"/>
        </w:rPr>
        <w:t>and</w:t>
      </w:r>
    </w:p>
    <w:p w:rsidR="00601A0A" w:rsidRDefault="00601A0A" w:rsidP="00601A0A">
      <w:pPr>
        <w:tabs>
          <w:tab w:val="left" w:pos="540"/>
          <w:tab w:val="left" w:pos="5580"/>
          <w:tab w:val="left" w:pos="6480"/>
        </w:tabs>
        <w:spacing w:after="0" w:line="240" w:lineRule="auto"/>
        <w:rPr>
          <w:rFonts w:ascii="Times New Roman" w:hAnsi="Times New Roman"/>
          <w:b/>
          <w:sz w:val="24"/>
          <w:szCs w:val="24"/>
        </w:rPr>
      </w:pPr>
    </w:p>
    <w:p w:rsidR="00601A0A" w:rsidRPr="004A2599" w:rsidRDefault="00601A0A" w:rsidP="00601A0A">
      <w:pPr>
        <w:pStyle w:val="Partynames"/>
      </w:pPr>
      <w:r>
        <w:t>ALBERT GEERS &amp; ORS</w:t>
      </w:r>
      <w:r w:rsidRPr="004A2599">
        <w:tab/>
      </w:r>
      <w:r>
        <w:t>Accused</w:t>
      </w:r>
    </w:p>
    <w:p w:rsidR="00601A0A" w:rsidRDefault="00601A0A" w:rsidP="00601A0A">
      <w:pPr>
        <w:tabs>
          <w:tab w:val="left" w:pos="540"/>
          <w:tab w:val="left" w:pos="4092"/>
        </w:tabs>
        <w:spacing w:after="0" w:line="240" w:lineRule="auto"/>
        <w:rPr>
          <w:rFonts w:ascii="Times New Roman" w:hAnsi="Times New Roman"/>
          <w:i/>
          <w:sz w:val="24"/>
          <w:szCs w:val="24"/>
        </w:rPr>
      </w:pPr>
      <w:r w:rsidRPr="004A2599">
        <w:rPr>
          <w:rFonts w:ascii="Times New Roman" w:hAnsi="Times New Roman"/>
          <w:i/>
          <w:sz w:val="24"/>
          <w:szCs w:val="24"/>
        </w:rPr>
        <w:t>(</w:t>
      </w:r>
      <w:r>
        <w:rPr>
          <w:rFonts w:ascii="Times New Roman" w:hAnsi="Times New Roman"/>
          <w:i/>
          <w:sz w:val="24"/>
          <w:szCs w:val="24"/>
        </w:rPr>
        <w:t>rep. by Anthony Derjacques</w:t>
      </w:r>
      <w:r w:rsidRPr="004A2599">
        <w:rPr>
          <w:rFonts w:ascii="Times New Roman" w:hAnsi="Times New Roman"/>
          <w:i/>
          <w:sz w:val="24"/>
          <w:szCs w:val="24"/>
        </w:rPr>
        <w:t>)</w:t>
      </w:r>
    </w:p>
    <w:p w:rsidR="00601A0A" w:rsidRPr="00BB1A3E" w:rsidRDefault="00601A0A" w:rsidP="00601A0A">
      <w:pPr>
        <w:pBdr>
          <w:bottom w:val="single" w:sz="4" w:space="1" w:color="auto"/>
        </w:pBdr>
        <w:tabs>
          <w:tab w:val="left" w:pos="540"/>
          <w:tab w:val="left" w:pos="5580"/>
        </w:tabs>
        <w:spacing w:after="0" w:line="240" w:lineRule="auto"/>
        <w:rPr>
          <w:rFonts w:ascii="Times New Roman" w:hAnsi="Times New Roman"/>
          <w:i/>
          <w:sz w:val="24"/>
          <w:szCs w:val="24"/>
        </w:rPr>
      </w:pPr>
    </w:p>
    <w:p w:rsidR="00601A0A" w:rsidRDefault="00601A0A" w:rsidP="00601A0A">
      <w:pPr>
        <w:spacing w:after="0" w:line="240" w:lineRule="auto"/>
        <w:ind w:left="1890" w:hanging="1890"/>
        <w:rPr>
          <w:rFonts w:ascii="Times New Roman" w:hAnsi="Times New Roman"/>
          <w:sz w:val="24"/>
          <w:szCs w:val="24"/>
        </w:rPr>
      </w:pPr>
      <w:r>
        <w:rPr>
          <w:rFonts w:ascii="Times New Roman" w:hAnsi="Times New Roman"/>
          <w:b/>
          <w:sz w:val="24"/>
          <w:szCs w:val="24"/>
        </w:rPr>
        <w:t>Before</w:t>
      </w:r>
      <w:r w:rsidRPr="004A2599">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Govinden CJ</w:t>
      </w:r>
      <w:r w:rsidRPr="00F33B83">
        <w:rPr>
          <w:rFonts w:ascii="Times New Roman" w:hAnsi="Times New Roman"/>
          <w:sz w:val="24"/>
          <w:szCs w:val="24"/>
        </w:rPr>
        <w:t xml:space="preserve"> </w:t>
      </w:r>
    </w:p>
    <w:p w:rsidR="00601A0A" w:rsidRPr="005B12AA" w:rsidRDefault="00601A0A" w:rsidP="00601A0A">
      <w:pPr>
        <w:tabs>
          <w:tab w:val="left" w:pos="720"/>
          <w:tab w:val="left" w:pos="1440"/>
          <w:tab w:val="left" w:pos="2160"/>
        </w:tabs>
        <w:spacing w:after="0" w:line="240" w:lineRule="auto"/>
        <w:ind w:left="1890" w:hanging="1890"/>
        <w:rPr>
          <w:rFonts w:ascii="Times New Roman" w:hAnsi="Times New Roman"/>
          <w:sz w:val="24"/>
          <w:szCs w:val="24"/>
        </w:rPr>
      </w:pPr>
      <w:r w:rsidRPr="004A2599">
        <w:rPr>
          <w:rFonts w:ascii="Times New Roman" w:hAnsi="Times New Roman"/>
          <w:b/>
          <w:sz w:val="24"/>
          <w:szCs w:val="24"/>
        </w:rPr>
        <w:t xml:space="preserve">Heard: </w:t>
      </w:r>
      <w:r w:rsidRPr="005B12A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13 April 2021</w:t>
      </w:r>
    </w:p>
    <w:p w:rsidR="00601A0A" w:rsidRDefault="00601A0A" w:rsidP="00601A0A">
      <w:pPr>
        <w:pBdr>
          <w:bottom w:val="single" w:sz="4" w:space="1" w:color="auto"/>
        </w:pBdr>
        <w:spacing w:after="0" w:line="240" w:lineRule="auto"/>
        <w:ind w:left="1890" w:hanging="1890"/>
        <w:rPr>
          <w:rFonts w:ascii="Times New Roman" w:hAnsi="Times New Roman"/>
          <w:sz w:val="24"/>
          <w:szCs w:val="24"/>
        </w:rPr>
      </w:pPr>
      <w:r w:rsidRPr="004A2599">
        <w:rPr>
          <w:rFonts w:ascii="Times New Roman" w:hAnsi="Times New Roman"/>
          <w:b/>
          <w:sz w:val="24"/>
          <w:szCs w:val="24"/>
        </w:rPr>
        <w:t>Delivered:</w:t>
      </w:r>
      <w:r w:rsidRPr="004A2599">
        <w:rPr>
          <w:rFonts w:ascii="Times New Roman" w:hAnsi="Times New Roman"/>
          <w:b/>
          <w:sz w:val="24"/>
          <w:szCs w:val="24"/>
        </w:rPr>
        <w:tab/>
      </w:r>
      <w:r>
        <w:rPr>
          <w:rFonts w:ascii="Times New Roman" w:hAnsi="Times New Roman"/>
          <w:sz w:val="24"/>
          <w:szCs w:val="24"/>
        </w:rPr>
        <w:t>13 April 2021</w:t>
      </w:r>
    </w:p>
    <w:p w:rsidR="00601A0A" w:rsidRPr="00F33B83" w:rsidRDefault="00601A0A" w:rsidP="00601A0A">
      <w:pPr>
        <w:spacing w:after="0" w:line="240" w:lineRule="auto"/>
        <w:ind w:left="1890" w:hanging="1890"/>
        <w:rPr>
          <w:rFonts w:ascii="Times New Roman" w:hAnsi="Times New Roman"/>
          <w:sz w:val="24"/>
          <w:szCs w:val="24"/>
        </w:rPr>
      </w:pPr>
    </w:p>
    <w:p w:rsidR="00601A0A" w:rsidRPr="00DA4FF8" w:rsidRDefault="00601A0A" w:rsidP="00601A0A">
      <w:pPr>
        <w:spacing w:before="120" w:after="120" w:line="240" w:lineRule="auto"/>
        <w:jc w:val="center"/>
        <w:rPr>
          <w:rFonts w:ascii="Times New Roman" w:hAnsi="Times New Roman"/>
          <w:b/>
          <w:color w:val="000000"/>
          <w:sz w:val="24"/>
          <w:szCs w:val="24"/>
        </w:rPr>
      </w:pPr>
      <w:r>
        <w:rPr>
          <w:rFonts w:ascii="Times New Roman" w:hAnsi="Times New Roman"/>
          <w:b/>
          <w:color w:val="000000"/>
          <w:sz w:val="24"/>
          <w:szCs w:val="24"/>
        </w:rPr>
        <w:t>RULING</w:t>
      </w:r>
    </w:p>
    <w:p w:rsidR="00601A0A" w:rsidRPr="00F33B83" w:rsidRDefault="00601A0A" w:rsidP="00601A0A">
      <w:pPr>
        <w:pBdr>
          <w:bottom w:val="single" w:sz="4" w:space="1" w:color="auto"/>
        </w:pBdr>
        <w:tabs>
          <w:tab w:val="left" w:pos="2892"/>
        </w:tabs>
        <w:spacing w:after="0" w:line="276" w:lineRule="auto"/>
        <w:rPr>
          <w:rFonts w:ascii="Times New Roman" w:hAnsi="Times New Roman"/>
          <w:b/>
          <w:sz w:val="24"/>
          <w:szCs w:val="24"/>
        </w:rPr>
      </w:pPr>
    </w:p>
    <w:p w:rsidR="00601A0A" w:rsidRPr="004A2599" w:rsidRDefault="00601A0A" w:rsidP="00601A0A">
      <w:pPr>
        <w:rPr>
          <w:rFonts w:ascii="Times New Roman" w:hAnsi="Times New Roman"/>
          <w:sz w:val="24"/>
          <w:szCs w:val="24"/>
        </w:rPr>
      </w:pPr>
    </w:p>
    <w:p w:rsidR="00601A0A" w:rsidRPr="005B12AA" w:rsidRDefault="00601A0A" w:rsidP="00601A0A">
      <w:pPr>
        <w:pStyle w:val="JudgmentText"/>
        <w:numPr>
          <w:ilvl w:val="0"/>
          <w:numId w:val="0"/>
        </w:numPr>
        <w:spacing w:line="480" w:lineRule="auto"/>
        <w:ind w:left="720" w:hanging="720"/>
        <w:rPr>
          <w:b/>
        </w:rPr>
      </w:pPr>
      <w:r>
        <w:rPr>
          <w:b/>
        </w:rPr>
        <w:t xml:space="preserve">GOVINDEN </w:t>
      </w:r>
      <w:r w:rsidRPr="005B12AA">
        <w:rPr>
          <w:b/>
        </w:rPr>
        <w:t xml:space="preserve">CJ </w:t>
      </w:r>
    </w:p>
    <w:p w:rsidR="00601A0A" w:rsidRDefault="00601A0A" w:rsidP="00601A0A">
      <w:pPr>
        <w:pStyle w:val="JudgmentText"/>
        <w:tabs>
          <w:tab w:val="clear" w:pos="360"/>
        </w:tabs>
        <w:ind w:hanging="720"/>
      </w:pPr>
      <w:r>
        <w:t>Upon the prosecution attempting to adduce a verbal admission of the accused person, allegedly given in the car on the way to the Sunset Hotel on the 31</w:t>
      </w:r>
      <w:r w:rsidRPr="00601A0A">
        <w:rPr>
          <w:vertAlign w:val="superscript"/>
        </w:rPr>
        <w:t>st</w:t>
      </w:r>
      <w:r>
        <w:t xml:space="preserve"> of May 2017 in the morning, learned defence Counsel objected to its admissibility on the ground that it is hearsay evidence and hence not admissible.  It is the case of the defence that the said </w:t>
      </w:r>
      <w:r w:rsidR="00FE2389">
        <w:t>statement which the accused made</w:t>
      </w:r>
      <w:r>
        <w:t xml:space="preserve"> to the Police Servina</w:t>
      </w:r>
      <w:r w:rsidR="00FE2389">
        <w:t xml:space="preserve"> that</w:t>
      </w:r>
      <w:r>
        <w:t xml:space="preserve"> at a store found at his house </w:t>
      </w:r>
      <w:r w:rsidR="00FE2389">
        <w:t>which</w:t>
      </w:r>
      <w:r>
        <w:t xml:space="preserve"> they were going to</w:t>
      </w:r>
      <w:r w:rsidR="00FE2389">
        <w:t>,</w:t>
      </w:r>
      <w:r>
        <w:t xml:space="preserve"> contain cannabis plants on which he was doing experiment</w:t>
      </w:r>
      <w:r w:rsidR="00FE2389">
        <w:t>,</w:t>
      </w:r>
      <w:r>
        <w:t xml:space="preserve"> is inadmissible as he was not properly cautioned and informed of his rights under the Constitution. </w:t>
      </w:r>
    </w:p>
    <w:p w:rsidR="00601A0A" w:rsidRDefault="004C66D6" w:rsidP="00601A0A">
      <w:pPr>
        <w:pStyle w:val="JudgmentText"/>
        <w:tabs>
          <w:tab w:val="clear" w:pos="360"/>
        </w:tabs>
        <w:ind w:hanging="720"/>
      </w:pPr>
      <w:r>
        <w:t xml:space="preserve">Given the objection the Court initiated a trial within a trial to test the admissibility if the said statement.  It is law that before any admission made by an accused person to any </w:t>
      </w:r>
      <w:r>
        <w:lastRenderedPageBreak/>
        <w:t xml:space="preserve">person in authority is brought into evidence, the prosecution bear the burden to show beyond a reasonable doubt that it is admissible in the sense that it was given in accordance with the Constitutional rights of the accused and that he was duly cautioned.  Moreover, in the event of a retraction </w:t>
      </w:r>
      <w:r w:rsidR="00FE2389">
        <w:t>such</w:t>
      </w:r>
      <w:r>
        <w:t xml:space="preserve"> as in this case, the prosecution also needs to prove that nothing was done that</w:t>
      </w:r>
      <w:r w:rsidR="002C63D4">
        <w:t xml:space="preserve"> sapped</w:t>
      </w:r>
      <w:r>
        <w:t xml:space="preserve"> the voluntariness of the statement in the sense that no fear, favour, intimidation or pressure or hope of advantage was given to the accused or upon any of his relatives in order for him to give the confession. </w:t>
      </w:r>
    </w:p>
    <w:p w:rsidR="004C66D6" w:rsidRDefault="004C66D6" w:rsidP="00601A0A">
      <w:pPr>
        <w:pStyle w:val="JudgmentText"/>
        <w:tabs>
          <w:tab w:val="clear" w:pos="360"/>
        </w:tabs>
        <w:ind w:hanging="720"/>
      </w:pPr>
      <w:r>
        <w:t xml:space="preserve">The prosecution called two witnesses, Officer Alexander Cherry and Officer Pierre Servina.  Both of then confirmed the utterance.  However Officer Servina says that it was upon him asking the accused a question about the store that the accused made the admission, whilst Officer Cherry says that it was a spontaneous </w:t>
      </w:r>
      <w:r w:rsidR="00546618">
        <w:t>assertion</w:t>
      </w:r>
      <w:r>
        <w:t xml:space="preserve"> from the accused person. </w:t>
      </w:r>
    </w:p>
    <w:p w:rsidR="004C66D6" w:rsidRDefault="004C66D6" w:rsidP="00601A0A">
      <w:pPr>
        <w:pStyle w:val="JudgmentText"/>
        <w:tabs>
          <w:tab w:val="clear" w:pos="360"/>
        </w:tabs>
        <w:ind w:hanging="720"/>
      </w:pPr>
      <w:r>
        <w:t xml:space="preserve">The accused on the other hand whilst accepting that he made the utterance, said that it was prompted by Pierre Servina and that he was not cautioned or informed of his rights whether before or after he made the accession.  </w:t>
      </w:r>
    </w:p>
    <w:p w:rsidR="00B3244A" w:rsidRDefault="004C66D6" w:rsidP="00B3244A">
      <w:pPr>
        <w:pStyle w:val="JudgmentText"/>
        <w:tabs>
          <w:tab w:val="clear" w:pos="360"/>
        </w:tabs>
        <w:ind w:hanging="720"/>
      </w:pPr>
      <w:r>
        <w:t xml:space="preserve">I have carefully considered the submissions and the facts before me in the light of established </w:t>
      </w:r>
      <w:r w:rsidR="00546618">
        <w:t>p</w:t>
      </w:r>
      <w:r>
        <w:t xml:space="preserve">rinciples when it comes to admissibility of verbal confessions given to Police Officers by accused. I consider first of all the chain of events leading to the accused being in the vehicle, in the presence of Officers Pierre Servina and Alexander Cherry.  He had been arrested and cautioned at his residence before for the facts and circumstances relating to the first Count in this case.  He was aware of the fact that he was being investigated of a criminal offence relating to controlled drug.  In that sense if he volunteered to admit any incriminating facts to the Police, he was still under the caution rendered the day before.  In that respect I find that the verbal admission to be a spontaneous one and not prompted by Officer Servina.  I find that Officer Cherry to be a witness of truth in that respect and I accept his evidence as such.  I consider that Officer Pierre Servina’s evidence in that respect is erroneous and unreliable and </w:t>
      </w:r>
      <w:r w:rsidR="00B3244A">
        <w:t xml:space="preserve">I don’t accept it. I also find that the accused person not to be a truthful witness when he said that his accession was prompted by a question from Servina. </w:t>
      </w:r>
    </w:p>
    <w:p w:rsidR="00B3244A" w:rsidRDefault="00B3244A" w:rsidP="00B3244A">
      <w:pPr>
        <w:pStyle w:val="JudgmentText"/>
        <w:tabs>
          <w:tab w:val="clear" w:pos="360"/>
        </w:tabs>
        <w:ind w:hanging="720"/>
      </w:pPr>
      <w:r>
        <w:lastRenderedPageBreak/>
        <w:t>I find that the accused implicating himself on the 31</w:t>
      </w:r>
      <w:r w:rsidRPr="00B3244A">
        <w:rPr>
          <w:vertAlign w:val="superscript"/>
        </w:rPr>
        <w:t>st</w:t>
      </w:r>
      <w:r>
        <w:t xml:space="preserve"> of May 2019, of which </w:t>
      </w:r>
      <w:r w:rsidR="00546618">
        <w:t>such implication was continuous</w:t>
      </w:r>
      <w:r>
        <w:t xml:space="preserve"> Officer Servina did caution him and inform him of his Constitutional rights and he was imparted with a caution.  Such </w:t>
      </w:r>
      <w:r w:rsidR="00546618">
        <w:t>imparts</w:t>
      </w:r>
      <w:r>
        <w:t xml:space="preserve"> of rights and caution could only have been imparted after the admission given that there was no reason to exercise a caution before as they were simply going </w:t>
      </w:r>
      <w:r w:rsidR="00546618">
        <w:t>to</w:t>
      </w:r>
      <w:r>
        <w:t xml:space="preserve"> a store as far as the Officers were concerned before the spontaneous </w:t>
      </w:r>
      <w:r w:rsidR="00546618">
        <w:t>assertion</w:t>
      </w:r>
      <w:r>
        <w:t xml:space="preserve"> was made. </w:t>
      </w:r>
    </w:p>
    <w:p w:rsidR="00B3244A" w:rsidRPr="00E40E03" w:rsidRDefault="00B3244A" w:rsidP="00B3244A">
      <w:pPr>
        <w:pStyle w:val="JudgmentText"/>
        <w:tabs>
          <w:tab w:val="clear" w:pos="360"/>
        </w:tabs>
        <w:ind w:hanging="720"/>
      </w:pPr>
      <w:r>
        <w:t>I further find that there was no oppression, fear, intimidation or hope or favour offered to the accused person whilst he was in the car before he made the spontaneous utterance regarding the store.  Therefore</w:t>
      </w:r>
      <w:r w:rsidR="00546618">
        <w:t>,</w:t>
      </w:r>
      <w:r>
        <w:t xml:space="preserve"> I find that the statement is admissible in evidence for the truth of its content. </w:t>
      </w:r>
    </w:p>
    <w:p w:rsidR="00601A0A" w:rsidRPr="004A2599" w:rsidRDefault="00601A0A" w:rsidP="00601A0A">
      <w:pPr>
        <w:keepNext/>
        <w:rPr>
          <w:rFonts w:ascii="Times New Roman" w:hAnsi="Times New Roman"/>
          <w:sz w:val="24"/>
          <w:szCs w:val="24"/>
        </w:rPr>
      </w:pPr>
      <w:r w:rsidRPr="004A2599">
        <w:rPr>
          <w:rFonts w:ascii="Times New Roman" w:hAnsi="Times New Roman"/>
          <w:sz w:val="24"/>
          <w:szCs w:val="24"/>
        </w:rPr>
        <w:t xml:space="preserve">Signed, dated and delivered at Ile du Port on </w:t>
      </w:r>
      <w:r>
        <w:rPr>
          <w:rFonts w:ascii="Times New Roman" w:hAnsi="Times New Roman"/>
          <w:sz w:val="24"/>
          <w:szCs w:val="24"/>
        </w:rPr>
        <w:t>13</w:t>
      </w:r>
      <w:r w:rsidRPr="00601A0A">
        <w:rPr>
          <w:rFonts w:ascii="Times New Roman" w:hAnsi="Times New Roman"/>
          <w:sz w:val="24"/>
          <w:szCs w:val="24"/>
          <w:vertAlign w:val="superscript"/>
        </w:rPr>
        <w:t>th</w:t>
      </w:r>
      <w:r>
        <w:rPr>
          <w:rFonts w:ascii="Times New Roman" w:hAnsi="Times New Roman"/>
          <w:sz w:val="24"/>
          <w:szCs w:val="24"/>
        </w:rPr>
        <w:t xml:space="preserve"> day of April 2021.</w:t>
      </w:r>
    </w:p>
    <w:p w:rsidR="00601A0A" w:rsidRDefault="00601A0A" w:rsidP="00601A0A">
      <w:pPr>
        <w:keepNext/>
        <w:rPr>
          <w:rFonts w:ascii="Times New Roman" w:hAnsi="Times New Roman"/>
          <w:sz w:val="24"/>
          <w:szCs w:val="24"/>
        </w:rPr>
      </w:pPr>
    </w:p>
    <w:p w:rsidR="00B3244A" w:rsidRPr="004A2599" w:rsidRDefault="00B3244A" w:rsidP="00601A0A">
      <w:pPr>
        <w:keepNext/>
        <w:rPr>
          <w:rFonts w:ascii="Times New Roman" w:hAnsi="Times New Roman"/>
          <w:sz w:val="24"/>
          <w:szCs w:val="24"/>
        </w:rPr>
      </w:pPr>
    </w:p>
    <w:p w:rsidR="00601A0A" w:rsidRDefault="00601A0A" w:rsidP="00601A0A">
      <w:pPr>
        <w:keepNext/>
        <w:rPr>
          <w:rFonts w:ascii="Times New Roman" w:hAnsi="Times New Roman"/>
          <w:sz w:val="24"/>
          <w:szCs w:val="24"/>
        </w:rPr>
      </w:pPr>
      <w:r w:rsidRPr="004A2599">
        <w:rPr>
          <w:rFonts w:ascii="Times New Roman" w:hAnsi="Times New Roman"/>
          <w:sz w:val="24"/>
          <w:szCs w:val="24"/>
        </w:rPr>
        <w:t>____________</w:t>
      </w:r>
    </w:p>
    <w:p w:rsidR="00601A0A" w:rsidRPr="00235626" w:rsidRDefault="00601A0A" w:rsidP="00601A0A">
      <w:pPr>
        <w:keepNext/>
        <w:rPr>
          <w:rFonts w:ascii="Times New Roman" w:hAnsi="Times New Roman"/>
          <w:sz w:val="24"/>
          <w:szCs w:val="24"/>
        </w:rPr>
      </w:pPr>
      <w:r>
        <w:rPr>
          <w:rFonts w:ascii="Times New Roman" w:hAnsi="Times New Roman"/>
          <w:sz w:val="24"/>
          <w:szCs w:val="24"/>
        </w:rPr>
        <w:t>R. Govinden</w:t>
      </w:r>
      <w:r>
        <w:rPr>
          <w:rFonts w:ascii="Times New Roman" w:hAnsi="Times New Roman"/>
          <w:sz w:val="24"/>
          <w:szCs w:val="24"/>
        </w:rPr>
        <w:t xml:space="preserve"> CJ</w:t>
      </w:r>
    </w:p>
    <w:p w:rsidR="00601A0A" w:rsidRDefault="00601A0A" w:rsidP="00601A0A"/>
    <w:p w:rsidR="005D512D" w:rsidRDefault="005D512D"/>
    <w:sectPr w:rsidR="005D512D" w:rsidSect="00DE300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02" w:rsidRDefault="00D11246">
    <w:pPr>
      <w:pStyle w:val="Footer"/>
      <w:jc w:val="center"/>
    </w:pPr>
    <w:r>
      <w:fldChar w:fldCharType="begin"/>
    </w:r>
    <w:r>
      <w:instrText xml:space="preserve"> PAGE   \* MERGEFORMAT </w:instrText>
    </w:r>
    <w:r>
      <w:fldChar w:fldCharType="separate"/>
    </w:r>
    <w:r>
      <w:rPr>
        <w:noProof/>
      </w:rPr>
      <w:t>1</w:t>
    </w:r>
    <w:r>
      <w:rPr>
        <w:noProof/>
      </w:rPr>
      <w:fldChar w:fldCharType="end"/>
    </w:r>
  </w:p>
  <w:p w:rsidR="00DE3002" w:rsidRDefault="00D1124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0A"/>
    <w:rsid w:val="00221560"/>
    <w:rsid w:val="002C63D4"/>
    <w:rsid w:val="004014FF"/>
    <w:rsid w:val="004C66D6"/>
    <w:rsid w:val="00546618"/>
    <w:rsid w:val="005D512D"/>
    <w:rsid w:val="005F6DF1"/>
    <w:rsid w:val="00601A0A"/>
    <w:rsid w:val="00962258"/>
    <w:rsid w:val="00970A7D"/>
    <w:rsid w:val="00B3244A"/>
    <w:rsid w:val="00B523AC"/>
    <w:rsid w:val="00B91BDD"/>
    <w:rsid w:val="00D11246"/>
    <w:rsid w:val="00FE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C42E0-8BD2-4022-B204-0EA1A8DD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A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0A"/>
    <w:rPr>
      <w:rFonts w:ascii="Calibri" w:eastAsia="Calibri" w:hAnsi="Calibri" w:cs="Times New Roman"/>
    </w:rPr>
  </w:style>
  <w:style w:type="numbering" w:customStyle="1" w:styleId="Judgments">
    <w:name w:val="Judgments"/>
    <w:uiPriority w:val="99"/>
    <w:rsid w:val="00601A0A"/>
    <w:pPr>
      <w:numPr>
        <w:numId w:val="1"/>
      </w:numPr>
    </w:pPr>
  </w:style>
  <w:style w:type="paragraph" w:customStyle="1" w:styleId="JudgmentText">
    <w:name w:val="Judgment Text"/>
    <w:basedOn w:val="ListParagraph"/>
    <w:qFormat/>
    <w:rsid w:val="00601A0A"/>
    <w:pPr>
      <w:numPr>
        <w:numId w:val="2"/>
      </w:numPr>
      <w:tabs>
        <w:tab w:val="num" w:pos="360"/>
      </w:tabs>
      <w:spacing w:after="240" w:line="360" w:lineRule="auto"/>
      <w:ind w:firstLine="0"/>
      <w:contextualSpacing w:val="0"/>
      <w:jc w:val="both"/>
    </w:pPr>
    <w:rPr>
      <w:rFonts w:ascii="Times New Roman" w:eastAsia="Times New Roman" w:hAnsi="Times New Roman"/>
      <w:sz w:val="24"/>
      <w:szCs w:val="24"/>
      <w:lang w:val="en-GB"/>
    </w:rPr>
  </w:style>
  <w:style w:type="paragraph" w:customStyle="1" w:styleId="Jjmntheading1">
    <w:name w:val="Jjmnt heading 1"/>
    <w:basedOn w:val="Normal"/>
    <w:link w:val="Jjmntheading1Char"/>
    <w:qFormat/>
    <w:rsid w:val="00601A0A"/>
    <w:pPr>
      <w:keepNext/>
    </w:pPr>
    <w:rPr>
      <w:rFonts w:ascii="Times New Roman" w:hAnsi="Times New Roman"/>
      <w:b/>
      <w:sz w:val="24"/>
      <w:szCs w:val="24"/>
    </w:rPr>
  </w:style>
  <w:style w:type="character" w:customStyle="1" w:styleId="Jjmntheading1Char">
    <w:name w:val="Jjmnt heading 1 Char"/>
    <w:link w:val="Jjmntheading1"/>
    <w:rsid w:val="00601A0A"/>
    <w:rPr>
      <w:rFonts w:ascii="Times New Roman" w:eastAsia="Calibri" w:hAnsi="Times New Roman" w:cs="Times New Roman"/>
      <w:b/>
      <w:sz w:val="24"/>
      <w:szCs w:val="24"/>
    </w:rPr>
  </w:style>
  <w:style w:type="paragraph" w:customStyle="1" w:styleId="Partynames">
    <w:name w:val="Party names"/>
    <w:basedOn w:val="Normal"/>
    <w:link w:val="PartynamesChar"/>
    <w:qFormat/>
    <w:rsid w:val="00601A0A"/>
    <w:pPr>
      <w:tabs>
        <w:tab w:val="left" w:pos="540"/>
        <w:tab w:val="left" w:pos="5580"/>
      </w:tabs>
      <w:spacing w:before="240" w:after="0" w:line="240" w:lineRule="auto"/>
    </w:pPr>
    <w:rPr>
      <w:rFonts w:ascii="Times New Roman" w:hAnsi="Times New Roman"/>
      <w:b/>
      <w:sz w:val="24"/>
      <w:szCs w:val="24"/>
    </w:rPr>
  </w:style>
  <w:style w:type="paragraph" w:customStyle="1" w:styleId="Attorneysnames">
    <w:name w:val="Attorneys names"/>
    <w:basedOn w:val="Normal"/>
    <w:link w:val="AttorneysnamesChar"/>
    <w:qFormat/>
    <w:rsid w:val="00601A0A"/>
    <w:pPr>
      <w:tabs>
        <w:tab w:val="left" w:pos="540"/>
        <w:tab w:val="left" w:pos="4092"/>
        <w:tab w:val="left" w:pos="5580"/>
      </w:tabs>
      <w:spacing w:after="0" w:line="240" w:lineRule="auto"/>
    </w:pPr>
    <w:rPr>
      <w:rFonts w:ascii="Times New Roman" w:hAnsi="Times New Roman"/>
      <w:i/>
      <w:sz w:val="24"/>
      <w:szCs w:val="24"/>
    </w:rPr>
  </w:style>
  <w:style w:type="character" w:customStyle="1" w:styleId="PartynamesChar">
    <w:name w:val="Party names Char"/>
    <w:link w:val="Partynames"/>
    <w:rsid w:val="00601A0A"/>
    <w:rPr>
      <w:rFonts w:ascii="Times New Roman" w:eastAsia="Calibri" w:hAnsi="Times New Roman" w:cs="Times New Roman"/>
      <w:b/>
      <w:sz w:val="24"/>
      <w:szCs w:val="24"/>
    </w:rPr>
  </w:style>
  <w:style w:type="character" w:customStyle="1" w:styleId="AttorneysnamesChar">
    <w:name w:val="Attorneys names Char"/>
    <w:link w:val="Attorneysnames"/>
    <w:rsid w:val="00601A0A"/>
    <w:rPr>
      <w:rFonts w:ascii="Times New Roman" w:eastAsia="Calibri" w:hAnsi="Times New Roman" w:cs="Times New Roman"/>
      <w:i/>
      <w:sz w:val="24"/>
      <w:szCs w:val="24"/>
    </w:rPr>
  </w:style>
  <w:style w:type="paragraph" w:styleId="ListParagraph">
    <w:name w:val="List Paragraph"/>
    <w:basedOn w:val="Normal"/>
    <w:uiPriority w:val="34"/>
    <w:qFormat/>
    <w:rsid w:val="00601A0A"/>
    <w:pPr>
      <w:ind w:left="720"/>
      <w:contextualSpacing/>
    </w:pPr>
  </w:style>
  <w:style w:type="paragraph" w:styleId="BalloonText">
    <w:name w:val="Balloon Text"/>
    <w:basedOn w:val="Normal"/>
    <w:link w:val="BalloonTextChar"/>
    <w:uiPriority w:val="99"/>
    <w:semiHidden/>
    <w:unhideWhenUsed/>
    <w:rsid w:val="00FE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shena labrosse</cp:lastModifiedBy>
  <cp:revision>14</cp:revision>
  <cp:lastPrinted>2021-04-16T06:08:00Z</cp:lastPrinted>
  <dcterms:created xsi:type="dcterms:W3CDTF">2021-04-14T04:08:00Z</dcterms:created>
  <dcterms:modified xsi:type="dcterms:W3CDTF">2021-04-16T06:15:00Z</dcterms:modified>
</cp:coreProperties>
</file>