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F46E5B" w:rsidRDefault="001D33D2" w:rsidP="00214DB4">
      <w:pPr>
        <w:tabs>
          <w:tab w:val="left" w:pos="4092"/>
        </w:tabs>
        <w:spacing w:after="0" w:line="240" w:lineRule="auto"/>
        <w:jc w:val="center"/>
        <w:rPr>
          <w:rFonts w:ascii="Times New Roman" w:hAnsi="Times New Roman" w:cs="Times New Roman"/>
          <w:b/>
          <w:sz w:val="24"/>
          <w:szCs w:val="24"/>
        </w:rPr>
      </w:pPr>
      <w:r w:rsidRPr="00F46E5B">
        <w:rPr>
          <w:rFonts w:ascii="Times New Roman" w:hAnsi="Times New Roman" w:cs="Times New Roman"/>
          <w:b/>
          <w:sz w:val="24"/>
          <w:szCs w:val="24"/>
        </w:rPr>
        <w:t>SUPREME</w:t>
      </w:r>
      <w:r w:rsidR="00B66754">
        <w:rPr>
          <w:rFonts w:ascii="Times New Roman" w:hAnsi="Times New Roman" w:cs="Times New Roman"/>
          <w:b/>
          <w:sz w:val="24"/>
          <w:szCs w:val="24"/>
        </w:rPr>
        <w:t xml:space="preserve"> </w:t>
      </w:r>
      <w:r w:rsidRPr="00F46E5B">
        <w:rPr>
          <w:rFonts w:ascii="Times New Roman" w:hAnsi="Times New Roman" w:cs="Times New Roman"/>
          <w:b/>
          <w:sz w:val="24"/>
          <w:szCs w:val="24"/>
        </w:rPr>
        <w:t>COURT OF SEYCHELLES</w:t>
      </w:r>
    </w:p>
    <w:p w:rsidR="009539C2" w:rsidRPr="00F46E5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F46E5B" w:rsidRDefault="00ED0BFC" w:rsidP="00C855B4">
      <w:pPr>
        <w:spacing w:after="0" w:line="240" w:lineRule="auto"/>
        <w:ind w:left="6300" w:firstLine="180"/>
        <w:rPr>
          <w:rFonts w:ascii="Times New Roman" w:hAnsi="Times New Roman" w:cs="Times New Roman"/>
          <w:b/>
          <w:sz w:val="24"/>
          <w:szCs w:val="24"/>
          <w:u w:val="single"/>
        </w:rPr>
      </w:pPr>
      <w:r w:rsidRPr="00F46E5B">
        <w:rPr>
          <w:rFonts w:ascii="Times New Roman" w:hAnsi="Times New Roman" w:cs="Times New Roman"/>
          <w:b/>
          <w:sz w:val="24"/>
          <w:szCs w:val="24"/>
          <w:u w:val="single"/>
        </w:rPr>
        <w:t>Reportable</w:t>
      </w:r>
    </w:p>
    <w:p w:rsidR="00B5091E" w:rsidRPr="00F46E5B" w:rsidRDefault="00191016" w:rsidP="0065388A">
      <w:pPr>
        <w:spacing w:after="0" w:line="240" w:lineRule="auto"/>
        <w:ind w:left="6120" w:firstLine="360"/>
        <w:rPr>
          <w:rFonts w:ascii="Times New Roman" w:hAnsi="Times New Roman" w:cs="Times New Roman"/>
          <w:sz w:val="24"/>
          <w:szCs w:val="24"/>
        </w:rPr>
      </w:pPr>
      <w:r w:rsidRPr="00F46E5B">
        <w:rPr>
          <w:rFonts w:ascii="Times New Roman" w:hAnsi="Times New Roman" w:cs="Times New Roman"/>
          <w:sz w:val="24"/>
          <w:szCs w:val="24"/>
        </w:rPr>
        <w:t>[20</w:t>
      </w:r>
      <w:r w:rsidR="0065388A" w:rsidRPr="00F46E5B">
        <w:rPr>
          <w:rFonts w:ascii="Times New Roman" w:hAnsi="Times New Roman" w:cs="Times New Roman"/>
          <w:sz w:val="24"/>
          <w:szCs w:val="24"/>
        </w:rPr>
        <w:t>21</w:t>
      </w:r>
      <w:r w:rsidR="00BC73B1" w:rsidRPr="00F46E5B">
        <w:rPr>
          <w:rFonts w:ascii="Times New Roman" w:hAnsi="Times New Roman" w:cs="Times New Roman"/>
          <w:sz w:val="24"/>
          <w:szCs w:val="24"/>
        </w:rPr>
        <w:t>] SCSC</w:t>
      </w:r>
      <w:r w:rsidR="00A102B1">
        <w:rPr>
          <w:rFonts w:ascii="Times New Roman" w:hAnsi="Times New Roman" w:cs="Times New Roman"/>
          <w:sz w:val="24"/>
          <w:szCs w:val="24"/>
        </w:rPr>
        <w:t xml:space="preserve"> …</w:t>
      </w:r>
      <w:r w:rsidR="00BC73B1" w:rsidRPr="00F46E5B">
        <w:rPr>
          <w:rFonts w:ascii="Times New Roman" w:hAnsi="Times New Roman" w:cs="Times New Roman"/>
          <w:sz w:val="24"/>
          <w:szCs w:val="24"/>
        </w:rPr>
        <w:t xml:space="preserve"> </w:t>
      </w:r>
      <w:r w:rsidR="00B13062" w:rsidRPr="00F46E5B">
        <w:rPr>
          <w:rFonts w:ascii="Times New Roman" w:hAnsi="Times New Roman" w:cs="Times New Roman"/>
          <w:sz w:val="24"/>
          <w:szCs w:val="24"/>
        </w:rPr>
        <w:t xml:space="preserve"> </w:t>
      </w:r>
    </w:p>
    <w:p w:rsidR="001A4E3B" w:rsidRPr="00F46E5B" w:rsidRDefault="00A102B1" w:rsidP="0065388A">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MA</w:t>
      </w:r>
      <w:r w:rsidR="001A4E3B" w:rsidRPr="00F46E5B">
        <w:rPr>
          <w:rFonts w:ascii="Times New Roman" w:hAnsi="Times New Roman" w:cs="Times New Roman"/>
          <w:sz w:val="24"/>
          <w:szCs w:val="24"/>
        </w:rPr>
        <w:t xml:space="preserve"> 13/</w:t>
      </w:r>
      <w:r>
        <w:rPr>
          <w:rFonts w:ascii="Times New Roman" w:hAnsi="Times New Roman" w:cs="Times New Roman"/>
          <w:sz w:val="24"/>
          <w:szCs w:val="24"/>
        </w:rPr>
        <w:t>20</w:t>
      </w:r>
      <w:r w:rsidR="001A4E3B" w:rsidRPr="00F46E5B">
        <w:rPr>
          <w:rFonts w:ascii="Times New Roman" w:hAnsi="Times New Roman" w:cs="Times New Roman"/>
          <w:sz w:val="24"/>
          <w:szCs w:val="24"/>
        </w:rPr>
        <w:t>21</w:t>
      </w:r>
    </w:p>
    <w:p w:rsidR="002E2AE3" w:rsidRPr="00F46E5B" w:rsidRDefault="0065388A" w:rsidP="00C855B4">
      <w:pPr>
        <w:spacing w:after="0" w:line="240" w:lineRule="auto"/>
        <w:ind w:left="5760" w:firstLine="720"/>
        <w:rPr>
          <w:rFonts w:ascii="Times New Roman" w:hAnsi="Times New Roman" w:cs="Times New Roman"/>
          <w:sz w:val="24"/>
          <w:szCs w:val="24"/>
        </w:rPr>
      </w:pPr>
      <w:r w:rsidRPr="00F46E5B">
        <w:rPr>
          <w:rFonts w:ascii="Times New Roman" w:hAnsi="Times New Roman" w:cs="Times New Roman"/>
          <w:sz w:val="24"/>
          <w:szCs w:val="24"/>
        </w:rPr>
        <w:t xml:space="preserve">(XP </w:t>
      </w:r>
      <w:r w:rsidR="00A102B1">
        <w:rPr>
          <w:rFonts w:ascii="Times New Roman" w:hAnsi="Times New Roman" w:cs="Times New Roman"/>
          <w:sz w:val="24"/>
          <w:szCs w:val="24"/>
        </w:rPr>
        <w:t>0</w:t>
      </w:r>
      <w:r w:rsidRPr="00F46E5B">
        <w:rPr>
          <w:rFonts w:ascii="Times New Roman" w:hAnsi="Times New Roman" w:cs="Times New Roman"/>
          <w:sz w:val="24"/>
          <w:szCs w:val="24"/>
        </w:rPr>
        <w:t>1/</w:t>
      </w:r>
      <w:r w:rsidR="00A102B1">
        <w:rPr>
          <w:rFonts w:ascii="Times New Roman" w:hAnsi="Times New Roman" w:cs="Times New Roman"/>
          <w:sz w:val="24"/>
          <w:szCs w:val="24"/>
        </w:rPr>
        <w:t>20</w:t>
      </w:r>
      <w:r w:rsidRPr="00F46E5B">
        <w:rPr>
          <w:rFonts w:ascii="Times New Roman" w:hAnsi="Times New Roman" w:cs="Times New Roman"/>
          <w:sz w:val="24"/>
          <w:szCs w:val="24"/>
        </w:rPr>
        <w:t>21</w:t>
      </w:r>
      <w:r w:rsidR="00B5091E" w:rsidRPr="00F46E5B">
        <w:rPr>
          <w:rFonts w:ascii="Times New Roman" w:hAnsi="Times New Roman" w:cs="Times New Roman"/>
          <w:sz w:val="24"/>
          <w:szCs w:val="24"/>
        </w:rPr>
        <w:t>)</w:t>
      </w:r>
    </w:p>
    <w:p w:rsidR="006A68E2" w:rsidRPr="00F46E5B" w:rsidRDefault="006A68E2" w:rsidP="00214DB4">
      <w:pPr>
        <w:spacing w:after="0" w:line="240" w:lineRule="auto"/>
        <w:ind w:left="5580"/>
        <w:rPr>
          <w:rFonts w:ascii="Times New Roman" w:hAnsi="Times New Roman" w:cs="Times New Roman"/>
          <w:sz w:val="24"/>
          <w:szCs w:val="24"/>
        </w:rPr>
      </w:pPr>
    </w:p>
    <w:p w:rsidR="00B5091E" w:rsidRPr="00F46E5B" w:rsidRDefault="00B5091E" w:rsidP="00B5091E">
      <w:pPr>
        <w:tabs>
          <w:tab w:val="left" w:pos="540"/>
          <w:tab w:val="left" w:pos="4092"/>
        </w:tabs>
        <w:spacing w:after="0" w:line="240" w:lineRule="auto"/>
        <w:rPr>
          <w:rFonts w:ascii="Times New Roman" w:hAnsi="Times New Roman" w:cs="Times New Roman"/>
          <w:sz w:val="24"/>
          <w:szCs w:val="24"/>
          <w:lang w:val="en-US"/>
        </w:rPr>
      </w:pPr>
      <w:r w:rsidRPr="00F46E5B">
        <w:rPr>
          <w:rFonts w:ascii="Times New Roman" w:hAnsi="Times New Roman" w:cs="Times New Roman"/>
          <w:sz w:val="24"/>
          <w:szCs w:val="24"/>
        </w:rPr>
        <w:t xml:space="preserve">In the ex parte </w:t>
      </w:r>
      <w:r w:rsidR="00F56EF7" w:rsidRPr="00F46E5B">
        <w:rPr>
          <w:rFonts w:ascii="Times New Roman" w:hAnsi="Times New Roman" w:cs="Times New Roman"/>
          <w:sz w:val="24"/>
          <w:szCs w:val="24"/>
        </w:rPr>
        <w:t>matter</w:t>
      </w:r>
      <w:r w:rsidR="00C855B4" w:rsidRPr="00F46E5B">
        <w:rPr>
          <w:rFonts w:ascii="Times New Roman" w:hAnsi="Times New Roman" w:cs="Times New Roman"/>
          <w:sz w:val="24"/>
          <w:szCs w:val="24"/>
        </w:rPr>
        <w:t xml:space="preserve"> of</w:t>
      </w:r>
      <w:r w:rsidR="00F56EF7" w:rsidRPr="00F46E5B">
        <w:rPr>
          <w:rFonts w:ascii="Times New Roman" w:hAnsi="Times New Roman" w:cs="Times New Roman"/>
          <w:sz w:val="24"/>
          <w:szCs w:val="24"/>
        </w:rPr>
        <w:t>:</w:t>
      </w:r>
    </w:p>
    <w:p w:rsidR="001A4E3B" w:rsidRPr="00F46E5B" w:rsidRDefault="001A4E3B" w:rsidP="00B5091E">
      <w:pPr>
        <w:tabs>
          <w:tab w:val="left" w:pos="540"/>
          <w:tab w:val="left" w:pos="4092"/>
        </w:tabs>
        <w:spacing w:after="0" w:line="240" w:lineRule="auto"/>
        <w:rPr>
          <w:rFonts w:ascii="Times New Roman" w:hAnsi="Times New Roman" w:cs="Times New Roman"/>
          <w:b/>
          <w:sz w:val="24"/>
          <w:szCs w:val="24"/>
        </w:rPr>
      </w:pPr>
      <w:r w:rsidRPr="00F46E5B">
        <w:rPr>
          <w:rFonts w:ascii="Times New Roman" w:hAnsi="Times New Roman" w:cs="Times New Roman"/>
          <w:b/>
          <w:sz w:val="24"/>
          <w:szCs w:val="24"/>
        </w:rPr>
        <w:t>EASTERN EUROPEAN ENGINERRING LIMITED</w:t>
      </w:r>
      <w:r w:rsidR="00A102B1">
        <w:rPr>
          <w:rFonts w:ascii="Times New Roman" w:hAnsi="Times New Roman" w:cs="Times New Roman"/>
          <w:b/>
          <w:sz w:val="24"/>
          <w:szCs w:val="24"/>
        </w:rPr>
        <w:tab/>
      </w:r>
      <w:r w:rsidR="00A102B1">
        <w:rPr>
          <w:rFonts w:ascii="Times New Roman" w:hAnsi="Times New Roman" w:cs="Times New Roman"/>
          <w:b/>
          <w:sz w:val="24"/>
          <w:szCs w:val="24"/>
        </w:rPr>
        <w:tab/>
      </w:r>
      <w:r w:rsidR="00A102B1" w:rsidRPr="00F46E5B">
        <w:rPr>
          <w:rFonts w:ascii="Times New Roman" w:hAnsi="Times New Roman" w:cs="Times New Roman"/>
          <w:b/>
          <w:sz w:val="24"/>
          <w:szCs w:val="24"/>
        </w:rPr>
        <w:t>Applicant</w:t>
      </w:r>
    </w:p>
    <w:p w:rsidR="001A4E3B" w:rsidRPr="00F46E5B" w:rsidRDefault="00840881" w:rsidP="00B5091E">
      <w:pPr>
        <w:tabs>
          <w:tab w:val="left" w:pos="540"/>
          <w:tab w:val="left" w:pos="4092"/>
        </w:tabs>
        <w:spacing w:after="0" w:line="240" w:lineRule="auto"/>
        <w:rPr>
          <w:rFonts w:ascii="Times New Roman" w:hAnsi="Times New Roman" w:cs="Times New Roman"/>
          <w:b/>
          <w:sz w:val="24"/>
          <w:szCs w:val="24"/>
        </w:rPr>
      </w:pPr>
      <w:r w:rsidRPr="00F46E5B">
        <w:rPr>
          <w:rFonts w:ascii="Times New Roman" w:hAnsi="Times New Roman" w:cs="Times New Roman"/>
          <w:b/>
          <w:sz w:val="24"/>
          <w:szCs w:val="24"/>
        </w:rPr>
        <w:t>Represented by its Director</w:t>
      </w:r>
      <w:r w:rsidR="001A4E3B" w:rsidRPr="00F46E5B">
        <w:rPr>
          <w:rFonts w:ascii="Times New Roman" w:hAnsi="Times New Roman" w:cs="Times New Roman"/>
          <w:b/>
          <w:sz w:val="24"/>
          <w:szCs w:val="24"/>
        </w:rPr>
        <w:t xml:space="preserve">, Mr Vadim Zaslanov </w:t>
      </w:r>
    </w:p>
    <w:p w:rsidR="00B5091E" w:rsidRPr="00F46E5B" w:rsidRDefault="001A4E3B" w:rsidP="00B5091E">
      <w:pPr>
        <w:tabs>
          <w:tab w:val="left" w:pos="540"/>
          <w:tab w:val="left" w:pos="4092"/>
        </w:tabs>
        <w:spacing w:after="0" w:line="240" w:lineRule="auto"/>
        <w:rPr>
          <w:rFonts w:ascii="Times New Roman" w:hAnsi="Times New Roman" w:cs="Times New Roman"/>
          <w:b/>
          <w:sz w:val="24"/>
          <w:szCs w:val="24"/>
        </w:rPr>
      </w:pPr>
      <w:r w:rsidRPr="00F46E5B">
        <w:rPr>
          <w:rFonts w:ascii="Times New Roman" w:hAnsi="Times New Roman" w:cs="Times New Roman"/>
          <w:b/>
          <w:sz w:val="24"/>
          <w:szCs w:val="24"/>
        </w:rPr>
        <w:t>Of Beau-Belle, Mahe</w:t>
      </w:r>
      <w:r w:rsidR="00B5091E" w:rsidRPr="00F46E5B">
        <w:rPr>
          <w:rFonts w:ascii="Times New Roman" w:hAnsi="Times New Roman" w:cs="Times New Roman"/>
          <w:sz w:val="24"/>
          <w:szCs w:val="24"/>
        </w:rPr>
        <w:tab/>
      </w:r>
      <w:r w:rsidR="00B5091E" w:rsidRPr="00F46E5B">
        <w:rPr>
          <w:rFonts w:ascii="Times New Roman" w:hAnsi="Times New Roman" w:cs="Times New Roman"/>
          <w:sz w:val="24"/>
          <w:szCs w:val="24"/>
        </w:rPr>
        <w:tab/>
      </w:r>
      <w:r w:rsidRPr="00F46E5B">
        <w:rPr>
          <w:rFonts w:ascii="Times New Roman" w:hAnsi="Times New Roman" w:cs="Times New Roman"/>
          <w:sz w:val="24"/>
          <w:szCs w:val="24"/>
        </w:rPr>
        <w:t xml:space="preserve">                                                                       </w:t>
      </w:r>
    </w:p>
    <w:p w:rsidR="00A145B4" w:rsidRPr="00F46E5B" w:rsidRDefault="00B5091E" w:rsidP="00214DB4">
      <w:pPr>
        <w:tabs>
          <w:tab w:val="left" w:pos="540"/>
          <w:tab w:val="left" w:pos="4092"/>
        </w:tabs>
        <w:spacing w:after="0" w:line="240" w:lineRule="auto"/>
        <w:rPr>
          <w:rFonts w:ascii="Times New Roman" w:hAnsi="Times New Roman" w:cs="Times New Roman"/>
          <w:b/>
          <w:i/>
          <w:sz w:val="24"/>
          <w:szCs w:val="24"/>
        </w:rPr>
      </w:pPr>
      <w:r w:rsidRPr="00F46E5B">
        <w:rPr>
          <w:rFonts w:ascii="Times New Roman" w:hAnsi="Times New Roman" w:cs="Times New Roman"/>
          <w:i/>
          <w:sz w:val="24"/>
          <w:szCs w:val="24"/>
        </w:rPr>
        <w:t xml:space="preserve">(rep. by </w:t>
      </w:r>
      <w:r w:rsidR="001A4E3B" w:rsidRPr="00F46E5B">
        <w:rPr>
          <w:rFonts w:ascii="Times New Roman" w:hAnsi="Times New Roman" w:cs="Times New Roman"/>
          <w:i/>
          <w:sz w:val="24"/>
          <w:szCs w:val="24"/>
        </w:rPr>
        <w:t>C</w:t>
      </w:r>
      <w:r w:rsidR="009E26C4">
        <w:rPr>
          <w:rFonts w:ascii="Times New Roman" w:hAnsi="Times New Roman" w:cs="Times New Roman"/>
          <w:i/>
          <w:sz w:val="24"/>
          <w:szCs w:val="24"/>
        </w:rPr>
        <w:t>.</w:t>
      </w:r>
      <w:r w:rsidR="001A4E3B" w:rsidRPr="00F46E5B">
        <w:rPr>
          <w:rFonts w:ascii="Times New Roman" w:hAnsi="Times New Roman" w:cs="Times New Roman"/>
          <w:i/>
          <w:sz w:val="24"/>
          <w:szCs w:val="24"/>
        </w:rPr>
        <w:t xml:space="preserve"> Andre</w:t>
      </w:r>
      <w:r w:rsidRPr="00F46E5B">
        <w:rPr>
          <w:rFonts w:ascii="Times New Roman" w:hAnsi="Times New Roman" w:cs="Times New Roman"/>
          <w:i/>
          <w:sz w:val="24"/>
          <w:szCs w:val="24"/>
        </w:rPr>
        <w:t>)</w:t>
      </w:r>
    </w:p>
    <w:p w:rsidR="002E2AE3" w:rsidRPr="00F46E5B"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F46E5B"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5091E" w:rsidRPr="00F46E5B" w:rsidRDefault="00B5091E" w:rsidP="00B5091E">
      <w:pPr>
        <w:spacing w:before="120" w:after="0" w:line="240" w:lineRule="auto"/>
        <w:ind w:left="1886" w:hanging="1886"/>
        <w:rPr>
          <w:rFonts w:ascii="Times New Roman" w:hAnsi="Times New Roman" w:cs="Times New Roman"/>
          <w:sz w:val="24"/>
          <w:szCs w:val="24"/>
        </w:rPr>
      </w:pPr>
      <w:r w:rsidRPr="00F46E5B">
        <w:rPr>
          <w:rFonts w:ascii="Times New Roman" w:hAnsi="Times New Roman" w:cs="Times New Roman"/>
          <w:b/>
          <w:sz w:val="24"/>
          <w:szCs w:val="24"/>
        </w:rPr>
        <w:t>Neutral Citation:</w:t>
      </w:r>
      <w:r w:rsidRPr="00F46E5B">
        <w:rPr>
          <w:rFonts w:ascii="Times New Roman" w:hAnsi="Times New Roman" w:cs="Times New Roman"/>
          <w:sz w:val="24"/>
          <w:szCs w:val="24"/>
        </w:rPr>
        <w:t xml:space="preserve"> </w:t>
      </w:r>
      <w:r w:rsidRPr="00F46E5B">
        <w:rPr>
          <w:rFonts w:ascii="Times New Roman" w:hAnsi="Times New Roman" w:cs="Times New Roman"/>
          <w:sz w:val="24"/>
          <w:szCs w:val="24"/>
        </w:rPr>
        <w:tab/>
      </w:r>
      <w:r w:rsidR="001A4E3B" w:rsidRPr="00F46E5B">
        <w:rPr>
          <w:rFonts w:ascii="Times New Roman" w:hAnsi="Times New Roman" w:cs="Times New Roman"/>
          <w:i/>
          <w:sz w:val="24"/>
          <w:szCs w:val="24"/>
        </w:rPr>
        <w:t>Easte</w:t>
      </w:r>
      <w:r w:rsidR="00FA4E01">
        <w:rPr>
          <w:rFonts w:ascii="Times New Roman" w:hAnsi="Times New Roman" w:cs="Times New Roman"/>
          <w:i/>
          <w:sz w:val="24"/>
          <w:szCs w:val="24"/>
        </w:rPr>
        <w:t>rn European Engineering L</w:t>
      </w:r>
      <w:r w:rsidR="00840881" w:rsidRPr="00F46E5B">
        <w:rPr>
          <w:rFonts w:ascii="Times New Roman" w:hAnsi="Times New Roman" w:cs="Times New Roman"/>
          <w:i/>
          <w:sz w:val="24"/>
          <w:szCs w:val="24"/>
        </w:rPr>
        <w:t>imited,</w:t>
      </w:r>
      <w:r w:rsidR="00FA4E01">
        <w:rPr>
          <w:rFonts w:ascii="Times New Roman" w:hAnsi="Times New Roman" w:cs="Times New Roman"/>
          <w:i/>
          <w:sz w:val="24"/>
          <w:szCs w:val="24"/>
        </w:rPr>
        <w:t xml:space="preserve"> </w:t>
      </w:r>
      <w:r w:rsidR="00C855B4" w:rsidRPr="00F46E5B">
        <w:rPr>
          <w:rFonts w:ascii="Times New Roman" w:hAnsi="Times New Roman" w:cs="Times New Roman"/>
          <w:sz w:val="24"/>
          <w:szCs w:val="24"/>
        </w:rPr>
        <w:t>MA</w:t>
      </w:r>
      <w:r w:rsidR="001A4E3B" w:rsidRPr="00F46E5B">
        <w:rPr>
          <w:rFonts w:ascii="Times New Roman" w:hAnsi="Times New Roman" w:cs="Times New Roman"/>
          <w:sz w:val="24"/>
          <w:szCs w:val="24"/>
        </w:rPr>
        <w:t xml:space="preserve"> 13/2021 (Arising in XP </w:t>
      </w:r>
      <w:r w:rsidR="00A102B1">
        <w:rPr>
          <w:rFonts w:ascii="Times New Roman" w:hAnsi="Times New Roman" w:cs="Times New Roman"/>
          <w:sz w:val="24"/>
          <w:szCs w:val="24"/>
        </w:rPr>
        <w:t>0</w:t>
      </w:r>
      <w:r w:rsidR="001A4E3B" w:rsidRPr="00F46E5B">
        <w:rPr>
          <w:rFonts w:ascii="Times New Roman" w:hAnsi="Times New Roman" w:cs="Times New Roman"/>
          <w:sz w:val="24"/>
          <w:szCs w:val="24"/>
        </w:rPr>
        <w:t>1/21</w:t>
      </w:r>
      <w:r w:rsidRPr="00F46E5B">
        <w:rPr>
          <w:rFonts w:ascii="Times New Roman" w:hAnsi="Times New Roman" w:cs="Times New Roman"/>
          <w:sz w:val="24"/>
          <w:szCs w:val="24"/>
        </w:rPr>
        <w:t xml:space="preserve">) </w:t>
      </w:r>
      <w:r w:rsidR="001A4E3B" w:rsidRPr="00F46E5B">
        <w:rPr>
          <w:rFonts w:ascii="Times New Roman" w:hAnsi="Times New Roman" w:cs="Times New Roman"/>
          <w:sz w:val="24"/>
          <w:szCs w:val="24"/>
        </w:rPr>
        <w:t>[2021</w:t>
      </w:r>
      <w:r w:rsidRPr="00F46E5B">
        <w:rPr>
          <w:rFonts w:ascii="Times New Roman" w:hAnsi="Times New Roman" w:cs="Times New Roman"/>
          <w:sz w:val="24"/>
          <w:szCs w:val="24"/>
        </w:rPr>
        <w:t>] SCSC</w:t>
      </w:r>
      <w:r w:rsidR="00A102B1">
        <w:rPr>
          <w:rFonts w:ascii="Times New Roman" w:hAnsi="Times New Roman" w:cs="Times New Roman"/>
          <w:sz w:val="24"/>
          <w:szCs w:val="24"/>
        </w:rPr>
        <w:t xml:space="preserve"> </w:t>
      </w:r>
      <w:r w:rsidR="00F36B41">
        <w:rPr>
          <w:rFonts w:ascii="Times New Roman" w:hAnsi="Times New Roman" w:cs="Times New Roman"/>
          <w:sz w:val="24"/>
          <w:szCs w:val="24"/>
        </w:rPr>
        <w:t>190</w:t>
      </w:r>
      <w:r w:rsidR="001452B4">
        <w:rPr>
          <w:rFonts w:ascii="Times New Roman" w:hAnsi="Times New Roman" w:cs="Times New Roman"/>
          <w:sz w:val="24"/>
          <w:szCs w:val="24"/>
        </w:rPr>
        <w:t xml:space="preserve"> </w:t>
      </w:r>
      <w:r w:rsidRPr="00F46E5B">
        <w:rPr>
          <w:rFonts w:ascii="Times New Roman" w:hAnsi="Times New Roman" w:cs="Times New Roman"/>
          <w:sz w:val="24"/>
          <w:szCs w:val="24"/>
        </w:rPr>
        <w:t>(</w:t>
      </w:r>
      <w:r w:rsidR="00A102B1">
        <w:rPr>
          <w:rFonts w:ascii="Times New Roman" w:hAnsi="Times New Roman" w:cs="Times New Roman"/>
          <w:sz w:val="24"/>
          <w:szCs w:val="24"/>
        </w:rPr>
        <w:t xml:space="preserve">29 April </w:t>
      </w:r>
      <w:r w:rsidR="001A4E3B" w:rsidRPr="00F46E5B">
        <w:rPr>
          <w:rFonts w:ascii="Times New Roman" w:hAnsi="Times New Roman" w:cs="Times New Roman"/>
          <w:sz w:val="24"/>
          <w:szCs w:val="24"/>
        </w:rPr>
        <w:t>2021</w:t>
      </w:r>
      <w:r w:rsidRPr="00F46E5B">
        <w:rPr>
          <w:rFonts w:ascii="Times New Roman" w:hAnsi="Times New Roman" w:cs="Times New Roman"/>
          <w:sz w:val="24"/>
          <w:szCs w:val="24"/>
        </w:rPr>
        <w:t>).</w:t>
      </w:r>
    </w:p>
    <w:p w:rsidR="00B5091E" w:rsidRPr="00F46E5B" w:rsidRDefault="00B5091E" w:rsidP="00B5091E">
      <w:pPr>
        <w:spacing w:after="0" w:line="240" w:lineRule="auto"/>
        <w:ind w:left="1890" w:hanging="1890"/>
        <w:rPr>
          <w:rFonts w:ascii="Times New Roman" w:hAnsi="Times New Roman" w:cs="Times New Roman"/>
          <w:sz w:val="24"/>
          <w:szCs w:val="24"/>
        </w:rPr>
      </w:pPr>
      <w:r w:rsidRPr="00F46E5B">
        <w:rPr>
          <w:rFonts w:ascii="Times New Roman" w:hAnsi="Times New Roman" w:cs="Times New Roman"/>
          <w:b/>
          <w:sz w:val="24"/>
          <w:szCs w:val="24"/>
        </w:rPr>
        <w:t xml:space="preserve">Before: </w:t>
      </w:r>
      <w:r w:rsidRPr="00F46E5B">
        <w:rPr>
          <w:rFonts w:ascii="Times New Roman" w:hAnsi="Times New Roman" w:cs="Times New Roman"/>
          <w:b/>
          <w:sz w:val="24"/>
          <w:szCs w:val="24"/>
        </w:rPr>
        <w:tab/>
      </w:r>
      <w:r w:rsidRPr="00F46E5B">
        <w:rPr>
          <w:rFonts w:ascii="Times New Roman" w:hAnsi="Times New Roman" w:cs="Times New Roman"/>
          <w:sz w:val="24"/>
          <w:szCs w:val="24"/>
        </w:rPr>
        <w:t xml:space="preserve">Govinden </w:t>
      </w:r>
      <w:r w:rsidR="001A4E3B" w:rsidRPr="00F46E5B">
        <w:rPr>
          <w:rFonts w:ascii="Times New Roman" w:hAnsi="Times New Roman" w:cs="Times New Roman"/>
          <w:sz w:val="24"/>
          <w:szCs w:val="24"/>
        </w:rPr>
        <w:t>C</w:t>
      </w:r>
      <w:r w:rsidRPr="00F46E5B">
        <w:rPr>
          <w:rFonts w:ascii="Times New Roman" w:hAnsi="Times New Roman" w:cs="Times New Roman"/>
          <w:sz w:val="24"/>
          <w:szCs w:val="24"/>
        </w:rPr>
        <w:t xml:space="preserve">J </w:t>
      </w:r>
    </w:p>
    <w:p w:rsidR="00B5091E" w:rsidRPr="00F46E5B" w:rsidRDefault="00B5091E" w:rsidP="00B5091E">
      <w:pPr>
        <w:spacing w:after="0" w:line="240" w:lineRule="auto"/>
        <w:ind w:left="1890" w:hanging="1890"/>
        <w:rPr>
          <w:rFonts w:ascii="Times New Roman" w:hAnsi="Times New Roman" w:cs="Times New Roman"/>
          <w:sz w:val="24"/>
          <w:szCs w:val="24"/>
        </w:rPr>
      </w:pPr>
      <w:r w:rsidRPr="00F46E5B">
        <w:rPr>
          <w:rFonts w:ascii="Times New Roman" w:hAnsi="Times New Roman" w:cs="Times New Roman"/>
          <w:b/>
          <w:sz w:val="24"/>
          <w:szCs w:val="24"/>
        </w:rPr>
        <w:t xml:space="preserve">Summary: </w:t>
      </w:r>
      <w:r w:rsidRPr="00F46E5B">
        <w:rPr>
          <w:rFonts w:ascii="Times New Roman" w:hAnsi="Times New Roman" w:cs="Times New Roman"/>
          <w:b/>
          <w:sz w:val="24"/>
          <w:szCs w:val="24"/>
        </w:rPr>
        <w:tab/>
      </w:r>
      <w:r w:rsidRPr="00F46E5B">
        <w:rPr>
          <w:rFonts w:ascii="Times New Roman" w:hAnsi="Times New Roman" w:cs="Times New Roman"/>
          <w:sz w:val="24"/>
          <w:szCs w:val="24"/>
        </w:rPr>
        <w:t>Application under S</w:t>
      </w:r>
      <w:r w:rsidR="001A4E3B" w:rsidRPr="00F46E5B">
        <w:rPr>
          <w:rFonts w:ascii="Times New Roman" w:hAnsi="Times New Roman" w:cs="Times New Roman"/>
          <w:sz w:val="24"/>
          <w:szCs w:val="24"/>
        </w:rPr>
        <w:t>ection 66(1) of the Criminal Procedure Code for leave to proceed with a private prosecution</w:t>
      </w:r>
      <w:r w:rsidR="008B580A">
        <w:rPr>
          <w:rFonts w:ascii="Times New Roman" w:hAnsi="Times New Roman" w:cs="Times New Roman"/>
          <w:sz w:val="24"/>
          <w:szCs w:val="24"/>
        </w:rPr>
        <w:t>;</w:t>
      </w:r>
      <w:r w:rsidR="00496755" w:rsidRPr="00F46E5B">
        <w:rPr>
          <w:rFonts w:ascii="Times New Roman" w:hAnsi="Times New Roman" w:cs="Times New Roman"/>
          <w:sz w:val="24"/>
          <w:szCs w:val="24"/>
        </w:rPr>
        <w:t xml:space="preserve"> leave refused</w:t>
      </w:r>
      <w:r w:rsidR="001A4E3B" w:rsidRPr="00F46E5B">
        <w:rPr>
          <w:rFonts w:ascii="Times New Roman" w:hAnsi="Times New Roman" w:cs="Times New Roman"/>
          <w:sz w:val="24"/>
          <w:szCs w:val="24"/>
        </w:rPr>
        <w:t>; offences</w:t>
      </w:r>
      <w:r w:rsidR="00FA4E01">
        <w:rPr>
          <w:rFonts w:ascii="Times New Roman" w:hAnsi="Times New Roman" w:cs="Times New Roman"/>
          <w:sz w:val="24"/>
          <w:szCs w:val="24"/>
        </w:rPr>
        <w:t xml:space="preserve"> are</w:t>
      </w:r>
      <w:r w:rsidR="001A4E3B" w:rsidRPr="00F46E5B">
        <w:rPr>
          <w:rFonts w:ascii="Times New Roman" w:hAnsi="Times New Roman" w:cs="Times New Roman"/>
          <w:sz w:val="24"/>
          <w:szCs w:val="24"/>
        </w:rPr>
        <w:t xml:space="preserve"> unknown to the law</w:t>
      </w:r>
      <w:r w:rsidR="00405909" w:rsidRPr="00F46E5B">
        <w:rPr>
          <w:rFonts w:ascii="Times New Roman" w:hAnsi="Times New Roman" w:cs="Times New Roman"/>
          <w:sz w:val="24"/>
          <w:szCs w:val="24"/>
        </w:rPr>
        <w:t xml:space="preserve"> and vexatious</w:t>
      </w:r>
    </w:p>
    <w:p w:rsidR="00405909" w:rsidRPr="00F46E5B" w:rsidRDefault="00B5091E" w:rsidP="00405909">
      <w:pPr>
        <w:spacing w:after="0" w:line="240" w:lineRule="auto"/>
        <w:ind w:left="1890" w:hanging="1890"/>
        <w:rPr>
          <w:rFonts w:ascii="Times New Roman" w:hAnsi="Times New Roman" w:cs="Times New Roman"/>
          <w:sz w:val="24"/>
          <w:szCs w:val="24"/>
        </w:rPr>
      </w:pPr>
      <w:r w:rsidRPr="00F46E5B">
        <w:rPr>
          <w:rFonts w:ascii="Times New Roman" w:hAnsi="Times New Roman" w:cs="Times New Roman"/>
          <w:b/>
          <w:sz w:val="24"/>
          <w:szCs w:val="24"/>
        </w:rPr>
        <w:t xml:space="preserve">Heard: </w:t>
      </w:r>
      <w:r w:rsidRPr="00F46E5B">
        <w:rPr>
          <w:rFonts w:ascii="Times New Roman" w:hAnsi="Times New Roman" w:cs="Times New Roman"/>
          <w:sz w:val="24"/>
          <w:szCs w:val="24"/>
        </w:rPr>
        <w:tab/>
      </w:r>
      <w:r w:rsidR="00405909" w:rsidRPr="00F46E5B">
        <w:rPr>
          <w:rFonts w:ascii="Times New Roman" w:hAnsi="Times New Roman" w:cs="Times New Roman"/>
          <w:sz w:val="24"/>
          <w:szCs w:val="24"/>
        </w:rPr>
        <w:t>6</w:t>
      </w:r>
      <w:r w:rsidR="00405909" w:rsidRPr="00F46E5B">
        <w:rPr>
          <w:rFonts w:ascii="Times New Roman" w:hAnsi="Times New Roman" w:cs="Times New Roman"/>
          <w:sz w:val="24"/>
          <w:szCs w:val="24"/>
          <w:vertAlign w:val="superscript"/>
        </w:rPr>
        <w:t>th</w:t>
      </w:r>
      <w:r w:rsidR="00405909" w:rsidRPr="00F46E5B">
        <w:rPr>
          <w:rFonts w:ascii="Times New Roman" w:hAnsi="Times New Roman" w:cs="Times New Roman"/>
          <w:sz w:val="24"/>
          <w:szCs w:val="24"/>
        </w:rPr>
        <w:t xml:space="preserve"> and 12</w:t>
      </w:r>
      <w:r w:rsidR="00405909" w:rsidRPr="00F46E5B">
        <w:rPr>
          <w:rFonts w:ascii="Times New Roman" w:hAnsi="Times New Roman" w:cs="Times New Roman"/>
          <w:sz w:val="24"/>
          <w:szCs w:val="24"/>
          <w:vertAlign w:val="superscript"/>
        </w:rPr>
        <w:t>th</w:t>
      </w:r>
      <w:r w:rsidR="00405909" w:rsidRPr="00F46E5B">
        <w:rPr>
          <w:rFonts w:ascii="Times New Roman" w:hAnsi="Times New Roman" w:cs="Times New Roman"/>
          <w:sz w:val="24"/>
          <w:szCs w:val="24"/>
        </w:rPr>
        <w:t xml:space="preserve"> April 2021</w:t>
      </w:r>
    </w:p>
    <w:p w:rsidR="00B5091E" w:rsidRDefault="00B5091E" w:rsidP="00405909">
      <w:pPr>
        <w:spacing w:after="0" w:line="240" w:lineRule="auto"/>
        <w:ind w:left="1890" w:hanging="1890"/>
        <w:rPr>
          <w:rFonts w:ascii="Times New Roman" w:hAnsi="Times New Roman" w:cs="Times New Roman"/>
          <w:sz w:val="24"/>
          <w:szCs w:val="24"/>
        </w:rPr>
      </w:pPr>
      <w:r w:rsidRPr="00F46E5B">
        <w:rPr>
          <w:rFonts w:ascii="Times New Roman" w:hAnsi="Times New Roman" w:cs="Times New Roman"/>
          <w:b/>
          <w:sz w:val="24"/>
          <w:szCs w:val="24"/>
        </w:rPr>
        <w:t>Delivered:</w:t>
      </w:r>
      <w:r w:rsidRPr="00F46E5B">
        <w:rPr>
          <w:rFonts w:ascii="Times New Roman" w:hAnsi="Times New Roman" w:cs="Times New Roman"/>
          <w:sz w:val="24"/>
          <w:szCs w:val="24"/>
        </w:rPr>
        <w:tab/>
      </w:r>
      <w:r w:rsidR="00405909" w:rsidRPr="00F46E5B">
        <w:rPr>
          <w:rFonts w:ascii="Times New Roman" w:hAnsi="Times New Roman" w:cs="Times New Roman"/>
          <w:sz w:val="24"/>
          <w:szCs w:val="24"/>
        </w:rPr>
        <w:t>29</w:t>
      </w:r>
      <w:r w:rsidR="00405909" w:rsidRPr="00F46E5B">
        <w:rPr>
          <w:rFonts w:ascii="Times New Roman" w:hAnsi="Times New Roman" w:cs="Times New Roman"/>
          <w:sz w:val="24"/>
          <w:szCs w:val="24"/>
          <w:vertAlign w:val="superscript"/>
        </w:rPr>
        <w:t>th</w:t>
      </w:r>
      <w:r w:rsidR="00405909" w:rsidRPr="00F46E5B">
        <w:rPr>
          <w:rFonts w:ascii="Times New Roman" w:hAnsi="Times New Roman" w:cs="Times New Roman"/>
          <w:sz w:val="24"/>
          <w:szCs w:val="24"/>
        </w:rPr>
        <w:t xml:space="preserve"> of April 2021</w:t>
      </w:r>
    </w:p>
    <w:p w:rsidR="00A102B1" w:rsidRPr="00F46E5B" w:rsidRDefault="00A102B1" w:rsidP="00A102B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061B" w:rsidRPr="00F46E5B" w:rsidRDefault="00ED0BFC" w:rsidP="009D2A13">
      <w:pPr>
        <w:tabs>
          <w:tab w:val="left" w:pos="2892"/>
        </w:tabs>
        <w:spacing w:before="120" w:after="0" w:line="240" w:lineRule="auto"/>
        <w:jc w:val="center"/>
        <w:rPr>
          <w:rFonts w:ascii="Times New Roman" w:hAnsi="Times New Roman" w:cs="Times New Roman"/>
          <w:b/>
          <w:sz w:val="24"/>
          <w:szCs w:val="24"/>
        </w:rPr>
      </w:pPr>
      <w:r w:rsidRPr="00F46E5B">
        <w:rPr>
          <w:rFonts w:ascii="Times New Roman" w:hAnsi="Times New Roman" w:cs="Times New Roman"/>
          <w:b/>
          <w:sz w:val="24"/>
          <w:szCs w:val="24"/>
        </w:rPr>
        <w:t xml:space="preserve">ORDER </w:t>
      </w:r>
    </w:p>
    <w:p w:rsidR="00B43750" w:rsidRPr="00A102B1" w:rsidRDefault="00233ACE" w:rsidP="00A102B1">
      <w:pPr>
        <w:spacing w:before="100" w:beforeAutospacing="1" w:after="100" w:afterAutospacing="1"/>
        <w:rPr>
          <w:rFonts w:ascii="Times New Roman" w:hAnsi="Times New Roman" w:cs="Times New Roman"/>
          <w:color w:val="000000"/>
          <w:sz w:val="24"/>
          <w:szCs w:val="24"/>
        </w:rPr>
      </w:pPr>
      <w:r w:rsidRPr="00F46E5B">
        <w:rPr>
          <w:rFonts w:ascii="Times New Roman" w:hAnsi="Times New Roman" w:cs="Times New Roman"/>
          <w:color w:val="000000"/>
          <w:sz w:val="24"/>
          <w:szCs w:val="24"/>
        </w:rPr>
        <w:t>Application for permission to conduct a private prosecution is dismissed on the grounds that it is vexatious and contain offences unknown to law.</w:t>
      </w:r>
    </w:p>
    <w:p w:rsidR="00F33B83" w:rsidRPr="00A102B1"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16"/>
          <w:szCs w:val="16"/>
        </w:rPr>
      </w:pPr>
    </w:p>
    <w:p w:rsidR="00F33B83" w:rsidRPr="00F46E5B" w:rsidRDefault="0037214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F46E5B">
        <w:rPr>
          <w:rFonts w:ascii="Times New Roman" w:hAnsi="Times New Roman" w:cs="Times New Roman"/>
          <w:b/>
          <w:sz w:val="24"/>
          <w:szCs w:val="24"/>
        </w:rPr>
        <w:t>RULING</w:t>
      </w:r>
    </w:p>
    <w:p w:rsidR="00F33B83" w:rsidRPr="00A102B1"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16"/>
          <w:szCs w:val="16"/>
        </w:rPr>
      </w:pPr>
    </w:p>
    <w:p w:rsidR="00722761" w:rsidRDefault="00722761" w:rsidP="00722761">
      <w:pPr>
        <w:rPr>
          <w:rFonts w:ascii="Times New Roman" w:hAnsi="Times New Roman" w:cs="Times New Roman"/>
          <w:sz w:val="24"/>
          <w:szCs w:val="24"/>
        </w:rPr>
      </w:pPr>
    </w:p>
    <w:p w:rsidR="00A102B1" w:rsidRPr="00A102B1" w:rsidRDefault="00A102B1" w:rsidP="00722761">
      <w:pPr>
        <w:rPr>
          <w:rFonts w:ascii="Times New Roman" w:hAnsi="Times New Roman" w:cs="Times New Roman"/>
          <w:b/>
          <w:sz w:val="24"/>
          <w:szCs w:val="24"/>
        </w:rPr>
      </w:pPr>
      <w:r w:rsidRPr="00A102B1">
        <w:rPr>
          <w:rFonts w:ascii="Times New Roman" w:hAnsi="Times New Roman" w:cs="Times New Roman"/>
          <w:b/>
          <w:sz w:val="24"/>
          <w:szCs w:val="24"/>
        </w:rPr>
        <w:t>R. Govinden, CJ</w:t>
      </w:r>
    </w:p>
    <w:p w:rsidR="00A102B1" w:rsidRPr="00F46E5B" w:rsidRDefault="00A102B1" w:rsidP="00722761">
      <w:pPr>
        <w:rPr>
          <w:rFonts w:ascii="Times New Roman" w:hAnsi="Times New Roman" w:cs="Times New Roman"/>
          <w:sz w:val="24"/>
          <w:szCs w:val="24"/>
        </w:rPr>
      </w:pPr>
    </w:p>
    <w:p w:rsidR="00AB544E" w:rsidRPr="00F46E5B" w:rsidRDefault="000C3553" w:rsidP="00AB544E">
      <w:pPr>
        <w:pStyle w:val="JudgmentText"/>
      </w:pPr>
      <w:r w:rsidRPr="00F46E5B">
        <w:t>This is an e</w:t>
      </w:r>
      <w:r w:rsidR="0058723D" w:rsidRPr="00F46E5B">
        <w:t xml:space="preserve">x parte Notice of Motion filed under Section </w:t>
      </w:r>
      <w:r w:rsidRPr="00F46E5B">
        <w:t>66 (1) o</w:t>
      </w:r>
      <w:r w:rsidR="00840881" w:rsidRPr="00F46E5B">
        <w:t>f the Criminal Procedure Code (</w:t>
      </w:r>
      <w:r w:rsidRPr="00F46E5B">
        <w:t>CAP 59)</w:t>
      </w:r>
      <w:r w:rsidR="00840881" w:rsidRPr="00F46E5B">
        <w:t>,</w:t>
      </w:r>
      <w:r w:rsidR="0058723D" w:rsidRPr="00F46E5B">
        <w:t xml:space="preserve"> herein after referred to as </w:t>
      </w:r>
      <w:r w:rsidRPr="00F46E5B">
        <w:rPr>
          <w:i/>
        </w:rPr>
        <w:t>“the Code</w:t>
      </w:r>
      <w:r w:rsidR="00F56EF7" w:rsidRPr="00F46E5B">
        <w:rPr>
          <w:i/>
        </w:rPr>
        <w:t>”</w:t>
      </w:r>
      <w:r w:rsidRPr="00F46E5B">
        <w:rPr>
          <w:i/>
        </w:rPr>
        <w:t>.</w:t>
      </w:r>
      <w:r w:rsidR="00840881" w:rsidRPr="00F46E5B">
        <w:t xml:space="preserve"> In this  m</w:t>
      </w:r>
      <w:r w:rsidRPr="00F46E5B">
        <w:t>otion</w:t>
      </w:r>
      <w:r w:rsidR="00840881" w:rsidRPr="00F46E5B">
        <w:t xml:space="preserve"> the applicant</w:t>
      </w:r>
      <w:r w:rsidRPr="00F46E5B">
        <w:t xml:space="preserve"> see</w:t>
      </w:r>
      <w:r w:rsidR="00840881" w:rsidRPr="00F46E5B">
        <w:t xml:space="preserve">ks the permission of this court </w:t>
      </w:r>
      <w:r w:rsidR="00AB544E" w:rsidRPr="00F46E5B">
        <w:t>to conduct a private prosecution against the following persons;</w:t>
      </w:r>
    </w:p>
    <w:p w:rsidR="00AB544E" w:rsidRPr="00F46E5B" w:rsidRDefault="00AB544E" w:rsidP="00AB544E">
      <w:pPr>
        <w:pStyle w:val="JudgmentText"/>
      </w:pPr>
      <w:r w:rsidRPr="00F46E5B">
        <w:t xml:space="preserve"> Vishram Java Patel of La Misere, Mahe Seychelles</w:t>
      </w:r>
    </w:p>
    <w:p w:rsidR="00AB544E" w:rsidRPr="00F46E5B" w:rsidRDefault="00AB544E" w:rsidP="00AB544E">
      <w:pPr>
        <w:pStyle w:val="JudgmentText"/>
        <w:numPr>
          <w:ilvl w:val="0"/>
          <w:numId w:val="0"/>
        </w:numPr>
      </w:pPr>
      <w:r w:rsidRPr="00F46E5B">
        <w:lastRenderedPageBreak/>
        <w:t xml:space="preserve">            Foram Varsani of La Misere, Mahe , Seychelles</w:t>
      </w:r>
    </w:p>
    <w:p w:rsidR="00AB544E" w:rsidRPr="00F46E5B" w:rsidRDefault="00AB544E" w:rsidP="00AB544E">
      <w:pPr>
        <w:pStyle w:val="JudgmentText"/>
        <w:numPr>
          <w:ilvl w:val="0"/>
          <w:numId w:val="0"/>
        </w:numPr>
        <w:ind w:left="720"/>
      </w:pPr>
      <w:r w:rsidRPr="00F46E5B">
        <w:t>Nilesh Kerai of La Misere, Mahe, Seychelles</w:t>
      </w:r>
    </w:p>
    <w:p w:rsidR="00AB544E" w:rsidRPr="00F46E5B" w:rsidRDefault="00AB544E" w:rsidP="00AB544E">
      <w:pPr>
        <w:pStyle w:val="JudgmentText"/>
        <w:numPr>
          <w:ilvl w:val="0"/>
          <w:numId w:val="0"/>
        </w:numPr>
        <w:ind w:left="720"/>
      </w:pPr>
      <w:r w:rsidRPr="00F46E5B">
        <w:t>Kaushallkumar Patel of La Misere, Mahe, Seychelles</w:t>
      </w:r>
    </w:p>
    <w:p w:rsidR="000C3553" w:rsidRPr="00F46E5B" w:rsidRDefault="00A102B1" w:rsidP="00A102B1">
      <w:pPr>
        <w:pStyle w:val="JudgmentText"/>
        <w:rPr>
          <w:i/>
        </w:rPr>
      </w:pPr>
      <w:r>
        <w:t>A</w:t>
      </w:r>
      <w:r w:rsidR="00840881" w:rsidRPr="00F46E5B">
        <w:t>ll being Directors of a</w:t>
      </w:r>
      <w:r w:rsidR="00AB544E" w:rsidRPr="00F46E5B">
        <w:t xml:space="preserve"> company</w:t>
      </w:r>
      <w:r w:rsidR="00840881" w:rsidRPr="00F46E5B">
        <w:t xml:space="preserve"> registered under the provisions of the C</w:t>
      </w:r>
      <w:r w:rsidR="00BB2020" w:rsidRPr="00F46E5B">
        <w:t>ompanies</w:t>
      </w:r>
      <w:r w:rsidR="00840881" w:rsidRPr="00F46E5B">
        <w:t xml:space="preserve"> Act, the</w:t>
      </w:r>
      <w:r>
        <w:t xml:space="preserve"> Vijay Construction (</w:t>
      </w:r>
      <w:r w:rsidR="00AB544E" w:rsidRPr="00F46E5B">
        <w:t xml:space="preserve">Pty) Limited, herein after also referred to as </w:t>
      </w:r>
      <w:r w:rsidR="00AB544E" w:rsidRPr="00F46E5B">
        <w:rPr>
          <w:i/>
        </w:rPr>
        <w:t>“</w:t>
      </w:r>
      <w:r w:rsidR="000141CC" w:rsidRPr="00F46E5B">
        <w:rPr>
          <w:i/>
        </w:rPr>
        <w:t>Vijay</w:t>
      </w:r>
      <w:r w:rsidR="00AB544E" w:rsidRPr="00F46E5B">
        <w:rPr>
          <w:i/>
        </w:rPr>
        <w:t>”.</w:t>
      </w:r>
    </w:p>
    <w:p w:rsidR="000C3553" w:rsidRPr="00F46E5B" w:rsidRDefault="000C3553" w:rsidP="000C3553">
      <w:pPr>
        <w:rPr>
          <w:rFonts w:ascii="Times New Roman" w:hAnsi="Times New Roman" w:cs="Times New Roman"/>
          <w:b/>
          <w:bCs/>
          <w:sz w:val="24"/>
          <w:szCs w:val="24"/>
          <w:u w:val="single"/>
        </w:rPr>
      </w:pPr>
    </w:p>
    <w:p w:rsidR="000C3553" w:rsidRPr="00F46E5B" w:rsidRDefault="000C3553" w:rsidP="00A102B1">
      <w:pPr>
        <w:pStyle w:val="JudgmentText"/>
      </w:pPr>
      <w:r w:rsidRPr="00F46E5B">
        <w:t xml:space="preserve">On an application to the Court for permission to commence a private prosecution, it was held in the locus classicus English case of </w:t>
      </w:r>
      <w:r w:rsidRPr="00F46E5B">
        <w:rPr>
          <w:b/>
          <w:bCs/>
          <w:i/>
          <w:iCs/>
        </w:rPr>
        <w:t xml:space="preserve">R v. West London Metropolitan Stipendiary Magistrate, ex parte Klahn (1979) WLR 933 </w:t>
      </w:r>
      <w:r w:rsidRPr="00F46E5B">
        <w:t>that, in the exercise of its discretion, the duty of the court in considering such an application is to ascertain the following:</w:t>
      </w:r>
    </w:p>
    <w:p w:rsidR="000C3553" w:rsidRPr="00F46E5B" w:rsidRDefault="000C3553" w:rsidP="000C3553">
      <w:pPr>
        <w:rPr>
          <w:rFonts w:ascii="Times New Roman" w:hAnsi="Times New Roman" w:cs="Times New Roman"/>
          <w:sz w:val="24"/>
          <w:szCs w:val="24"/>
        </w:rPr>
      </w:pPr>
    </w:p>
    <w:p w:rsidR="000C3553" w:rsidRPr="00F46E5B" w:rsidRDefault="000C3553" w:rsidP="000C3553">
      <w:pPr>
        <w:pStyle w:val="ListParagraph"/>
        <w:numPr>
          <w:ilvl w:val="0"/>
          <w:numId w:val="14"/>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Whether the allegation is of an offence known to the law; and if so, whether the essential ingredients of the offence are prima facie present;</w:t>
      </w:r>
    </w:p>
    <w:p w:rsidR="000C3553" w:rsidRPr="00F46E5B" w:rsidRDefault="000C3553" w:rsidP="000C3553">
      <w:pPr>
        <w:ind w:left="360"/>
        <w:rPr>
          <w:rFonts w:ascii="Times New Roman" w:hAnsi="Times New Roman" w:cs="Times New Roman"/>
          <w:sz w:val="24"/>
          <w:szCs w:val="24"/>
        </w:rPr>
      </w:pPr>
    </w:p>
    <w:p w:rsidR="000C3553" w:rsidRPr="00F46E5B" w:rsidRDefault="000C3553" w:rsidP="000C3553">
      <w:pPr>
        <w:pStyle w:val="ListParagraph"/>
        <w:numPr>
          <w:ilvl w:val="0"/>
          <w:numId w:val="14"/>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Whether the allegations are vexatious;</w:t>
      </w:r>
    </w:p>
    <w:p w:rsidR="000C3553" w:rsidRPr="00F46E5B" w:rsidRDefault="000C3553" w:rsidP="000C3553">
      <w:pPr>
        <w:pStyle w:val="ListParagraph"/>
        <w:rPr>
          <w:rFonts w:ascii="Times New Roman" w:hAnsi="Times New Roman" w:cs="Times New Roman"/>
          <w:sz w:val="24"/>
          <w:szCs w:val="24"/>
        </w:rPr>
      </w:pPr>
    </w:p>
    <w:p w:rsidR="000C3553" w:rsidRPr="00F46E5B" w:rsidRDefault="000C3553" w:rsidP="000C3553">
      <w:pPr>
        <w:pStyle w:val="ListParagraph"/>
        <w:numPr>
          <w:ilvl w:val="0"/>
          <w:numId w:val="14"/>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Whether the alleged offence is not out of time;</w:t>
      </w:r>
    </w:p>
    <w:p w:rsidR="000C3553" w:rsidRPr="00F46E5B" w:rsidRDefault="000C3553" w:rsidP="000C3553">
      <w:pPr>
        <w:pStyle w:val="ListParagraph"/>
        <w:rPr>
          <w:rFonts w:ascii="Times New Roman" w:hAnsi="Times New Roman" w:cs="Times New Roman"/>
          <w:sz w:val="24"/>
          <w:szCs w:val="24"/>
        </w:rPr>
      </w:pPr>
    </w:p>
    <w:p w:rsidR="000C3553" w:rsidRPr="00F46E5B" w:rsidRDefault="000C3553" w:rsidP="000C3553">
      <w:pPr>
        <w:pStyle w:val="ListParagraph"/>
        <w:numPr>
          <w:ilvl w:val="0"/>
          <w:numId w:val="14"/>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Whether the court has jurisdiction; and</w:t>
      </w:r>
    </w:p>
    <w:p w:rsidR="000C3553" w:rsidRPr="00F46E5B" w:rsidRDefault="000C3553" w:rsidP="000C3553">
      <w:pPr>
        <w:pStyle w:val="ListParagraph"/>
        <w:rPr>
          <w:rFonts w:ascii="Times New Roman" w:hAnsi="Times New Roman" w:cs="Times New Roman"/>
          <w:sz w:val="24"/>
          <w:szCs w:val="24"/>
        </w:rPr>
      </w:pPr>
    </w:p>
    <w:p w:rsidR="000C3553" w:rsidRPr="00F46E5B" w:rsidRDefault="000C3553" w:rsidP="000C3553">
      <w:pPr>
        <w:pStyle w:val="ListParagraph"/>
        <w:numPr>
          <w:ilvl w:val="0"/>
          <w:numId w:val="14"/>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Whether the applicant has the necessary authority to prosecute.</w:t>
      </w:r>
    </w:p>
    <w:p w:rsidR="000C3553" w:rsidRPr="00F46E5B" w:rsidRDefault="000C3553" w:rsidP="00A102B1">
      <w:pPr>
        <w:pStyle w:val="ListParagraph"/>
        <w:rPr>
          <w:rFonts w:ascii="Times New Roman" w:hAnsi="Times New Roman" w:cs="Times New Roman"/>
          <w:sz w:val="24"/>
          <w:szCs w:val="24"/>
        </w:rPr>
      </w:pPr>
    </w:p>
    <w:p w:rsidR="000C3553" w:rsidRPr="00F46E5B" w:rsidRDefault="000C3553" w:rsidP="00A102B1">
      <w:pPr>
        <w:pStyle w:val="JudgmentText"/>
      </w:pPr>
      <w:r w:rsidRPr="00F46E5B">
        <w:t xml:space="preserve">In that case, the court, per Lord Widgery CJ, also held </w:t>
      </w:r>
      <w:r w:rsidR="00A102B1" w:rsidRPr="00F46E5B">
        <w:t>that: “In</w:t>
      </w:r>
      <w:r w:rsidRPr="00F46E5B">
        <w:t xml:space="preserve"> the overwhelming majority of cases the magistrate will not need to consider material beyond that provided by the informant…The magistrate must be able to satisfy himself that it is a proper case in which to issue a summons.”</w:t>
      </w:r>
    </w:p>
    <w:p w:rsidR="000C3553" w:rsidRPr="00F46E5B" w:rsidRDefault="000C3553" w:rsidP="00A102B1">
      <w:pPr>
        <w:pStyle w:val="JudgmentText"/>
      </w:pPr>
      <w:r w:rsidRPr="00F46E5B">
        <w:t>In accordance with Rule 7.2(2) of the UK Criminal Procedure Rules, information must be laid in writing before the court, and it is important that the information contains all the elements essential to the offence including:</w:t>
      </w:r>
    </w:p>
    <w:p w:rsidR="000C3553" w:rsidRPr="00F46E5B" w:rsidRDefault="000C3553" w:rsidP="000C3553">
      <w:pPr>
        <w:rPr>
          <w:rFonts w:ascii="Times New Roman" w:hAnsi="Times New Roman" w:cs="Times New Roman"/>
          <w:sz w:val="24"/>
          <w:szCs w:val="24"/>
        </w:rPr>
      </w:pPr>
    </w:p>
    <w:p w:rsidR="000C3553" w:rsidRPr="00F46E5B" w:rsidRDefault="000C3553" w:rsidP="000C3553">
      <w:pPr>
        <w:pStyle w:val="ListParagraph"/>
        <w:numPr>
          <w:ilvl w:val="0"/>
          <w:numId w:val="15"/>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A statement of the offence in ordinary language;</w:t>
      </w:r>
    </w:p>
    <w:p w:rsidR="000C3553" w:rsidRPr="00F46E5B" w:rsidRDefault="000C3553" w:rsidP="000C3553">
      <w:pPr>
        <w:rPr>
          <w:rFonts w:ascii="Times New Roman" w:hAnsi="Times New Roman" w:cs="Times New Roman"/>
          <w:sz w:val="24"/>
          <w:szCs w:val="24"/>
        </w:rPr>
      </w:pPr>
    </w:p>
    <w:p w:rsidR="000C3553" w:rsidRPr="00F46E5B" w:rsidRDefault="000C3553" w:rsidP="000C3553">
      <w:pPr>
        <w:pStyle w:val="ListParagraph"/>
        <w:numPr>
          <w:ilvl w:val="0"/>
          <w:numId w:val="15"/>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 xml:space="preserve">The legislation governing the offence; and </w:t>
      </w:r>
    </w:p>
    <w:p w:rsidR="000C3553" w:rsidRPr="00F46E5B" w:rsidRDefault="000C3553" w:rsidP="000C3553">
      <w:pPr>
        <w:pStyle w:val="ListParagraph"/>
        <w:rPr>
          <w:rFonts w:ascii="Times New Roman" w:hAnsi="Times New Roman" w:cs="Times New Roman"/>
          <w:sz w:val="24"/>
          <w:szCs w:val="24"/>
        </w:rPr>
      </w:pPr>
    </w:p>
    <w:p w:rsidR="000C3553" w:rsidRPr="00F46E5B" w:rsidRDefault="000C3553" w:rsidP="000C3553">
      <w:pPr>
        <w:pStyle w:val="ListParagraph"/>
        <w:numPr>
          <w:ilvl w:val="0"/>
          <w:numId w:val="15"/>
        </w:numPr>
        <w:spacing w:after="0" w:line="240" w:lineRule="auto"/>
        <w:rPr>
          <w:rFonts w:ascii="Times New Roman" w:hAnsi="Times New Roman" w:cs="Times New Roman"/>
          <w:sz w:val="24"/>
          <w:szCs w:val="24"/>
        </w:rPr>
      </w:pPr>
      <w:r w:rsidRPr="00F46E5B">
        <w:rPr>
          <w:rFonts w:ascii="Times New Roman" w:hAnsi="Times New Roman" w:cs="Times New Roman"/>
          <w:sz w:val="24"/>
          <w:szCs w:val="24"/>
        </w:rPr>
        <w:t>The particulars of the private prosecutor’s case together with evidence available to support the prosecution.</w:t>
      </w:r>
    </w:p>
    <w:p w:rsidR="000C3553" w:rsidRPr="00F46E5B" w:rsidRDefault="000C3553" w:rsidP="000C3553">
      <w:pPr>
        <w:pStyle w:val="ListParagraph"/>
        <w:rPr>
          <w:rFonts w:ascii="Times New Roman" w:hAnsi="Times New Roman" w:cs="Times New Roman"/>
          <w:sz w:val="24"/>
          <w:szCs w:val="24"/>
        </w:rPr>
      </w:pPr>
    </w:p>
    <w:p w:rsidR="000C3553" w:rsidRPr="00F46E5B" w:rsidRDefault="000C3553" w:rsidP="00A102B1">
      <w:pPr>
        <w:pStyle w:val="JudgmentText"/>
      </w:pPr>
      <w:r w:rsidRPr="00F46E5B">
        <w:t>From the foregoing, it is clear that the primary test for an application for permission to commence a private prosecution is whether the allegations are of offences known to law, and whether the essential ingredients of the offences are prima facie present.</w:t>
      </w:r>
      <w:r w:rsidR="00747B76" w:rsidRPr="00F46E5B">
        <w:t xml:space="preserve"> In the absence of specific rules regarding the applicable test in this jurisdiction this court will allow itself to be inspired by the established English law. The latter being a jurisdiction from which we have inherited our law of criminal procedure. I will hence</w:t>
      </w:r>
      <w:r w:rsidRPr="00F46E5B">
        <w:t xml:space="preserve"> consider the issues</w:t>
      </w:r>
      <w:r w:rsidR="00747B76" w:rsidRPr="00F46E5B">
        <w:t xml:space="preserve"> raised in the light of the principles laid</w:t>
      </w:r>
      <w:r w:rsidRPr="00F46E5B">
        <w:t xml:space="preserve"> down in the above stated case of </w:t>
      </w:r>
      <w:r w:rsidRPr="00F46E5B">
        <w:rPr>
          <w:i/>
          <w:iCs/>
        </w:rPr>
        <w:t>R v. West London Metropolitan Stipendiary Magistrate, ex parte Klahn.</w:t>
      </w:r>
    </w:p>
    <w:p w:rsidR="000C3553" w:rsidRPr="00F46E5B" w:rsidRDefault="000C3553" w:rsidP="000C3553">
      <w:pPr>
        <w:rPr>
          <w:rFonts w:ascii="Times New Roman" w:hAnsi="Times New Roman" w:cs="Times New Roman"/>
          <w:b/>
          <w:bCs/>
          <w:sz w:val="24"/>
          <w:szCs w:val="24"/>
        </w:rPr>
      </w:pPr>
    </w:p>
    <w:p w:rsidR="000C3553" w:rsidRPr="00F46E5B" w:rsidRDefault="000C3553" w:rsidP="000C3553">
      <w:pPr>
        <w:rPr>
          <w:rFonts w:ascii="Times New Roman" w:hAnsi="Times New Roman" w:cs="Times New Roman"/>
          <w:b/>
          <w:bCs/>
          <w:sz w:val="24"/>
          <w:szCs w:val="24"/>
        </w:rPr>
      </w:pPr>
      <w:r w:rsidRPr="00F46E5B">
        <w:rPr>
          <w:rFonts w:ascii="Times New Roman" w:hAnsi="Times New Roman" w:cs="Times New Roman"/>
          <w:b/>
          <w:bCs/>
          <w:sz w:val="24"/>
          <w:szCs w:val="24"/>
          <w:u w:val="single"/>
        </w:rPr>
        <w:t>Issue 1</w:t>
      </w:r>
      <w:r w:rsidRPr="00F46E5B">
        <w:rPr>
          <w:rFonts w:ascii="Times New Roman" w:hAnsi="Times New Roman" w:cs="Times New Roman"/>
          <w:b/>
          <w:bCs/>
          <w:sz w:val="24"/>
          <w:szCs w:val="24"/>
        </w:rPr>
        <w:t xml:space="preserve"> –</w:t>
      </w:r>
      <w:r w:rsidRPr="00F46E5B">
        <w:rPr>
          <w:rFonts w:ascii="Times New Roman" w:hAnsi="Times New Roman" w:cs="Times New Roman"/>
          <w:sz w:val="24"/>
          <w:szCs w:val="24"/>
        </w:rPr>
        <w:t xml:space="preserve"> </w:t>
      </w:r>
      <w:r w:rsidRPr="00F46E5B">
        <w:rPr>
          <w:rFonts w:ascii="Times New Roman" w:hAnsi="Times New Roman" w:cs="Times New Roman"/>
          <w:b/>
          <w:bCs/>
          <w:sz w:val="24"/>
          <w:szCs w:val="24"/>
        </w:rPr>
        <w:t>Whether the of</w:t>
      </w:r>
      <w:r w:rsidR="00840881" w:rsidRPr="00F46E5B">
        <w:rPr>
          <w:rFonts w:ascii="Times New Roman" w:hAnsi="Times New Roman" w:cs="Times New Roman"/>
          <w:b/>
          <w:bCs/>
          <w:sz w:val="24"/>
          <w:szCs w:val="24"/>
        </w:rPr>
        <w:t>fences are known to law; whether</w:t>
      </w:r>
      <w:r w:rsidRPr="00F46E5B">
        <w:rPr>
          <w:rFonts w:ascii="Times New Roman" w:hAnsi="Times New Roman" w:cs="Times New Roman"/>
          <w:b/>
          <w:bCs/>
          <w:sz w:val="24"/>
          <w:szCs w:val="24"/>
        </w:rPr>
        <w:t xml:space="preserve"> the ingredients of t</w:t>
      </w:r>
      <w:r w:rsidR="00B74DAE" w:rsidRPr="00F46E5B">
        <w:rPr>
          <w:rFonts w:ascii="Times New Roman" w:hAnsi="Times New Roman" w:cs="Times New Roman"/>
          <w:b/>
          <w:bCs/>
          <w:sz w:val="24"/>
          <w:szCs w:val="24"/>
        </w:rPr>
        <w:t>he offences prima facie present and whether they are vexatious</w:t>
      </w:r>
    </w:p>
    <w:p w:rsidR="000C3553" w:rsidRPr="00F46E5B" w:rsidRDefault="000C3553" w:rsidP="000C3553">
      <w:pPr>
        <w:spacing w:before="100" w:beforeAutospacing="1" w:after="100" w:afterAutospacing="1"/>
        <w:rPr>
          <w:rFonts w:ascii="Times New Roman" w:hAnsi="Times New Roman" w:cs="Times New Roman"/>
          <w:color w:val="000000"/>
          <w:sz w:val="24"/>
          <w:szCs w:val="24"/>
        </w:rPr>
      </w:pPr>
      <w:r w:rsidRPr="00F46E5B">
        <w:rPr>
          <w:rFonts w:ascii="Times New Roman" w:hAnsi="Times New Roman" w:cs="Times New Roman"/>
          <w:color w:val="000000"/>
          <w:sz w:val="24"/>
          <w:szCs w:val="24"/>
        </w:rPr>
        <w:t>In the applicant’s</w:t>
      </w:r>
      <w:r w:rsidR="00840881" w:rsidRPr="00F46E5B">
        <w:rPr>
          <w:rFonts w:ascii="Times New Roman" w:hAnsi="Times New Roman" w:cs="Times New Roman"/>
          <w:color w:val="000000"/>
          <w:sz w:val="24"/>
          <w:szCs w:val="24"/>
        </w:rPr>
        <w:t xml:space="preserve"> proposed</w:t>
      </w:r>
      <w:r w:rsidRPr="00F46E5B">
        <w:rPr>
          <w:rFonts w:ascii="Times New Roman" w:hAnsi="Times New Roman" w:cs="Times New Roman"/>
          <w:color w:val="000000"/>
          <w:sz w:val="24"/>
          <w:szCs w:val="24"/>
        </w:rPr>
        <w:t xml:space="preserve"> amended formal charge filed on 12/04/21</w:t>
      </w:r>
      <w:r w:rsidR="00840881" w:rsidRPr="00F46E5B">
        <w:rPr>
          <w:rFonts w:ascii="Times New Roman" w:hAnsi="Times New Roman" w:cs="Times New Roman"/>
          <w:color w:val="000000"/>
          <w:sz w:val="24"/>
          <w:szCs w:val="24"/>
        </w:rPr>
        <w:t xml:space="preserve"> and annexed to its app</w:t>
      </w:r>
      <w:r w:rsidR="00BB2020" w:rsidRPr="00F46E5B">
        <w:rPr>
          <w:rFonts w:ascii="Times New Roman" w:hAnsi="Times New Roman" w:cs="Times New Roman"/>
          <w:color w:val="000000"/>
          <w:sz w:val="24"/>
          <w:szCs w:val="24"/>
        </w:rPr>
        <w:t>l</w:t>
      </w:r>
      <w:r w:rsidR="00840881" w:rsidRPr="00F46E5B">
        <w:rPr>
          <w:rFonts w:ascii="Times New Roman" w:hAnsi="Times New Roman" w:cs="Times New Roman"/>
          <w:color w:val="000000"/>
          <w:sz w:val="24"/>
          <w:szCs w:val="24"/>
        </w:rPr>
        <w:t>ication</w:t>
      </w:r>
      <w:r w:rsidRPr="00F46E5B">
        <w:rPr>
          <w:rFonts w:ascii="Times New Roman" w:hAnsi="Times New Roman" w:cs="Times New Roman"/>
          <w:color w:val="000000"/>
          <w:sz w:val="24"/>
          <w:szCs w:val="24"/>
        </w:rPr>
        <w:t xml:space="preserve">, there are 3 counts tendered to the court: </w:t>
      </w:r>
    </w:p>
    <w:p w:rsidR="000C3553" w:rsidRPr="00F46E5B" w:rsidRDefault="000C3553" w:rsidP="000C3553">
      <w:pPr>
        <w:spacing w:before="100" w:beforeAutospacing="1" w:after="100" w:afterAutospacing="1"/>
        <w:rPr>
          <w:rFonts w:ascii="Times New Roman" w:hAnsi="Times New Roman" w:cs="Times New Roman"/>
          <w:color w:val="000000"/>
          <w:sz w:val="24"/>
          <w:szCs w:val="24"/>
          <w:shd w:val="clear" w:color="auto" w:fill="FFFFFF"/>
        </w:rPr>
      </w:pPr>
      <w:r w:rsidRPr="00F46E5B">
        <w:rPr>
          <w:rFonts w:ascii="Times New Roman" w:hAnsi="Times New Roman" w:cs="Times New Roman"/>
          <w:b/>
          <w:bCs/>
          <w:color w:val="000000"/>
          <w:sz w:val="24"/>
          <w:szCs w:val="24"/>
        </w:rPr>
        <w:t>Count 1</w:t>
      </w:r>
      <w:r w:rsidRPr="00F46E5B">
        <w:rPr>
          <w:rFonts w:ascii="Times New Roman" w:hAnsi="Times New Roman" w:cs="Times New Roman"/>
          <w:color w:val="000000"/>
          <w:sz w:val="24"/>
          <w:szCs w:val="24"/>
        </w:rPr>
        <w:t xml:space="preserve"> is the offence of disobe</w:t>
      </w:r>
      <w:r w:rsidR="00FA4E01">
        <w:rPr>
          <w:rFonts w:ascii="Times New Roman" w:hAnsi="Times New Roman" w:cs="Times New Roman"/>
          <w:color w:val="000000"/>
          <w:sz w:val="24"/>
          <w:szCs w:val="24"/>
        </w:rPr>
        <w:t>ying a lawful order of court. Section</w:t>
      </w:r>
      <w:r w:rsidRPr="00F46E5B">
        <w:rPr>
          <w:rFonts w:ascii="Times New Roman" w:hAnsi="Times New Roman" w:cs="Times New Roman"/>
          <w:color w:val="000000"/>
          <w:sz w:val="24"/>
          <w:szCs w:val="24"/>
        </w:rPr>
        <w:t xml:space="preserve"> </w:t>
      </w:r>
      <w:r w:rsidRPr="00F46E5B">
        <w:rPr>
          <w:rFonts w:ascii="Times New Roman" w:hAnsi="Times New Roman" w:cs="Times New Roman"/>
          <w:color w:val="000000"/>
          <w:sz w:val="24"/>
          <w:szCs w:val="24"/>
          <w:shd w:val="clear" w:color="auto" w:fill="FFFFFF"/>
        </w:rPr>
        <w:t xml:space="preserve">124 of the Penal Code clearly makes the disobedience of a lawful order of any court a misdemeanour, punishable by imprisonment for two years. It is pertinent to note that even though this provision is made in the Penal Code, it makes no distinction between orders made by courts in </w:t>
      </w:r>
      <w:r w:rsidRPr="00F46E5B">
        <w:rPr>
          <w:rFonts w:ascii="Times New Roman" w:hAnsi="Times New Roman" w:cs="Times New Roman"/>
          <w:iCs/>
          <w:color w:val="000000"/>
          <w:sz w:val="24"/>
          <w:szCs w:val="24"/>
          <w:shd w:val="clear" w:color="auto" w:fill="FFFFFF"/>
        </w:rPr>
        <w:t>civil or criminal</w:t>
      </w:r>
      <w:r w:rsidRPr="00F46E5B">
        <w:rPr>
          <w:rFonts w:ascii="Times New Roman" w:hAnsi="Times New Roman" w:cs="Times New Roman"/>
          <w:color w:val="000000"/>
          <w:sz w:val="24"/>
          <w:szCs w:val="24"/>
          <w:shd w:val="clear" w:color="auto" w:fill="FFFFFF"/>
        </w:rPr>
        <w:t xml:space="preserve"> matters.</w:t>
      </w:r>
    </w:p>
    <w:p w:rsidR="00747B76" w:rsidRPr="001448E0" w:rsidRDefault="00840881" w:rsidP="000C3553">
      <w:pPr>
        <w:spacing w:before="100" w:beforeAutospacing="1" w:after="100" w:afterAutospacing="1"/>
        <w:rPr>
          <w:rFonts w:ascii="Times New Roman" w:hAnsi="Times New Roman" w:cs="Times New Roman"/>
          <w:color w:val="000000" w:themeColor="text1"/>
          <w:sz w:val="24"/>
          <w:szCs w:val="24"/>
          <w:shd w:val="clear" w:color="auto" w:fill="FFFFFF"/>
        </w:rPr>
      </w:pPr>
      <w:r w:rsidRPr="00F46E5B">
        <w:rPr>
          <w:rFonts w:ascii="Times New Roman" w:hAnsi="Times New Roman" w:cs="Times New Roman"/>
          <w:color w:val="000000"/>
          <w:sz w:val="24"/>
          <w:szCs w:val="24"/>
          <w:shd w:val="clear" w:color="auto" w:fill="FFFFFF"/>
        </w:rPr>
        <w:t>In this count</w:t>
      </w:r>
      <w:r w:rsidR="000141CC" w:rsidRPr="00F46E5B">
        <w:rPr>
          <w:rFonts w:ascii="Times New Roman" w:hAnsi="Times New Roman" w:cs="Times New Roman"/>
          <w:color w:val="000000"/>
          <w:sz w:val="24"/>
          <w:szCs w:val="24"/>
          <w:shd w:val="clear" w:color="auto" w:fill="FFFFFF"/>
        </w:rPr>
        <w:t xml:space="preserve"> the applicant in its particulars of offence refers to two different court orders that Vijay has purportedly </w:t>
      </w:r>
      <w:r w:rsidR="000141CC" w:rsidRPr="001448E0">
        <w:rPr>
          <w:rFonts w:ascii="Times New Roman" w:hAnsi="Times New Roman" w:cs="Times New Roman"/>
          <w:color w:val="000000" w:themeColor="text1"/>
          <w:sz w:val="24"/>
          <w:szCs w:val="24"/>
          <w:shd w:val="clear" w:color="auto" w:fill="FFFFFF"/>
        </w:rPr>
        <w:t>disobey</w:t>
      </w:r>
      <w:r w:rsidR="00FA4E01" w:rsidRPr="001448E0">
        <w:rPr>
          <w:rFonts w:ascii="Times New Roman" w:hAnsi="Times New Roman" w:cs="Times New Roman"/>
          <w:color w:val="000000" w:themeColor="text1"/>
          <w:sz w:val="24"/>
          <w:szCs w:val="24"/>
          <w:shd w:val="clear" w:color="auto" w:fill="FFFFFF"/>
        </w:rPr>
        <w:t>ed</w:t>
      </w:r>
      <w:r w:rsidR="000141CC" w:rsidRPr="001448E0">
        <w:rPr>
          <w:rFonts w:ascii="Times New Roman" w:hAnsi="Times New Roman" w:cs="Times New Roman"/>
          <w:color w:val="000000" w:themeColor="text1"/>
          <w:sz w:val="24"/>
          <w:szCs w:val="24"/>
          <w:shd w:val="clear" w:color="auto" w:fill="FFFFFF"/>
        </w:rPr>
        <w:t>. The 1</w:t>
      </w:r>
      <w:r w:rsidR="000141CC" w:rsidRPr="001448E0">
        <w:rPr>
          <w:rFonts w:ascii="Times New Roman" w:hAnsi="Times New Roman" w:cs="Times New Roman"/>
          <w:color w:val="000000" w:themeColor="text1"/>
          <w:sz w:val="24"/>
          <w:szCs w:val="24"/>
          <w:shd w:val="clear" w:color="auto" w:fill="FFFFFF"/>
          <w:vertAlign w:val="superscript"/>
        </w:rPr>
        <w:t>st</w:t>
      </w:r>
      <w:r w:rsidR="000141CC" w:rsidRPr="001448E0">
        <w:rPr>
          <w:rFonts w:ascii="Times New Roman" w:hAnsi="Times New Roman" w:cs="Times New Roman"/>
          <w:color w:val="000000" w:themeColor="text1"/>
          <w:sz w:val="24"/>
          <w:szCs w:val="24"/>
          <w:shd w:val="clear" w:color="auto" w:fill="FFFFFF"/>
        </w:rPr>
        <w:t xml:space="preserve"> order is that</w:t>
      </w:r>
      <w:r w:rsidRPr="001448E0">
        <w:rPr>
          <w:rFonts w:ascii="Times New Roman" w:hAnsi="Times New Roman" w:cs="Times New Roman"/>
          <w:color w:val="000000" w:themeColor="text1"/>
          <w:sz w:val="24"/>
          <w:szCs w:val="24"/>
          <w:shd w:val="clear" w:color="auto" w:fill="FFFFFF"/>
        </w:rPr>
        <w:t xml:space="preserve"> fo</w:t>
      </w:r>
      <w:r w:rsidR="000B1C51" w:rsidRPr="001448E0">
        <w:rPr>
          <w:rFonts w:ascii="Times New Roman" w:hAnsi="Times New Roman" w:cs="Times New Roman"/>
          <w:color w:val="000000" w:themeColor="text1"/>
          <w:sz w:val="24"/>
          <w:szCs w:val="24"/>
          <w:shd w:val="clear" w:color="auto" w:fill="FFFFFF"/>
        </w:rPr>
        <w:t>und in the Supreme Court Civil S</w:t>
      </w:r>
      <w:r w:rsidRPr="001448E0">
        <w:rPr>
          <w:rFonts w:ascii="Times New Roman" w:hAnsi="Times New Roman" w:cs="Times New Roman"/>
          <w:color w:val="000000" w:themeColor="text1"/>
          <w:sz w:val="24"/>
          <w:szCs w:val="24"/>
          <w:shd w:val="clear" w:color="auto" w:fill="FFFFFF"/>
        </w:rPr>
        <w:t>ide</w:t>
      </w:r>
      <w:r w:rsidR="000141CC" w:rsidRPr="001448E0">
        <w:rPr>
          <w:rFonts w:ascii="Times New Roman" w:hAnsi="Times New Roman" w:cs="Times New Roman"/>
          <w:color w:val="000000" w:themeColor="text1"/>
          <w:sz w:val="24"/>
          <w:szCs w:val="24"/>
          <w:shd w:val="clear" w:color="auto" w:fill="FFFFFF"/>
        </w:rPr>
        <w:t xml:space="preserve"> 23 /2019. In th</w:t>
      </w:r>
      <w:r w:rsidRPr="001448E0">
        <w:rPr>
          <w:rFonts w:ascii="Times New Roman" w:hAnsi="Times New Roman" w:cs="Times New Roman"/>
          <w:color w:val="000000" w:themeColor="text1"/>
          <w:sz w:val="24"/>
          <w:szCs w:val="24"/>
          <w:shd w:val="clear" w:color="auto" w:fill="FFFFFF"/>
        </w:rPr>
        <w:t xml:space="preserve">is case the applicant avers </w:t>
      </w:r>
      <w:r w:rsidR="000141CC" w:rsidRPr="001448E0">
        <w:rPr>
          <w:rFonts w:ascii="Times New Roman" w:hAnsi="Times New Roman" w:cs="Times New Roman"/>
          <w:color w:val="000000" w:themeColor="text1"/>
          <w:sz w:val="24"/>
          <w:szCs w:val="24"/>
          <w:shd w:val="clear" w:color="auto" w:fill="FFFFFF"/>
        </w:rPr>
        <w:t>that the Supreme Court entered judgment in favour of the applicant ordering Vijay to pay to the applicant a sum of more than EURO 20 million with inter</w:t>
      </w:r>
      <w:r w:rsidRPr="001448E0">
        <w:rPr>
          <w:rFonts w:ascii="Times New Roman" w:hAnsi="Times New Roman" w:cs="Times New Roman"/>
          <w:color w:val="000000" w:themeColor="text1"/>
          <w:sz w:val="24"/>
          <w:szCs w:val="24"/>
          <w:shd w:val="clear" w:color="auto" w:fill="FFFFFF"/>
        </w:rPr>
        <w:t>est and that this decision</w:t>
      </w:r>
      <w:r w:rsidR="000141CC" w:rsidRPr="001448E0">
        <w:rPr>
          <w:rFonts w:ascii="Times New Roman" w:hAnsi="Times New Roman" w:cs="Times New Roman"/>
          <w:color w:val="000000" w:themeColor="text1"/>
          <w:sz w:val="24"/>
          <w:szCs w:val="24"/>
          <w:shd w:val="clear" w:color="auto" w:fill="FFFFFF"/>
        </w:rPr>
        <w:t xml:space="preserve"> was upheld by the Court of Appeal</w:t>
      </w:r>
      <w:r w:rsidRPr="001448E0">
        <w:rPr>
          <w:rFonts w:ascii="Times New Roman" w:hAnsi="Times New Roman" w:cs="Times New Roman"/>
          <w:color w:val="000000" w:themeColor="text1"/>
          <w:sz w:val="24"/>
          <w:szCs w:val="24"/>
          <w:shd w:val="clear" w:color="auto" w:fill="FFFFFF"/>
        </w:rPr>
        <w:t xml:space="preserve"> </w:t>
      </w:r>
      <w:r w:rsidR="000141CC" w:rsidRPr="001448E0">
        <w:rPr>
          <w:rFonts w:ascii="Times New Roman" w:hAnsi="Times New Roman" w:cs="Times New Roman"/>
          <w:color w:val="000000" w:themeColor="text1"/>
          <w:sz w:val="24"/>
          <w:szCs w:val="24"/>
          <w:shd w:val="clear" w:color="auto" w:fill="FFFFFF"/>
        </w:rPr>
        <w:t>in its majority judgment on 2</w:t>
      </w:r>
      <w:r w:rsidR="000141CC" w:rsidRPr="001448E0">
        <w:rPr>
          <w:rFonts w:ascii="Times New Roman" w:hAnsi="Times New Roman" w:cs="Times New Roman"/>
          <w:color w:val="000000" w:themeColor="text1"/>
          <w:sz w:val="24"/>
          <w:szCs w:val="24"/>
          <w:shd w:val="clear" w:color="auto" w:fill="FFFFFF"/>
          <w:vertAlign w:val="superscript"/>
        </w:rPr>
        <w:t>nd</w:t>
      </w:r>
      <w:r w:rsidRPr="001448E0">
        <w:rPr>
          <w:rFonts w:ascii="Times New Roman" w:hAnsi="Times New Roman" w:cs="Times New Roman"/>
          <w:color w:val="000000" w:themeColor="text1"/>
          <w:sz w:val="24"/>
          <w:szCs w:val="24"/>
          <w:shd w:val="clear" w:color="auto" w:fill="FFFFFF"/>
        </w:rPr>
        <w:t xml:space="preserve"> October 2020. However</w:t>
      </w:r>
      <w:r w:rsidR="00FA4E01" w:rsidRPr="001448E0">
        <w:rPr>
          <w:rFonts w:ascii="Times New Roman" w:hAnsi="Times New Roman" w:cs="Times New Roman"/>
          <w:color w:val="000000" w:themeColor="text1"/>
          <w:sz w:val="24"/>
          <w:szCs w:val="24"/>
          <w:shd w:val="clear" w:color="auto" w:fill="FFFFFF"/>
        </w:rPr>
        <w:t>,</w:t>
      </w:r>
      <w:r w:rsidRPr="001448E0">
        <w:rPr>
          <w:rFonts w:ascii="Times New Roman" w:hAnsi="Times New Roman" w:cs="Times New Roman"/>
          <w:color w:val="000000" w:themeColor="text1"/>
          <w:sz w:val="24"/>
          <w:szCs w:val="24"/>
          <w:shd w:val="clear" w:color="auto" w:fill="FFFFFF"/>
        </w:rPr>
        <w:t xml:space="preserve"> it avers that</w:t>
      </w:r>
      <w:r w:rsidR="000141CC" w:rsidRPr="001448E0">
        <w:rPr>
          <w:rFonts w:ascii="Times New Roman" w:hAnsi="Times New Roman" w:cs="Times New Roman"/>
          <w:color w:val="000000" w:themeColor="text1"/>
          <w:sz w:val="24"/>
          <w:szCs w:val="24"/>
          <w:shd w:val="clear" w:color="auto" w:fill="FFFFFF"/>
        </w:rPr>
        <w:t xml:space="preserve"> Vishram Jadva Patel, Foram Varsani, Nilesh Kerai, </w:t>
      </w:r>
      <w:r w:rsidR="000B1C51" w:rsidRPr="001448E0">
        <w:rPr>
          <w:rFonts w:ascii="Times New Roman" w:hAnsi="Times New Roman" w:cs="Times New Roman"/>
          <w:color w:val="000000" w:themeColor="text1"/>
          <w:sz w:val="24"/>
          <w:szCs w:val="24"/>
          <w:shd w:val="clear" w:color="auto" w:fill="FFFFFF"/>
        </w:rPr>
        <w:t xml:space="preserve">and </w:t>
      </w:r>
      <w:r w:rsidR="000141CC" w:rsidRPr="001448E0">
        <w:rPr>
          <w:rFonts w:ascii="Times New Roman" w:hAnsi="Times New Roman" w:cs="Times New Roman"/>
          <w:color w:val="000000" w:themeColor="text1"/>
          <w:sz w:val="24"/>
          <w:szCs w:val="24"/>
          <w:shd w:val="clear" w:color="auto" w:fill="FFFFFF"/>
        </w:rPr>
        <w:t>Kaushallkumar P</w:t>
      </w:r>
      <w:r w:rsidR="00FE4856" w:rsidRPr="001448E0">
        <w:rPr>
          <w:rFonts w:ascii="Times New Roman" w:hAnsi="Times New Roman" w:cs="Times New Roman"/>
          <w:color w:val="000000" w:themeColor="text1"/>
          <w:sz w:val="24"/>
          <w:szCs w:val="24"/>
          <w:shd w:val="clear" w:color="auto" w:fill="FFFFFF"/>
        </w:rPr>
        <w:t>atel actin</w:t>
      </w:r>
      <w:r w:rsidR="000141CC" w:rsidRPr="001448E0">
        <w:rPr>
          <w:rFonts w:ascii="Times New Roman" w:hAnsi="Times New Roman" w:cs="Times New Roman"/>
          <w:color w:val="000000" w:themeColor="text1"/>
          <w:sz w:val="24"/>
          <w:szCs w:val="24"/>
          <w:shd w:val="clear" w:color="auto" w:fill="FFFFFF"/>
        </w:rPr>
        <w:t>g in the capacity of directors of Vijay Construction ( Pty) Limited  failed and caused Vijay Construction ( Pty) Limited to refuse to comply with the judgments and caused Vijay to file multiple applications to avoid execution of the judgment.</w:t>
      </w:r>
      <w:r w:rsidR="00FE4856" w:rsidRPr="001448E0">
        <w:rPr>
          <w:rFonts w:ascii="Times New Roman" w:hAnsi="Times New Roman" w:cs="Times New Roman"/>
          <w:color w:val="000000" w:themeColor="text1"/>
          <w:sz w:val="24"/>
          <w:szCs w:val="24"/>
          <w:shd w:val="clear" w:color="auto" w:fill="FFFFFF"/>
        </w:rPr>
        <w:t xml:space="preserve"> </w:t>
      </w:r>
    </w:p>
    <w:p w:rsidR="00FE4856" w:rsidRPr="00F46E5B" w:rsidRDefault="00FE4856" w:rsidP="000C3553">
      <w:pPr>
        <w:spacing w:before="100" w:beforeAutospacing="1" w:after="100" w:afterAutospacing="1"/>
        <w:rPr>
          <w:rFonts w:ascii="Times New Roman" w:hAnsi="Times New Roman" w:cs="Times New Roman"/>
          <w:color w:val="000000"/>
          <w:sz w:val="24"/>
          <w:szCs w:val="24"/>
          <w:shd w:val="clear" w:color="auto" w:fill="FFFFFF"/>
        </w:rPr>
      </w:pPr>
      <w:r w:rsidRPr="001448E0">
        <w:rPr>
          <w:rFonts w:ascii="Times New Roman" w:hAnsi="Times New Roman" w:cs="Times New Roman"/>
          <w:color w:val="000000" w:themeColor="text1"/>
          <w:sz w:val="24"/>
          <w:szCs w:val="24"/>
          <w:shd w:val="clear" w:color="auto" w:fill="FFFFFF"/>
        </w:rPr>
        <w:lastRenderedPageBreak/>
        <w:t>The 2</w:t>
      </w:r>
      <w:r w:rsidRPr="001448E0">
        <w:rPr>
          <w:rFonts w:ascii="Times New Roman" w:hAnsi="Times New Roman" w:cs="Times New Roman"/>
          <w:color w:val="000000" w:themeColor="text1"/>
          <w:sz w:val="24"/>
          <w:szCs w:val="24"/>
          <w:shd w:val="clear" w:color="auto" w:fill="FFFFFF"/>
          <w:vertAlign w:val="superscript"/>
        </w:rPr>
        <w:t>nd</w:t>
      </w:r>
      <w:r w:rsidRPr="001448E0">
        <w:rPr>
          <w:rFonts w:ascii="Times New Roman" w:hAnsi="Times New Roman" w:cs="Times New Roman"/>
          <w:color w:val="000000" w:themeColor="text1"/>
          <w:sz w:val="24"/>
          <w:szCs w:val="24"/>
          <w:shd w:val="clear" w:color="auto" w:fill="FFFFFF"/>
        </w:rPr>
        <w:t xml:space="preserve"> order</w:t>
      </w:r>
      <w:r w:rsidR="00840881" w:rsidRPr="001448E0">
        <w:rPr>
          <w:rFonts w:ascii="Times New Roman" w:hAnsi="Times New Roman" w:cs="Times New Roman"/>
          <w:color w:val="000000" w:themeColor="text1"/>
          <w:sz w:val="24"/>
          <w:szCs w:val="24"/>
          <w:shd w:val="clear" w:color="auto" w:fill="FFFFFF"/>
        </w:rPr>
        <w:t xml:space="preserve"> which is alleged to have been disobeyed</w:t>
      </w:r>
      <w:r w:rsidRPr="001448E0">
        <w:rPr>
          <w:rFonts w:ascii="Times New Roman" w:hAnsi="Times New Roman" w:cs="Times New Roman"/>
          <w:color w:val="000000" w:themeColor="text1"/>
          <w:sz w:val="24"/>
          <w:szCs w:val="24"/>
          <w:shd w:val="clear" w:color="auto" w:fill="FFFFFF"/>
        </w:rPr>
        <w:t xml:space="preserve"> is that given </w:t>
      </w:r>
      <w:r w:rsidR="000B1C51" w:rsidRPr="001448E0">
        <w:rPr>
          <w:rFonts w:ascii="Times New Roman" w:hAnsi="Times New Roman" w:cs="Times New Roman"/>
          <w:color w:val="000000" w:themeColor="text1"/>
          <w:sz w:val="24"/>
          <w:szCs w:val="24"/>
          <w:shd w:val="clear" w:color="auto" w:fill="FFFFFF"/>
        </w:rPr>
        <w:t xml:space="preserve">by the same court in </w:t>
      </w:r>
      <w:r w:rsidR="00A026A2">
        <w:rPr>
          <w:rFonts w:ascii="Times New Roman" w:hAnsi="Times New Roman" w:cs="Times New Roman"/>
          <w:color w:val="000000" w:themeColor="text1"/>
          <w:sz w:val="24"/>
          <w:szCs w:val="24"/>
          <w:shd w:val="clear" w:color="auto" w:fill="FFFFFF"/>
        </w:rPr>
        <w:t>S</w:t>
      </w:r>
      <w:r w:rsidR="000B1C51" w:rsidRPr="001448E0">
        <w:rPr>
          <w:rFonts w:ascii="Times New Roman" w:hAnsi="Times New Roman" w:cs="Times New Roman"/>
          <w:color w:val="000000" w:themeColor="text1"/>
          <w:sz w:val="24"/>
          <w:szCs w:val="24"/>
          <w:shd w:val="clear" w:color="auto" w:fill="FFFFFF"/>
        </w:rPr>
        <w:t>CSC 931/20</w:t>
      </w:r>
      <w:r w:rsidRPr="001448E0">
        <w:rPr>
          <w:rFonts w:ascii="Times New Roman" w:hAnsi="Times New Roman" w:cs="Times New Roman"/>
          <w:color w:val="000000" w:themeColor="text1"/>
          <w:sz w:val="24"/>
          <w:szCs w:val="24"/>
          <w:shd w:val="clear" w:color="auto" w:fill="FFFFFF"/>
        </w:rPr>
        <w:t>,</w:t>
      </w:r>
      <w:r w:rsidR="000B1C51" w:rsidRPr="001448E0">
        <w:rPr>
          <w:rFonts w:ascii="Times New Roman" w:hAnsi="Times New Roman" w:cs="Times New Roman"/>
          <w:color w:val="000000" w:themeColor="text1"/>
          <w:sz w:val="24"/>
          <w:szCs w:val="24"/>
          <w:shd w:val="clear" w:color="auto" w:fill="FFFFFF"/>
        </w:rPr>
        <w:t xml:space="preserve"> MA</w:t>
      </w:r>
      <w:r w:rsidRPr="001448E0">
        <w:rPr>
          <w:rFonts w:ascii="Times New Roman" w:hAnsi="Times New Roman" w:cs="Times New Roman"/>
          <w:color w:val="000000" w:themeColor="text1"/>
          <w:sz w:val="24"/>
          <w:szCs w:val="24"/>
          <w:shd w:val="clear" w:color="auto" w:fill="FFFFFF"/>
        </w:rPr>
        <w:t xml:space="preserve"> 227/20, dated the 7</w:t>
      </w:r>
      <w:r w:rsidRPr="001448E0">
        <w:rPr>
          <w:rFonts w:ascii="Times New Roman" w:hAnsi="Times New Roman" w:cs="Times New Roman"/>
          <w:color w:val="000000" w:themeColor="text1"/>
          <w:sz w:val="24"/>
          <w:szCs w:val="24"/>
          <w:shd w:val="clear" w:color="auto" w:fill="FFFFFF"/>
          <w:vertAlign w:val="superscript"/>
        </w:rPr>
        <w:t>th</w:t>
      </w:r>
      <w:r w:rsidRPr="001448E0">
        <w:rPr>
          <w:rFonts w:ascii="Times New Roman" w:hAnsi="Times New Roman" w:cs="Times New Roman"/>
          <w:color w:val="000000" w:themeColor="text1"/>
          <w:sz w:val="24"/>
          <w:szCs w:val="24"/>
          <w:shd w:val="clear" w:color="auto" w:fill="FFFFFF"/>
        </w:rPr>
        <w:t xml:space="preserve"> of December, 2020, in which Vijay was ordered to disclose financial information by the 29</w:t>
      </w:r>
      <w:r w:rsidRPr="001448E0">
        <w:rPr>
          <w:rFonts w:ascii="Times New Roman" w:hAnsi="Times New Roman" w:cs="Times New Roman"/>
          <w:color w:val="000000" w:themeColor="text1"/>
          <w:sz w:val="24"/>
          <w:szCs w:val="24"/>
          <w:shd w:val="clear" w:color="auto" w:fill="FFFFFF"/>
          <w:vertAlign w:val="superscript"/>
        </w:rPr>
        <w:t>th</w:t>
      </w:r>
      <w:r w:rsidR="00BB2020" w:rsidRPr="001448E0">
        <w:rPr>
          <w:rFonts w:ascii="Times New Roman" w:hAnsi="Times New Roman" w:cs="Times New Roman"/>
          <w:color w:val="000000" w:themeColor="text1"/>
          <w:sz w:val="24"/>
          <w:szCs w:val="24"/>
          <w:shd w:val="clear" w:color="auto" w:fill="FFFFFF"/>
        </w:rPr>
        <w:t xml:space="preserve"> of January 2021. According to the averments in this charge this</w:t>
      </w:r>
      <w:r w:rsidRPr="001448E0">
        <w:rPr>
          <w:rFonts w:ascii="Times New Roman" w:hAnsi="Times New Roman" w:cs="Times New Roman"/>
          <w:color w:val="000000" w:themeColor="text1"/>
          <w:sz w:val="24"/>
          <w:szCs w:val="24"/>
          <w:shd w:val="clear" w:color="auto" w:fill="FFFFFF"/>
        </w:rPr>
        <w:t xml:space="preserve"> was never done and hence, according to the applicant Vishram Jadva Patel, Foram Varsani, Nilesh Kerai, </w:t>
      </w:r>
      <w:r w:rsidR="000B1C51" w:rsidRPr="001448E0">
        <w:rPr>
          <w:rFonts w:ascii="Times New Roman" w:hAnsi="Times New Roman" w:cs="Times New Roman"/>
          <w:color w:val="000000" w:themeColor="text1"/>
          <w:sz w:val="24"/>
          <w:szCs w:val="24"/>
          <w:shd w:val="clear" w:color="auto" w:fill="FFFFFF"/>
        </w:rPr>
        <w:t xml:space="preserve">and </w:t>
      </w:r>
      <w:r w:rsidRPr="001448E0">
        <w:rPr>
          <w:rFonts w:ascii="Times New Roman" w:hAnsi="Times New Roman" w:cs="Times New Roman"/>
          <w:color w:val="000000" w:themeColor="text1"/>
          <w:sz w:val="24"/>
          <w:szCs w:val="24"/>
          <w:shd w:val="clear" w:color="auto" w:fill="FFFFFF"/>
        </w:rPr>
        <w:t xml:space="preserve">Kaushallkumar </w:t>
      </w:r>
      <w:r w:rsidRPr="00F46E5B">
        <w:rPr>
          <w:rFonts w:ascii="Times New Roman" w:hAnsi="Times New Roman" w:cs="Times New Roman"/>
          <w:color w:val="000000"/>
          <w:sz w:val="24"/>
          <w:szCs w:val="24"/>
          <w:shd w:val="clear" w:color="auto" w:fill="FFFFFF"/>
        </w:rPr>
        <w:t>Patel acting in the capacity of directors of Vijay failed and caused Vijay to refuse to comply w</w:t>
      </w:r>
      <w:r w:rsidR="00A026A2">
        <w:rPr>
          <w:rFonts w:ascii="Times New Roman" w:hAnsi="Times New Roman" w:cs="Times New Roman"/>
          <w:color w:val="000000"/>
          <w:sz w:val="24"/>
          <w:szCs w:val="24"/>
          <w:shd w:val="clear" w:color="auto" w:fill="FFFFFF"/>
        </w:rPr>
        <w:t>ith the above-named Disclosure O</w:t>
      </w:r>
      <w:r w:rsidRPr="00F46E5B">
        <w:rPr>
          <w:rFonts w:ascii="Times New Roman" w:hAnsi="Times New Roman" w:cs="Times New Roman"/>
          <w:color w:val="000000"/>
          <w:sz w:val="24"/>
          <w:szCs w:val="24"/>
          <w:shd w:val="clear" w:color="auto" w:fill="FFFFFF"/>
        </w:rPr>
        <w:t>rder.</w:t>
      </w:r>
    </w:p>
    <w:p w:rsidR="000C3553" w:rsidRPr="00F46E5B" w:rsidRDefault="000C3553" w:rsidP="000C3553">
      <w:pPr>
        <w:spacing w:before="100" w:beforeAutospacing="1" w:after="100" w:afterAutospacing="1"/>
        <w:rPr>
          <w:rFonts w:ascii="Times New Roman" w:hAnsi="Times New Roman" w:cs="Times New Roman"/>
          <w:color w:val="000000"/>
          <w:sz w:val="24"/>
          <w:szCs w:val="24"/>
        </w:rPr>
      </w:pPr>
      <w:r w:rsidRPr="00F46E5B">
        <w:rPr>
          <w:rFonts w:ascii="Times New Roman" w:hAnsi="Times New Roman" w:cs="Times New Roman"/>
          <w:b/>
          <w:bCs/>
          <w:color w:val="000000"/>
          <w:sz w:val="24"/>
          <w:szCs w:val="24"/>
        </w:rPr>
        <w:t xml:space="preserve">Count 2 </w:t>
      </w:r>
      <w:r w:rsidRPr="00F46E5B">
        <w:rPr>
          <w:rFonts w:ascii="Times New Roman" w:hAnsi="Times New Roman" w:cs="Times New Roman"/>
          <w:color w:val="000000"/>
          <w:sz w:val="24"/>
          <w:szCs w:val="24"/>
        </w:rPr>
        <w:t>is the offence of Vijay’s directors filing a petition fo</w:t>
      </w:r>
      <w:r w:rsidR="000141CC" w:rsidRPr="00F46E5B">
        <w:rPr>
          <w:rFonts w:ascii="Times New Roman" w:hAnsi="Times New Roman" w:cs="Times New Roman"/>
          <w:color w:val="000000"/>
          <w:sz w:val="24"/>
          <w:szCs w:val="24"/>
        </w:rPr>
        <w:t>r winding up under false pretenc</w:t>
      </w:r>
      <w:r w:rsidRPr="00F46E5B">
        <w:rPr>
          <w:rFonts w:ascii="Times New Roman" w:hAnsi="Times New Roman" w:cs="Times New Roman"/>
          <w:color w:val="000000"/>
          <w:sz w:val="24"/>
          <w:szCs w:val="24"/>
        </w:rPr>
        <w:t>es with intent to defraud creditors, transferring and purchasing the company’s property in order to represent that the company is insolvent. T</w:t>
      </w:r>
      <w:r w:rsidR="00BB2020" w:rsidRPr="00F46E5B">
        <w:rPr>
          <w:rFonts w:ascii="Times New Roman" w:hAnsi="Times New Roman" w:cs="Times New Roman"/>
          <w:color w:val="000000"/>
          <w:sz w:val="24"/>
          <w:szCs w:val="24"/>
        </w:rPr>
        <w:t>his contrary to Section</w:t>
      </w:r>
      <w:r w:rsidRPr="00F46E5B">
        <w:rPr>
          <w:rFonts w:ascii="Times New Roman" w:hAnsi="Times New Roman" w:cs="Times New Roman"/>
          <w:color w:val="000000"/>
          <w:sz w:val="24"/>
          <w:szCs w:val="24"/>
        </w:rPr>
        <w:t xml:space="preserve"> 288(b) of the Companies Act. </w:t>
      </w:r>
    </w:p>
    <w:p w:rsidR="000C3553" w:rsidRPr="00F46E5B" w:rsidRDefault="000C3553" w:rsidP="000C3553">
      <w:pPr>
        <w:spacing w:before="100" w:beforeAutospacing="1" w:after="100" w:afterAutospacing="1"/>
        <w:rPr>
          <w:rFonts w:ascii="Times New Roman" w:hAnsi="Times New Roman" w:cs="Times New Roman"/>
          <w:color w:val="000000"/>
          <w:sz w:val="24"/>
          <w:szCs w:val="24"/>
        </w:rPr>
      </w:pPr>
      <w:r w:rsidRPr="00F46E5B">
        <w:rPr>
          <w:rFonts w:ascii="Times New Roman" w:hAnsi="Times New Roman" w:cs="Times New Roman"/>
          <w:b/>
          <w:bCs/>
          <w:color w:val="000000"/>
          <w:sz w:val="24"/>
          <w:szCs w:val="24"/>
        </w:rPr>
        <w:t xml:space="preserve">Count 3 </w:t>
      </w:r>
      <w:r w:rsidRPr="00F46E5B">
        <w:rPr>
          <w:rFonts w:ascii="Times New Roman" w:hAnsi="Times New Roman" w:cs="Times New Roman"/>
          <w:color w:val="000000"/>
          <w:sz w:val="24"/>
          <w:szCs w:val="24"/>
        </w:rPr>
        <w:t xml:space="preserve">is the offence of concealing or removing the assets of Vijay by the directors with the intent of defrauding its creditors. It is similarly brought under </w:t>
      </w:r>
      <w:r w:rsidR="00BB2020" w:rsidRPr="00F46E5B">
        <w:rPr>
          <w:rFonts w:ascii="Times New Roman" w:hAnsi="Times New Roman" w:cs="Times New Roman"/>
          <w:color w:val="000000"/>
          <w:sz w:val="24"/>
          <w:szCs w:val="24"/>
        </w:rPr>
        <w:t xml:space="preserve">Section </w:t>
      </w:r>
      <w:r w:rsidRPr="00F46E5B">
        <w:rPr>
          <w:rFonts w:ascii="Times New Roman" w:hAnsi="Times New Roman" w:cs="Times New Roman"/>
          <w:color w:val="000000"/>
          <w:sz w:val="24"/>
          <w:szCs w:val="24"/>
        </w:rPr>
        <w:t>288(c) of the Companies Act. In paragraphs 7, 14 and 15 of his affidavit, the applicant</w:t>
      </w:r>
      <w:r w:rsidR="00BB2020" w:rsidRPr="00F46E5B">
        <w:rPr>
          <w:rFonts w:ascii="Times New Roman" w:hAnsi="Times New Roman" w:cs="Times New Roman"/>
          <w:color w:val="000000"/>
          <w:sz w:val="24"/>
          <w:szCs w:val="24"/>
        </w:rPr>
        <w:t>’ representative</w:t>
      </w:r>
      <w:r w:rsidRPr="00F46E5B">
        <w:rPr>
          <w:rFonts w:ascii="Times New Roman" w:hAnsi="Times New Roman" w:cs="Times New Roman"/>
          <w:color w:val="000000"/>
          <w:sz w:val="24"/>
          <w:szCs w:val="24"/>
        </w:rPr>
        <w:t xml:space="preserve"> has deposed to the facts making up the particulars of the offence in counts 2 and 3. </w:t>
      </w:r>
    </w:p>
    <w:p w:rsidR="000C3553" w:rsidRPr="00F46E5B" w:rsidRDefault="00BB2020" w:rsidP="000C3553">
      <w:pPr>
        <w:spacing w:before="100" w:beforeAutospacing="1" w:after="100" w:afterAutospacing="1"/>
        <w:rPr>
          <w:rFonts w:ascii="Times New Roman" w:hAnsi="Times New Roman" w:cs="Times New Roman"/>
          <w:color w:val="000000"/>
          <w:sz w:val="24"/>
          <w:szCs w:val="24"/>
        </w:rPr>
      </w:pPr>
      <w:r w:rsidRPr="00F46E5B">
        <w:rPr>
          <w:rFonts w:ascii="Times New Roman" w:hAnsi="Times New Roman" w:cs="Times New Roman"/>
          <w:color w:val="000000"/>
          <w:sz w:val="24"/>
          <w:szCs w:val="24"/>
        </w:rPr>
        <w:t>Section</w:t>
      </w:r>
      <w:r w:rsidR="000C3553" w:rsidRPr="00F46E5B">
        <w:rPr>
          <w:rFonts w:ascii="Times New Roman" w:hAnsi="Times New Roman" w:cs="Times New Roman"/>
          <w:color w:val="000000"/>
          <w:sz w:val="24"/>
          <w:szCs w:val="24"/>
        </w:rPr>
        <w:t xml:space="preserve"> 114(a) of the</w:t>
      </w:r>
      <w:r w:rsidRPr="00F46E5B">
        <w:rPr>
          <w:rFonts w:ascii="Times New Roman" w:hAnsi="Times New Roman" w:cs="Times New Roman"/>
          <w:color w:val="000000"/>
          <w:sz w:val="24"/>
          <w:szCs w:val="24"/>
        </w:rPr>
        <w:t xml:space="preserve"> Seychelles</w:t>
      </w:r>
      <w:r w:rsidR="000C3553" w:rsidRPr="00F46E5B">
        <w:rPr>
          <w:rFonts w:ascii="Times New Roman" w:hAnsi="Times New Roman" w:cs="Times New Roman"/>
          <w:color w:val="000000"/>
          <w:sz w:val="24"/>
          <w:szCs w:val="24"/>
        </w:rPr>
        <w:t xml:space="preserve"> Criminal Procedure Code provides for the rules to be observed for the fra</w:t>
      </w:r>
      <w:r w:rsidR="00527695" w:rsidRPr="00F46E5B">
        <w:rPr>
          <w:rFonts w:ascii="Times New Roman" w:hAnsi="Times New Roman" w:cs="Times New Roman"/>
          <w:color w:val="000000"/>
          <w:sz w:val="24"/>
          <w:szCs w:val="24"/>
        </w:rPr>
        <w:t>ming of charges and information</w:t>
      </w:r>
      <w:r w:rsidR="000C3553" w:rsidRPr="00F46E5B">
        <w:rPr>
          <w:rFonts w:ascii="Times New Roman" w:hAnsi="Times New Roman" w:cs="Times New Roman"/>
          <w:color w:val="000000"/>
          <w:sz w:val="24"/>
          <w:szCs w:val="24"/>
        </w:rPr>
        <w:t>, and it states that –</w:t>
      </w:r>
    </w:p>
    <w:p w:rsidR="000C3553" w:rsidRPr="00F46E5B" w:rsidRDefault="000C3553" w:rsidP="000C3553">
      <w:pPr>
        <w:pStyle w:val="estatutes-1-sectionheading"/>
        <w:rPr>
          <w:i/>
          <w:iCs/>
          <w:color w:val="000000"/>
        </w:rPr>
      </w:pPr>
      <w:r w:rsidRPr="00F46E5B">
        <w:rPr>
          <w:i/>
          <w:iCs/>
          <w:color w:val="000000"/>
        </w:rPr>
        <w:t>“The following provisions shall apply</w:t>
      </w:r>
      <w:r w:rsidR="00527695" w:rsidRPr="00F46E5B">
        <w:rPr>
          <w:i/>
          <w:iCs/>
          <w:color w:val="000000"/>
        </w:rPr>
        <w:t xml:space="preserve"> to all charges and information</w:t>
      </w:r>
      <w:r w:rsidRPr="00F46E5B">
        <w:rPr>
          <w:i/>
          <w:iCs/>
          <w:color w:val="000000"/>
        </w:rPr>
        <w:t xml:space="preserve"> and, notwithstanding any rule of law or practice, a charge or an information shall, subject to the provisions of this Code, not be open to objection in respect of its form or contents if it is framed in accordance with the provisions of this Code-</w:t>
      </w:r>
    </w:p>
    <w:p w:rsidR="000C3553" w:rsidRPr="00F46E5B" w:rsidRDefault="000C3553" w:rsidP="000C3553">
      <w:pPr>
        <w:pStyle w:val="estatutes-3-paragraph"/>
        <w:rPr>
          <w:i/>
          <w:iCs/>
          <w:color w:val="000000"/>
        </w:rPr>
      </w:pPr>
      <w:r w:rsidRPr="00F46E5B">
        <w:rPr>
          <w:i/>
          <w:iCs/>
          <w:color w:val="000000"/>
        </w:rPr>
        <w:t>(a) (i) A count of a charge or an information shall commence with a statement of the offence charged, called the statement of offence;</w:t>
      </w:r>
    </w:p>
    <w:p w:rsidR="000C3553" w:rsidRPr="00F46E5B" w:rsidRDefault="000C3553" w:rsidP="000C3553">
      <w:pPr>
        <w:pStyle w:val="estatutes-4-subparagraph"/>
        <w:rPr>
          <w:i/>
          <w:iCs/>
          <w:color w:val="000000"/>
        </w:rPr>
      </w:pPr>
      <w:r w:rsidRPr="00F46E5B">
        <w:rPr>
          <w:i/>
          <w:iCs/>
          <w:color w:val="000000"/>
        </w:rPr>
        <w:t>(ii) the statement of offence shall describe the offence shortly in ordinary language, avoiding as far as possible the use of technical terms, and without necessarily stating all the essential elements of the offence, and if the offence charged is one created by enactment, shall contain a reference to the section of the enactment creating the offence;</w:t>
      </w:r>
    </w:p>
    <w:p w:rsidR="000C3553" w:rsidRPr="00F46E5B" w:rsidRDefault="000C3553" w:rsidP="000C3553">
      <w:pPr>
        <w:pStyle w:val="estatutes-4-subparagraph"/>
        <w:rPr>
          <w:i/>
          <w:iCs/>
          <w:color w:val="000000"/>
        </w:rPr>
      </w:pPr>
      <w:r w:rsidRPr="00F46E5B">
        <w:rPr>
          <w:i/>
          <w:iCs/>
          <w:color w:val="000000"/>
        </w:rPr>
        <w:t>(iii) after the statement of the offence, particulars of such offences shall be set out in ordinary language, in which the use of technical terms shall not be necessary;</w:t>
      </w:r>
    </w:p>
    <w:p w:rsidR="000C3553" w:rsidRPr="00F46E5B" w:rsidRDefault="000C3553" w:rsidP="000C3553">
      <w:pPr>
        <w:pStyle w:val="estatutes-3-paragraph"/>
        <w:rPr>
          <w:i/>
          <w:iCs/>
          <w:color w:val="000000"/>
        </w:rPr>
      </w:pPr>
      <w:r w:rsidRPr="00F46E5B">
        <w:rPr>
          <w:i/>
          <w:iCs/>
          <w:color w:val="000000"/>
        </w:rPr>
        <w:t>Provided that where any rule of law or any Act limits the particulars of an offence which are required to be given in a charge or an information, nothing in this paragraph shall require any more particulars to be given than those so required; …”</w:t>
      </w:r>
    </w:p>
    <w:p w:rsidR="000C3553" w:rsidRPr="00F46E5B" w:rsidRDefault="000C3553" w:rsidP="00A102B1">
      <w:pPr>
        <w:pStyle w:val="JudgmentText"/>
      </w:pPr>
      <w:r w:rsidRPr="00F46E5B">
        <w:t>From the</w:t>
      </w:r>
      <w:r w:rsidR="00BB2020" w:rsidRPr="00F46E5B">
        <w:t xml:space="preserve"> above provisions of the CPC, section</w:t>
      </w:r>
      <w:r w:rsidRPr="00F46E5B">
        <w:t xml:space="preserve"> 114(a) sets out certain rules regarding the fra</w:t>
      </w:r>
      <w:r w:rsidR="00527695" w:rsidRPr="00F46E5B">
        <w:t>ming of charges and information</w:t>
      </w:r>
      <w:r w:rsidRPr="00F46E5B">
        <w:t>. In pa</w:t>
      </w:r>
      <w:r w:rsidR="00BB2020" w:rsidRPr="00F46E5B">
        <w:t>rticular, section</w:t>
      </w:r>
      <w:r w:rsidRPr="00F46E5B">
        <w:t xml:space="preserve"> 114(a)</w:t>
      </w:r>
      <w:r w:rsidR="00527695" w:rsidRPr="00F46E5B">
        <w:t xml:space="preserve"> </w:t>
      </w:r>
      <w:r w:rsidRPr="00F46E5B">
        <w:t xml:space="preserve">(ii) states that if the offence charged is one created by an enactment, the charge shall contain a reference to the </w:t>
      </w:r>
      <w:r w:rsidRPr="00F46E5B">
        <w:lastRenderedPageBreak/>
        <w:t>section of the enactment creating the offence. Note the use of the word “shall” in the provision.</w:t>
      </w:r>
    </w:p>
    <w:p w:rsidR="000C3553" w:rsidRPr="00F46E5B" w:rsidRDefault="000C3553" w:rsidP="000C3553">
      <w:pPr>
        <w:rPr>
          <w:rFonts w:ascii="Times New Roman" w:hAnsi="Times New Roman" w:cs="Times New Roman"/>
          <w:color w:val="000000"/>
          <w:sz w:val="24"/>
          <w:szCs w:val="24"/>
        </w:rPr>
      </w:pPr>
    </w:p>
    <w:p w:rsidR="000C3553" w:rsidRPr="00F46E5B" w:rsidRDefault="000C3553" w:rsidP="00A102B1">
      <w:pPr>
        <w:pStyle w:val="JudgmentText"/>
      </w:pPr>
      <w:r w:rsidRPr="00F46E5B">
        <w:t>It is trite</w:t>
      </w:r>
      <w:r w:rsidR="00FA4E01">
        <w:t xml:space="preserve"> law</w:t>
      </w:r>
      <w:r w:rsidRPr="00F46E5B">
        <w:t xml:space="preserve"> that charges which are defective in form can be cured – see </w:t>
      </w:r>
      <w:r w:rsidRPr="00F46E5B">
        <w:rPr>
          <w:b/>
          <w:bCs/>
          <w:i/>
          <w:iCs/>
        </w:rPr>
        <w:t xml:space="preserve">Vidot v. R (1981) SLR 79; Rene v. R SCA 3/1999, LC 158; </w:t>
      </w:r>
      <w:bookmarkStart w:id="0" w:name="_GoBack"/>
      <w:r w:rsidRPr="00F46E5B">
        <w:rPr>
          <w:b/>
          <w:bCs/>
          <w:i/>
          <w:iCs/>
        </w:rPr>
        <w:t xml:space="preserve">Beeharry </w:t>
      </w:r>
      <w:bookmarkEnd w:id="0"/>
      <w:r w:rsidRPr="00F46E5B">
        <w:rPr>
          <w:b/>
          <w:bCs/>
          <w:i/>
          <w:iCs/>
        </w:rPr>
        <w:t>v. R (2010) SLR 470</w:t>
      </w:r>
      <w:r w:rsidRPr="00F46E5B">
        <w:t xml:space="preserve">. It is also trite that charges brought under a wrong section of a law may not render a count bad in law – see </w:t>
      </w:r>
      <w:r w:rsidRPr="00F46E5B">
        <w:rPr>
          <w:b/>
          <w:bCs/>
          <w:i/>
          <w:iCs/>
        </w:rPr>
        <w:t xml:space="preserve">Hibonne v. R (1976) SLR 44 </w:t>
      </w:r>
      <w:r w:rsidRPr="00F46E5B">
        <w:t>where it was held that a charge sheet which quotes the wrong section of the Penal Code and does not mention all the elements of a felony may not render the count bad in law or occasion a failure of justice.</w:t>
      </w:r>
    </w:p>
    <w:p w:rsidR="000C3553" w:rsidRPr="00F46E5B" w:rsidRDefault="000C3553" w:rsidP="000C3553">
      <w:pPr>
        <w:rPr>
          <w:rFonts w:ascii="Times New Roman" w:hAnsi="Times New Roman" w:cs="Times New Roman"/>
          <w:color w:val="000000"/>
          <w:sz w:val="24"/>
          <w:szCs w:val="24"/>
        </w:rPr>
      </w:pPr>
    </w:p>
    <w:p w:rsidR="000C3553" w:rsidRPr="00F46E5B" w:rsidRDefault="000C3553" w:rsidP="00A102B1">
      <w:pPr>
        <w:pStyle w:val="JudgmentText"/>
      </w:pPr>
      <w:r w:rsidRPr="00F46E5B">
        <w:t>A perusal of the Companies Act will show that sections 203 – 304 of the Act have been repealed</w:t>
      </w:r>
      <w:r w:rsidR="00F3379D" w:rsidRPr="00F46E5B">
        <w:t xml:space="preserve"> by the provisions of the Insolvency Act 2013</w:t>
      </w:r>
      <w:r w:rsidRPr="00F46E5B">
        <w:t>. This repeal is inclusive of section 288(b) &amp; (c) under which the applicant has brought counts 2 and 3 in the formal charge filed on April</w:t>
      </w:r>
      <w:r w:rsidR="00FA4E01">
        <w:t xml:space="preserve"> 12, 2021. So, while it is good law</w:t>
      </w:r>
      <w:r w:rsidRPr="00F46E5B">
        <w:t xml:space="preserve"> that defective charges can be cured and charges brought under the wrong section of a law do not render the charges bad in law, it is also trite that a person cannot be charged and convicted for what is not an offence – see </w:t>
      </w:r>
      <w:r w:rsidRPr="00F46E5B">
        <w:rPr>
          <w:b/>
          <w:bCs/>
          <w:i/>
          <w:iCs/>
        </w:rPr>
        <w:t xml:space="preserve">Air Seychelles v. R SSC (1995), LSC 201 (42). </w:t>
      </w:r>
    </w:p>
    <w:p w:rsidR="000C3553" w:rsidRPr="00F46E5B" w:rsidRDefault="000C3553" w:rsidP="000C3553">
      <w:pPr>
        <w:rPr>
          <w:rFonts w:ascii="Times New Roman" w:hAnsi="Times New Roman" w:cs="Times New Roman"/>
          <w:color w:val="000000"/>
          <w:sz w:val="24"/>
          <w:szCs w:val="24"/>
        </w:rPr>
      </w:pPr>
    </w:p>
    <w:p w:rsidR="00B74DAE" w:rsidRPr="001448E0" w:rsidRDefault="000C3553" w:rsidP="00A102B1">
      <w:pPr>
        <w:pStyle w:val="JudgmentText"/>
      </w:pPr>
      <w:r w:rsidRPr="00F46E5B">
        <w:rPr>
          <w:color w:val="000000"/>
        </w:rPr>
        <w:t xml:space="preserve">In the present application, the applicant has brought counts 2 and 3 in his formal charge under a </w:t>
      </w:r>
      <w:r w:rsidRPr="001448E0">
        <w:t>section of the Comp</w:t>
      </w:r>
      <w:r w:rsidR="004D3F4E" w:rsidRPr="001448E0">
        <w:t>anies Act that is no longer on the statute book</w:t>
      </w:r>
      <w:r w:rsidR="00F9164B">
        <w:t>. In other words, those</w:t>
      </w:r>
      <w:r w:rsidRPr="001448E0">
        <w:t xml:space="preserve"> section</w:t>
      </w:r>
      <w:r w:rsidR="00F9164B">
        <w:t>s</w:t>
      </w:r>
      <w:r w:rsidRPr="001448E0">
        <w:t xml:space="preserve"> of th</w:t>
      </w:r>
      <w:r w:rsidR="004D3F4E" w:rsidRPr="001448E0">
        <w:t>e Companies Act is no longer known to law</w:t>
      </w:r>
      <w:r w:rsidRPr="001448E0">
        <w:t>. It therefor</w:t>
      </w:r>
      <w:r w:rsidR="004D3F4E" w:rsidRPr="001448E0">
        <w:t>e follows that any offences</w:t>
      </w:r>
      <w:r w:rsidR="000D3C04" w:rsidRPr="001448E0">
        <w:t xml:space="preserve"> </w:t>
      </w:r>
      <w:r w:rsidR="00FA4E01" w:rsidRPr="001448E0">
        <w:t>not on the statute books</w:t>
      </w:r>
      <w:r w:rsidR="004D3F4E" w:rsidRPr="001448E0">
        <w:t xml:space="preserve"> </w:t>
      </w:r>
      <w:r w:rsidRPr="001448E0">
        <w:t>are not known to law. This application has therefore fail</w:t>
      </w:r>
      <w:r w:rsidR="00FA4E01" w:rsidRPr="001448E0">
        <w:t>ed this</w:t>
      </w:r>
      <w:r w:rsidRPr="001448E0">
        <w:t xml:space="preserve"> primary test for the grant of permission to</w:t>
      </w:r>
      <w:r w:rsidR="00FE4856" w:rsidRPr="001448E0">
        <w:t xml:space="preserve"> commence a private prosecution in respect of count 2 and 3 on this basis.</w:t>
      </w:r>
    </w:p>
    <w:p w:rsidR="000C3553" w:rsidRPr="001448E0" w:rsidRDefault="00527695" w:rsidP="00A102B1">
      <w:pPr>
        <w:pStyle w:val="JudgmentText"/>
      </w:pPr>
      <w:r w:rsidRPr="001448E0">
        <w:t>Having failed this</w:t>
      </w:r>
      <w:r w:rsidR="000C3553" w:rsidRPr="001448E0">
        <w:t xml:space="preserve"> primary test, permission to commence a private prosecution must be refused.</w:t>
      </w:r>
    </w:p>
    <w:p w:rsidR="00CC3A8F" w:rsidRPr="00F46E5B" w:rsidRDefault="00527695" w:rsidP="001452B4">
      <w:pPr>
        <w:pStyle w:val="JudgmentText"/>
        <w:rPr>
          <w:color w:val="202122"/>
        </w:rPr>
      </w:pPr>
      <w:r w:rsidRPr="001448E0">
        <w:t>Moreover,</w:t>
      </w:r>
      <w:r w:rsidR="00C152D0" w:rsidRPr="001448E0">
        <w:t xml:space="preserve"> </w:t>
      </w:r>
      <w:r w:rsidR="00B66754" w:rsidRPr="001448E0">
        <w:t>i</w:t>
      </w:r>
      <w:r w:rsidR="00B74DAE" w:rsidRPr="001448E0">
        <w:t>n count 1, though the</w:t>
      </w:r>
      <w:r w:rsidR="004D3F4E" w:rsidRPr="001448E0">
        <w:t xml:space="preserve"> proposed</w:t>
      </w:r>
      <w:r w:rsidR="00B74DAE" w:rsidRPr="001448E0">
        <w:t xml:space="preserve"> statement </w:t>
      </w:r>
      <w:r w:rsidRPr="001448E0">
        <w:t>of of</w:t>
      </w:r>
      <w:r w:rsidR="004D3F4E" w:rsidRPr="001448E0">
        <w:t>fence avers one offence and this relates</w:t>
      </w:r>
      <w:r w:rsidR="00B74DAE" w:rsidRPr="001448E0">
        <w:t xml:space="preserve"> to “ </w:t>
      </w:r>
      <w:r w:rsidR="00B74DAE" w:rsidRPr="001448E0">
        <w:rPr>
          <w:i/>
        </w:rPr>
        <w:t xml:space="preserve">Disobeying </w:t>
      </w:r>
      <w:r w:rsidR="00B74DAE" w:rsidRPr="001448E0">
        <w:rPr>
          <w:b/>
          <w:i/>
        </w:rPr>
        <w:t>a lawful</w:t>
      </w:r>
      <w:r w:rsidR="00B74DAE" w:rsidRPr="001448E0">
        <w:rPr>
          <w:i/>
        </w:rPr>
        <w:t xml:space="preserve"> order of the court…, ”</w:t>
      </w:r>
      <w:r w:rsidRPr="001448E0">
        <w:t>,</w:t>
      </w:r>
      <w:r w:rsidR="00B74DAE" w:rsidRPr="001448E0">
        <w:t xml:space="preserve"> the particulars of offence that </w:t>
      </w:r>
      <w:r w:rsidR="00B74DAE" w:rsidRPr="001448E0">
        <w:lastRenderedPageBreak/>
        <w:t>follows</w:t>
      </w:r>
      <w:r w:rsidR="004D3F4E" w:rsidRPr="001448E0">
        <w:t>, however,</w:t>
      </w:r>
      <w:r w:rsidR="00B74DAE" w:rsidRPr="001448E0">
        <w:t xml:space="preserve"> relates to two different</w:t>
      </w:r>
      <w:r w:rsidRPr="001448E0">
        <w:t xml:space="preserve"> lawful</w:t>
      </w:r>
      <w:r w:rsidR="00B74DAE" w:rsidRPr="001448E0">
        <w:t xml:space="preserve"> court orders of the Supreme Court , that</w:t>
      </w:r>
      <w:r w:rsidRPr="001448E0">
        <w:t xml:space="preserve"> is</w:t>
      </w:r>
      <w:r w:rsidR="00B74DAE" w:rsidRPr="001448E0">
        <w:t xml:space="preserve"> the one arising in CS 23</w:t>
      </w:r>
      <w:r w:rsidR="009E26C4" w:rsidRPr="001448E0">
        <w:t>/19 and the one arising in CS</w:t>
      </w:r>
      <w:r w:rsidR="00B74DAE" w:rsidRPr="001448E0">
        <w:t xml:space="preserve"> 931/20. This clearly amount</w:t>
      </w:r>
      <w:r w:rsidR="00B66754" w:rsidRPr="001448E0">
        <w:t>s</w:t>
      </w:r>
      <w:r w:rsidR="00B74DAE" w:rsidRPr="001448E0">
        <w:t xml:space="preserve"> to duplicity.</w:t>
      </w:r>
      <w:r w:rsidR="00CC3A8F" w:rsidRPr="001448E0">
        <w:rPr>
          <w:b/>
          <w:bCs/>
        </w:rPr>
        <w:t xml:space="preserve"> </w:t>
      </w:r>
      <w:r w:rsidR="00CC3A8F" w:rsidRPr="001448E0">
        <w:rPr>
          <w:bCs/>
        </w:rPr>
        <w:t>Duplicity</w:t>
      </w:r>
      <w:r w:rsidR="00CC3A8F" w:rsidRPr="001448E0">
        <w:t> is the </w:t>
      </w:r>
      <w:r w:rsidR="00994BFD" w:rsidRPr="001448E0">
        <w:t>error</w:t>
      </w:r>
      <w:r w:rsidR="00CC3A8F" w:rsidRPr="001448E0">
        <w:t> committed when the charge (known as a </w:t>
      </w:r>
      <w:r w:rsidR="001452B4">
        <w:t>“</w:t>
      </w:r>
      <w:r w:rsidR="00CC3A8F" w:rsidRPr="001448E0">
        <w:rPr>
          <w:i/>
          <w:iCs/>
        </w:rPr>
        <w:t>count</w:t>
      </w:r>
      <w:r w:rsidR="001452B4">
        <w:rPr>
          <w:i/>
          <w:iCs/>
        </w:rPr>
        <w:t>”</w:t>
      </w:r>
      <w:r w:rsidR="00CC3A8F" w:rsidRPr="001448E0">
        <w:t>) on an </w:t>
      </w:r>
      <w:r w:rsidR="00994BFD" w:rsidRPr="001448E0">
        <w:t xml:space="preserve">indictment </w:t>
      </w:r>
      <w:r w:rsidR="00CC3A8F" w:rsidRPr="001448E0">
        <w:t>describes two different </w:t>
      </w:r>
      <w:r w:rsidR="00CC3A8F" w:rsidRPr="00F46E5B">
        <w:t>offences</w:t>
      </w:r>
      <w:r w:rsidR="00CC3A8F" w:rsidRPr="00F46E5B">
        <w:rPr>
          <w:color w:val="202122"/>
        </w:rPr>
        <w:t>.</w:t>
      </w:r>
    </w:p>
    <w:p w:rsidR="00CC3A8F" w:rsidRPr="00F46E5B" w:rsidRDefault="00C152D0" w:rsidP="001452B4">
      <w:pPr>
        <w:pStyle w:val="JudgmentText"/>
      </w:pPr>
      <w:r w:rsidRPr="00F46E5B">
        <w:t xml:space="preserve">An information such as the intended information relied upon by the applicant in this case </w:t>
      </w:r>
      <w:r w:rsidR="00CC3A8F" w:rsidRPr="00F46E5B">
        <w:t>may contain more than one count, but each count must allege only one offence, so that the defendant</w:t>
      </w:r>
      <w:r w:rsidR="004D3F4E" w:rsidRPr="00F46E5B">
        <w:t> and the court</w:t>
      </w:r>
      <w:r w:rsidR="00CC3A8F" w:rsidRPr="00F46E5B">
        <w:t xml:space="preserve"> can know precisely of what offences he or she is accused</w:t>
      </w:r>
      <w:r w:rsidR="004D3F4E" w:rsidRPr="00F46E5B">
        <w:t xml:space="preserve"> of</w:t>
      </w:r>
      <w:r w:rsidR="00CC3A8F" w:rsidRPr="00F46E5B">
        <w:t>. If a count is poorly drafted so that it alleges two offences, it is said to be "duplicitous". A duplicitous count is defective and must be quashed by the judge, unless the judge permits the count to be amended so that it only alleges one offence, or is split into two counts. If a duplicitous count is not noticed until after the defendant has been convicted on it, the verdict may be void.</w:t>
      </w:r>
    </w:p>
    <w:p w:rsidR="00CC3A8F" w:rsidRPr="00F46E5B" w:rsidRDefault="00C152D0" w:rsidP="001452B4">
      <w:pPr>
        <w:pStyle w:val="JudgmentText"/>
        <w:rPr>
          <w:color w:val="202122"/>
        </w:rPr>
      </w:pPr>
      <w:r w:rsidRPr="00F46E5B">
        <w:t>The English Court of Appeal held in</w:t>
      </w:r>
      <w:r w:rsidRPr="00FA4E01">
        <w:rPr>
          <w:b/>
        </w:rPr>
        <w:t xml:space="preserve"> </w:t>
      </w:r>
      <w:r w:rsidRPr="00FA4E01">
        <w:rPr>
          <w:rStyle w:val="Emphasis"/>
          <w:b/>
          <w:i w:val="0"/>
        </w:rPr>
        <w:t xml:space="preserve">R. v. Greenfield [1973] 1 W.L.R. 1151 </w:t>
      </w:r>
      <w:r w:rsidRPr="00FA4E01">
        <w:rPr>
          <w:rStyle w:val="Emphasis"/>
          <w:i w:val="0"/>
        </w:rPr>
        <w:t>that</w:t>
      </w:r>
      <w:r w:rsidRPr="00F46E5B">
        <w:rPr>
          <w:rStyle w:val="Emphasis"/>
        </w:rPr>
        <w:t xml:space="preserve"> </w:t>
      </w:r>
      <w:r w:rsidR="00FA4E01">
        <w:rPr>
          <w:rStyle w:val="Emphasis"/>
        </w:rPr>
        <w:t>“</w:t>
      </w:r>
      <w:r w:rsidRPr="00F46E5B">
        <w:rPr>
          <w:rStyle w:val="Emphasis"/>
        </w:rPr>
        <w:t>duplicity is an error in form, that is, it must be apparent in the wording of the count itself and not appear from a consideration of the evidence</w:t>
      </w:r>
      <w:r w:rsidR="00FA4E01">
        <w:rPr>
          <w:rStyle w:val="Emphasis"/>
        </w:rPr>
        <w:t>”</w:t>
      </w:r>
      <w:r w:rsidRPr="00F46E5B">
        <w:t>.</w:t>
      </w:r>
    </w:p>
    <w:p w:rsidR="00B74DAE" w:rsidRPr="00F46E5B" w:rsidRDefault="00B74DAE" w:rsidP="001452B4">
      <w:pPr>
        <w:pStyle w:val="JudgmentText"/>
      </w:pPr>
      <w:r w:rsidRPr="00F46E5B">
        <w:t xml:space="preserve"> Accordingly, this count is</w:t>
      </w:r>
      <w:r w:rsidR="00C152D0" w:rsidRPr="00F46E5B">
        <w:t xml:space="preserve"> also</w:t>
      </w:r>
      <w:r w:rsidRPr="00F46E5B">
        <w:t xml:space="preserve"> vexatious on the ground of duplicity and leave to proceed will not be given on this basis</w:t>
      </w:r>
    </w:p>
    <w:p w:rsidR="000C3553" w:rsidRPr="00F46E5B" w:rsidRDefault="000C3553" w:rsidP="000C3553">
      <w:pPr>
        <w:rPr>
          <w:rFonts w:ascii="Times New Roman" w:hAnsi="Times New Roman" w:cs="Times New Roman"/>
          <w:color w:val="000000"/>
          <w:sz w:val="24"/>
          <w:szCs w:val="24"/>
        </w:rPr>
      </w:pPr>
    </w:p>
    <w:p w:rsidR="000C3553" w:rsidRPr="00F46E5B" w:rsidRDefault="000C3553" w:rsidP="000C3553">
      <w:pPr>
        <w:rPr>
          <w:rFonts w:ascii="Times New Roman" w:hAnsi="Times New Roman" w:cs="Times New Roman"/>
          <w:b/>
          <w:bCs/>
          <w:sz w:val="24"/>
          <w:szCs w:val="24"/>
        </w:rPr>
      </w:pPr>
      <w:r w:rsidRPr="00F46E5B">
        <w:rPr>
          <w:rFonts w:ascii="Times New Roman" w:hAnsi="Times New Roman" w:cs="Times New Roman"/>
          <w:b/>
          <w:bCs/>
          <w:sz w:val="24"/>
          <w:szCs w:val="24"/>
          <w:u w:val="single"/>
        </w:rPr>
        <w:t>Issue 2</w:t>
      </w:r>
      <w:r w:rsidRPr="00F46E5B">
        <w:rPr>
          <w:rFonts w:ascii="Times New Roman" w:hAnsi="Times New Roman" w:cs="Times New Roman"/>
          <w:b/>
          <w:bCs/>
          <w:sz w:val="24"/>
          <w:szCs w:val="24"/>
        </w:rPr>
        <w:t xml:space="preserve"> – Is the present application before the Court premature</w:t>
      </w:r>
      <w:r w:rsidR="000A76F0" w:rsidRPr="00F46E5B">
        <w:rPr>
          <w:rFonts w:ascii="Times New Roman" w:hAnsi="Times New Roman" w:cs="Times New Roman"/>
          <w:b/>
          <w:bCs/>
          <w:sz w:val="24"/>
          <w:szCs w:val="24"/>
        </w:rPr>
        <w:t xml:space="preserve"> and vexatious</w:t>
      </w:r>
      <w:r w:rsidRPr="00F46E5B">
        <w:rPr>
          <w:rFonts w:ascii="Times New Roman" w:hAnsi="Times New Roman" w:cs="Times New Roman"/>
          <w:b/>
          <w:bCs/>
          <w:sz w:val="24"/>
          <w:szCs w:val="24"/>
        </w:rPr>
        <w:t xml:space="preserve"> in view of the pending appeal before the Court of Appeal</w:t>
      </w:r>
      <w:r w:rsidR="000A76F0" w:rsidRPr="00F46E5B">
        <w:rPr>
          <w:rFonts w:ascii="Times New Roman" w:hAnsi="Times New Roman" w:cs="Times New Roman"/>
          <w:b/>
          <w:bCs/>
          <w:sz w:val="24"/>
          <w:szCs w:val="24"/>
        </w:rPr>
        <w:t xml:space="preserve"> and the dismissal of the applicant’s petition for liquidation of Vijay?</w:t>
      </w:r>
    </w:p>
    <w:p w:rsidR="000C3553" w:rsidRPr="00F46E5B" w:rsidRDefault="000C3553" w:rsidP="000C3553">
      <w:pPr>
        <w:rPr>
          <w:rFonts w:ascii="Times New Roman" w:hAnsi="Times New Roman" w:cs="Times New Roman"/>
          <w:color w:val="000000"/>
          <w:sz w:val="24"/>
          <w:szCs w:val="24"/>
        </w:rPr>
      </w:pPr>
    </w:p>
    <w:p w:rsidR="000C3553" w:rsidRPr="00F46E5B" w:rsidRDefault="00FA4E01" w:rsidP="000C3553">
      <w:pPr>
        <w:spacing w:line="252" w:lineRule="auto"/>
        <w:rPr>
          <w:rFonts w:ascii="Times New Roman" w:hAnsi="Times New Roman" w:cs="Times New Roman"/>
          <w:bCs/>
          <w:sz w:val="24"/>
          <w:szCs w:val="24"/>
        </w:rPr>
      </w:pPr>
      <w:r>
        <w:rPr>
          <w:rFonts w:ascii="Times New Roman" w:hAnsi="Times New Roman" w:cs="Times New Roman"/>
          <w:bCs/>
          <w:sz w:val="24"/>
          <w:szCs w:val="24"/>
        </w:rPr>
        <w:t>Following the decision</w:t>
      </w:r>
      <w:r w:rsidR="00C152D0" w:rsidRPr="00F46E5B">
        <w:rPr>
          <w:rFonts w:ascii="Times New Roman" w:hAnsi="Times New Roman" w:cs="Times New Roman"/>
          <w:bCs/>
          <w:sz w:val="24"/>
          <w:szCs w:val="24"/>
        </w:rPr>
        <w:t xml:space="preserve"> in</w:t>
      </w:r>
      <w:r w:rsidR="000A76F0" w:rsidRPr="00F46E5B">
        <w:rPr>
          <w:rFonts w:ascii="Times New Roman" w:hAnsi="Times New Roman" w:cs="Times New Roman"/>
          <w:bCs/>
          <w:sz w:val="24"/>
          <w:szCs w:val="24"/>
        </w:rPr>
        <w:t xml:space="preserve"> CS23 /19 </w:t>
      </w:r>
      <w:r w:rsidR="000C3553" w:rsidRPr="00F46E5B">
        <w:rPr>
          <w:rFonts w:ascii="Times New Roman" w:hAnsi="Times New Roman" w:cs="Times New Roman"/>
          <w:bCs/>
          <w:sz w:val="24"/>
          <w:szCs w:val="24"/>
        </w:rPr>
        <w:t>V</w:t>
      </w:r>
      <w:r w:rsidR="00C152D0" w:rsidRPr="00F46E5B">
        <w:rPr>
          <w:rFonts w:ascii="Times New Roman" w:hAnsi="Times New Roman" w:cs="Times New Roman"/>
          <w:bCs/>
          <w:sz w:val="24"/>
          <w:szCs w:val="24"/>
        </w:rPr>
        <w:t>ijay has brought 2 matters</w:t>
      </w:r>
      <w:r w:rsidR="000C3553" w:rsidRPr="00F46E5B">
        <w:rPr>
          <w:rFonts w:ascii="Times New Roman" w:hAnsi="Times New Roman" w:cs="Times New Roman"/>
          <w:bCs/>
          <w:sz w:val="24"/>
          <w:szCs w:val="24"/>
        </w:rPr>
        <w:t xml:space="preserve"> before the Court of Appeal. The first is Civil Appeal No: </w:t>
      </w:r>
      <w:r w:rsidR="000C3553" w:rsidRPr="00F46E5B">
        <w:rPr>
          <w:rFonts w:ascii="Times New Roman" w:hAnsi="Times New Roman" w:cs="Times New Roman"/>
          <w:bCs/>
          <w:i/>
          <w:sz w:val="24"/>
          <w:szCs w:val="24"/>
        </w:rPr>
        <w:t>SCA MA 23 of 2020</w:t>
      </w:r>
      <w:r w:rsidR="000C3553" w:rsidRPr="00F46E5B">
        <w:rPr>
          <w:rFonts w:ascii="Times New Roman" w:hAnsi="Times New Roman" w:cs="Times New Roman"/>
          <w:bCs/>
          <w:sz w:val="24"/>
          <w:szCs w:val="24"/>
        </w:rPr>
        <w:t xml:space="preserve"> arising from SCA 28 of 2020. This is a </w:t>
      </w:r>
      <w:r w:rsidR="000C3553" w:rsidRPr="00F46E5B">
        <w:rPr>
          <w:rFonts w:ascii="Times New Roman" w:hAnsi="Times New Roman" w:cs="Times New Roman"/>
          <w:sz w:val="24"/>
          <w:szCs w:val="24"/>
        </w:rPr>
        <w:t>Motion to suspend/stay the execution of its October 2, 2020 judgment in SCA 28/2020 and CS23/2019 of 30 June 2020, and</w:t>
      </w:r>
      <w:r w:rsidR="00C152D0" w:rsidRPr="00F46E5B">
        <w:rPr>
          <w:rFonts w:ascii="Times New Roman" w:hAnsi="Times New Roman" w:cs="Times New Roman"/>
          <w:sz w:val="24"/>
          <w:szCs w:val="24"/>
        </w:rPr>
        <w:t xml:space="preserve"> calling upon that court to</w:t>
      </w:r>
      <w:r w:rsidR="000C3553" w:rsidRPr="00F46E5B">
        <w:rPr>
          <w:rFonts w:ascii="Times New Roman" w:hAnsi="Times New Roman" w:cs="Times New Roman"/>
          <w:sz w:val="24"/>
          <w:szCs w:val="24"/>
        </w:rPr>
        <w:t xml:space="preserve"> consider rehearing matter as it did not consider key submissions/arguments that were before it in 2017. The issue raised in this application is:</w:t>
      </w:r>
    </w:p>
    <w:p w:rsidR="000C3553" w:rsidRPr="00573969" w:rsidRDefault="000C3553" w:rsidP="000C3553">
      <w:pPr>
        <w:spacing w:line="252" w:lineRule="auto"/>
        <w:jc w:val="both"/>
        <w:rPr>
          <w:rFonts w:ascii="Times New Roman" w:hAnsi="Times New Roman" w:cs="Times New Roman"/>
          <w:sz w:val="24"/>
          <w:szCs w:val="24"/>
        </w:rPr>
      </w:pPr>
      <w:r w:rsidRPr="00573969">
        <w:rPr>
          <w:rFonts w:ascii="Times New Roman" w:hAnsi="Times New Roman" w:cs="Times New Roman"/>
          <w:sz w:val="24"/>
          <w:szCs w:val="24"/>
        </w:rPr>
        <w:t xml:space="preserve">Whether the Court of Appeal has inherent jurisdiction to re-hear an appeal in a matter previously decided where it made a mistake and did not consider key submissions/arguments that were before it in 2017. </w:t>
      </w:r>
    </w:p>
    <w:p w:rsidR="000C3553" w:rsidRPr="00F46E5B" w:rsidRDefault="000C3553" w:rsidP="001452B4">
      <w:pPr>
        <w:pStyle w:val="JudgmentText"/>
        <w:rPr>
          <w:bCs/>
        </w:rPr>
      </w:pPr>
      <w:r w:rsidRPr="00F46E5B">
        <w:rPr>
          <w:bCs/>
        </w:rPr>
        <w:lastRenderedPageBreak/>
        <w:t xml:space="preserve">The second is </w:t>
      </w:r>
      <w:r w:rsidRPr="00F46E5B">
        <w:rPr>
          <w:bCs/>
          <w:i/>
        </w:rPr>
        <w:t>SCA MA 24 of 2020</w:t>
      </w:r>
      <w:r w:rsidRPr="00F46E5B">
        <w:rPr>
          <w:bCs/>
        </w:rPr>
        <w:t xml:space="preserve"> arising in SCA 28 of 2020</w:t>
      </w:r>
      <w:r w:rsidRPr="00F46E5B">
        <w:rPr>
          <w:b/>
          <w:bCs/>
        </w:rPr>
        <w:t xml:space="preserve"> </w:t>
      </w:r>
      <w:r w:rsidRPr="00F46E5B">
        <w:rPr>
          <w:bCs/>
        </w:rPr>
        <w:t>which is a</w:t>
      </w:r>
      <w:r w:rsidRPr="00F46E5B">
        <w:rPr>
          <w:b/>
          <w:bCs/>
        </w:rPr>
        <w:t xml:space="preserve"> </w:t>
      </w:r>
      <w:r w:rsidRPr="00F46E5B">
        <w:t xml:space="preserve">Motion filed pursuant to Court of Appeal judgment on October 2, 2020, in SCA 28/2020 seeking a revisit of the judgment on the basis that the court did not give Vijay an opportunity to be heard on matters raised by the PCA, and in which two Court of Appeal judges refused to participate. On the basis of this, Vijay states that it was denied the right to a fair trial. </w:t>
      </w:r>
    </w:p>
    <w:p w:rsidR="000C3553" w:rsidRPr="00F46E5B" w:rsidRDefault="00111F24" w:rsidP="001452B4">
      <w:pPr>
        <w:pStyle w:val="JudgmentText"/>
      </w:pPr>
      <w:r w:rsidRPr="00F46E5B">
        <w:t>In the same case Vijay requested</w:t>
      </w:r>
      <w:r w:rsidR="000C3553" w:rsidRPr="00F46E5B">
        <w:t xml:space="preserve"> that the Supreme Court judgment of June 30, 2020, in CS 23/2019 be suspended/stayed pending the hearing of the motion. The issue raised in this application is: </w:t>
      </w:r>
    </w:p>
    <w:p w:rsidR="000C3553" w:rsidRPr="00573969" w:rsidRDefault="000C3553" w:rsidP="001452B4">
      <w:pPr>
        <w:pStyle w:val="JudgmentText"/>
        <w:numPr>
          <w:ilvl w:val="0"/>
          <w:numId w:val="0"/>
        </w:numPr>
        <w:ind w:left="720"/>
      </w:pPr>
      <w:r w:rsidRPr="00573969">
        <w:t>Whether the Court of Appeal has jurisdiction to hear an application to reconsider its own judgment in an instance where there was a lack of procedural regularity.</w:t>
      </w:r>
    </w:p>
    <w:p w:rsidR="000C3553" w:rsidRPr="00F46E5B" w:rsidRDefault="000C3553" w:rsidP="001452B4">
      <w:pPr>
        <w:pStyle w:val="JudgmentText"/>
      </w:pPr>
      <w:r w:rsidRPr="00F46E5B">
        <w:t>The dates for ruling on both applications is June 1, 2021.</w:t>
      </w:r>
    </w:p>
    <w:p w:rsidR="000C3553" w:rsidRPr="00F46E5B" w:rsidRDefault="000C3553" w:rsidP="001452B4">
      <w:pPr>
        <w:pStyle w:val="JudgmentText"/>
      </w:pPr>
      <w:r w:rsidRPr="00F46E5B">
        <w:t xml:space="preserve">The doctrine of </w:t>
      </w:r>
      <w:r w:rsidRPr="00F46E5B">
        <w:rPr>
          <w:i/>
        </w:rPr>
        <w:t xml:space="preserve">lis pendens </w:t>
      </w:r>
      <w:r w:rsidRPr="00F46E5B">
        <w:t>is based on the Latin maxim “</w:t>
      </w:r>
      <w:r w:rsidRPr="00F46E5B">
        <w:rPr>
          <w:i/>
        </w:rPr>
        <w:t>pendent lite nihil innovature</w:t>
      </w:r>
      <w:r w:rsidRPr="00F46E5B">
        <w:t xml:space="preserve">” which means that during the pendency of litigation, nothing new should be introduced. Though the doctrine originally applied to property cases, it has later been adopted by equity to provide for a better administration of justice. The doctrine of </w:t>
      </w:r>
      <w:r w:rsidRPr="00FA4E01">
        <w:rPr>
          <w:i/>
        </w:rPr>
        <w:t>lis pendens</w:t>
      </w:r>
      <w:r w:rsidRPr="00F46E5B">
        <w:t xml:space="preserve"> has been held to be based on notice, wherein a pending suit constitutes constructive notice to keep matters in status quo. </w:t>
      </w:r>
    </w:p>
    <w:p w:rsidR="000C3553" w:rsidRPr="001448E0" w:rsidRDefault="000C3553" w:rsidP="001452B4">
      <w:pPr>
        <w:pStyle w:val="JudgmentText"/>
      </w:pPr>
      <w:r w:rsidRPr="001448E0">
        <w:t>This Court takes judicial notice of the above stated matters pending before the Court of Appeal</w:t>
      </w:r>
      <w:r w:rsidR="004D3F4E" w:rsidRPr="001448E0">
        <w:t>, which is the court of lasts jurisdiction. This court having taken cognizance of those pending matters before the apex court is concern</w:t>
      </w:r>
      <w:r w:rsidR="00641BC8" w:rsidRPr="001448E0">
        <w:t>ed</w:t>
      </w:r>
      <w:r w:rsidR="004D3F4E" w:rsidRPr="001448E0">
        <w:t xml:space="preserve"> that by granting</w:t>
      </w:r>
      <w:r w:rsidRPr="001448E0">
        <w:t xml:space="preserve"> this application for permission to commence a private prosecution, this Court </w:t>
      </w:r>
      <w:r w:rsidR="00696255" w:rsidRPr="001448E0">
        <w:t>would be unduly interfering with the appellant</w:t>
      </w:r>
      <w:r w:rsidR="00F65833">
        <w:t>s Constitutional Right of A</w:t>
      </w:r>
      <w:r w:rsidR="00696255" w:rsidRPr="001448E0">
        <w:t>ppeal</w:t>
      </w:r>
      <w:r w:rsidRPr="001448E0">
        <w:t>, especially when there is a motion for a stay of execution of both the Supreme Court judgment of June 30, 2020, in CS 23/2019, and the Court of Appeal judgment of October 2, 2020, in SCA 28/2020.</w:t>
      </w:r>
    </w:p>
    <w:p w:rsidR="000C3553" w:rsidRPr="00F46E5B" w:rsidRDefault="000C3553" w:rsidP="001452B4">
      <w:pPr>
        <w:pStyle w:val="JudgmentText"/>
        <w:rPr>
          <w:color w:val="000000"/>
        </w:rPr>
      </w:pPr>
      <w:r w:rsidRPr="001448E0">
        <w:t>This Court therefore finds</w:t>
      </w:r>
      <w:r w:rsidR="00696255" w:rsidRPr="001448E0">
        <w:t xml:space="preserve"> in the same vein</w:t>
      </w:r>
      <w:r w:rsidRPr="001448E0">
        <w:t xml:space="preserve"> that this application is</w:t>
      </w:r>
      <w:r w:rsidR="00696255" w:rsidRPr="001448E0">
        <w:t xml:space="preserve"> too</w:t>
      </w:r>
      <w:r w:rsidRPr="001448E0">
        <w:t xml:space="preserve"> premature and would offend against the doctrine of </w:t>
      </w:r>
      <w:r w:rsidR="00696255" w:rsidRPr="001448E0">
        <w:rPr>
          <w:i/>
        </w:rPr>
        <w:t>pendete litis</w:t>
      </w:r>
      <w:r w:rsidRPr="001448E0">
        <w:t>.</w:t>
      </w:r>
      <w:r w:rsidR="00696255" w:rsidRPr="001448E0">
        <w:t xml:space="preserve"> This makes</w:t>
      </w:r>
      <w:r w:rsidR="00BA74EE" w:rsidRPr="001448E0">
        <w:t xml:space="preserve"> count 1 vexatious.</w:t>
      </w:r>
      <w:r w:rsidR="00111F24" w:rsidRPr="001448E0">
        <w:t xml:space="preserve"> It would ma</w:t>
      </w:r>
      <w:r w:rsidR="00696255" w:rsidRPr="001448E0">
        <w:t xml:space="preserve">ke a mockery of justice for me </w:t>
      </w:r>
      <w:r w:rsidR="00111F24" w:rsidRPr="001448E0">
        <w:t>to grant the applicant the right to proceed</w:t>
      </w:r>
      <w:r w:rsidR="00696255" w:rsidRPr="001448E0">
        <w:t xml:space="preserve"> with a private prosecution</w:t>
      </w:r>
      <w:r w:rsidR="00111F24" w:rsidRPr="001448E0">
        <w:t xml:space="preserve"> on the basis of refusal to comply with a judicial decision for us to find that </w:t>
      </w:r>
      <w:r w:rsidR="00111F24" w:rsidRPr="001448E0">
        <w:lastRenderedPageBreak/>
        <w:t>tomorrow the apex court had overturn</w:t>
      </w:r>
      <w:r w:rsidR="00B66754" w:rsidRPr="001448E0">
        <w:t>ed</w:t>
      </w:r>
      <w:r w:rsidR="00111F24" w:rsidRPr="001448E0">
        <w:t xml:space="preserve"> the said decision and accepts the propositions of Vijay that it was in the right to appeal and not to accept t</w:t>
      </w:r>
      <w:r w:rsidR="00696255" w:rsidRPr="001448E0">
        <w:t>he said determination in the first place. I am</w:t>
      </w:r>
      <w:r w:rsidR="00111F24" w:rsidRPr="001448E0">
        <w:t xml:space="preserve"> especially concern</w:t>
      </w:r>
      <w:r w:rsidR="00B66754" w:rsidRPr="001448E0">
        <w:t>ed</w:t>
      </w:r>
      <w:r w:rsidR="00111F24" w:rsidRPr="001448E0">
        <w:t xml:space="preserve"> of the fact that by then irreparable harm would have been caused</w:t>
      </w:r>
      <w:r w:rsidR="00696255" w:rsidRPr="001448E0">
        <w:t xml:space="preserve"> to the appellant and its representative</w:t>
      </w:r>
      <w:r w:rsidR="00111F24" w:rsidRPr="001448E0">
        <w:t xml:space="preserve"> </w:t>
      </w:r>
      <w:r w:rsidR="00111F24" w:rsidRPr="00F46E5B">
        <w:rPr>
          <w:color w:val="000000"/>
        </w:rPr>
        <w:t>given the severe negative implications</w:t>
      </w:r>
      <w:r w:rsidR="00696255" w:rsidRPr="00F46E5B">
        <w:rPr>
          <w:color w:val="000000"/>
        </w:rPr>
        <w:t xml:space="preserve"> and connotations</w:t>
      </w:r>
      <w:r w:rsidR="00111F24" w:rsidRPr="00F46E5B">
        <w:rPr>
          <w:color w:val="000000"/>
        </w:rPr>
        <w:t xml:space="preserve"> of a criminal prosecution.</w:t>
      </w:r>
    </w:p>
    <w:p w:rsidR="00747B76" w:rsidRPr="005E4A5F" w:rsidRDefault="00747B76" w:rsidP="001452B4">
      <w:pPr>
        <w:pStyle w:val="JudgmentText"/>
      </w:pPr>
      <w:r w:rsidRPr="005E4A5F">
        <w:t>In paragraph 7 of his affidavit the representative of the</w:t>
      </w:r>
      <w:r w:rsidR="009E26C4" w:rsidRPr="005E4A5F">
        <w:t xml:space="preserve"> applicant has depos</w:t>
      </w:r>
      <w:r w:rsidR="00696255" w:rsidRPr="005E4A5F">
        <w:t>ed</w:t>
      </w:r>
      <w:r w:rsidRPr="005E4A5F">
        <w:t xml:space="preserve"> to the fact that the Disclosure Order of this court</w:t>
      </w:r>
      <w:r w:rsidR="00446ADB" w:rsidRPr="005E4A5F">
        <w:t xml:space="preserve"> in CSCS931/2020 MA227/2020 had com</w:t>
      </w:r>
      <w:r w:rsidRPr="005E4A5F">
        <w:t>pel</w:t>
      </w:r>
      <w:r w:rsidR="00B66754" w:rsidRPr="005E4A5F">
        <w:t>led</w:t>
      </w:r>
      <w:r w:rsidRPr="005E4A5F">
        <w:t xml:space="preserve"> Vijay to disclose financial information to the court by January 29, 2021, which order was not obeyed.</w:t>
      </w:r>
      <w:r w:rsidR="000A76F0" w:rsidRPr="005E4A5F">
        <w:t xml:space="preserve"> This is a direct reference to the 2</w:t>
      </w:r>
      <w:r w:rsidR="000A76F0" w:rsidRPr="005E4A5F">
        <w:rPr>
          <w:vertAlign w:val="superscript"/>
        </w:rPr>
        <w:t>nd</w:t>
      </w:r>
      <w:r w:rsidR="000A76F0" w:rsidRPr="005E4A5F">
        <w:t xml:space="preserve"> limb of the particulars of offence of count 1.</w:t>
      </w:r>
      <w:r w:rsidR="00446ADB" w:rsidRPr="005E4A5F">
        <w:t xml:space="preserve"> Ostensibly, this</w:t>
      </w:r>
      <w:r w:rsidRPr="005E4A5F">
        <w:t xml:space="preserve"> court </w:t>
      </w:r>
      <w:r w:rsidR="00696255" w:rsidRPr="005E4A5F">
        <w:t>did mak</w:t>
      </w:r>
      <w:r w:rsidRPr="005E4A5F">
        <w:t>e the order in</w:t>
      </w:r>
      <w:r w:rsidR="00446ADB" w:rsidRPr="005E4A5F">
        <w:t xml:space="preserve"> a miscellaneous application</w:t>
      </w:r>
      <w:r w:rsidRPr="005E4A5F">
        <w:t xml:space="preserve"> </w:t>
      </w:r>
      <w:r w:rsidR="009E26C4" w:rsidRPr="005E4A5F">
        <w:t xml:space="preserve">in </w:t>
      </w:r>
      <w:r w:rsidRPr="005E4A5F">
        <w:t>the winding up proceedings brought by Vijay, and the order w</w:t>
      </w:r>
      <w:r w:rsidR="00446ADB" w:rsidRPr="005E4A5F">
        <w:t>as for Vijay to disclose to the applicant a number of documents upon which it</w:t>
      </w:r>
      <w:r w:rsidR="00B66754" w:rsidRPr="005E4A5F">
        <w:t>s</w:t>
      </w:r>
      <w:r w:rsidR="00446ADB" w:rsidRPr="005E4A5F">
        <w:t xml:space="preserve"> petition for winding up was founded prior to the hearing of the petition</w:t>
      </w:r>
      <w:r w:rsidRPr="005E4A5F">
        <w:t>.</w:t>
      </w:r>
    </w:p>
    <w:p w:rsidR="00446ADB" w:rsidRPr="005E4A5F" w:rsidRDefault="00696255" w:rsidP="001452B4">
      <w:pPr>
        <w:pStyle w:val="JudgmentText"/>
      </w:pPr>
      <w:r w:rsidRPr="005E4A5F">
        <w:t xml:space="preserve">It transpired </w:t>
      </w:r>
      <w:r w:rsidR="00446ADB" w:rsidRPr="005E4A5F">
        <w:t>however</w:t>
      </w:r>
      <w:r w:rsidRPr="005E4A5F">
        <w:t xml:space="preserve"> that due to</w:t>
      </w:r>
      <w:r w:rsidR="00446ADB" w:rsidRPr="005E4A5F">
        <w:t xml:space="preserve"> non- compliance</w:t>
      </w:r>
      <w:r w:rsidRPr="005E4A5F">
        <w:t xml:space="preserve"> by the applicant to the mandatory procedural</w:t>
      </w:r>
      <w:r w:rsidR="00446ADB" w:rsidRPr="005E4A5F">
        <w:t xml:space="preserve"> requirements of</w:t>
      </w:r>
      <w:r w:rsidRPr="005E4A5F">
        <w:t xml:space="preserve"> the </w:t>
      </w:r>
      <w:r w:rsidR="00446ADB" w:rsidRPr="005E4A5F">
        <w:t>Insolvency Act</w:t>
      </w:r>
      <w:r w:rsidR="00FD74F5" w:rsidRPr="005E4A5F">
        <w:t xml:space="preserve"> 2013 and the Winding Up</w:t>
      </w:r>
      <w:r w:rsidRPr="005E4A5F">
        <w:t xml:space="preserve"> Regulations</w:t>
      </w:r>
      <w:r w:rsidR="00446ADB" w:rsidRPr="005E4A5F">
        <w:t>, the winding up petiti</w:t>
      </w:r>
      <w:r w:rsidRPr="005E4A5F">
        <w:t xml:space="preserve">on was dismissed on </w:t>
      </w:r>
      <w:r w:rsidR="00BA74EE" w:rsidRPr="005E4A5F">
        <w:t>the date fixed for hearing of the petition</w:t>
      </w:r>
      <w:r w:rsidR="00446ADB" w:rsidRPr="005E4A5F">
        <w:t>.</w:t>
      </w:r>
      <w:r w:rsidR="00B66754" w:rsidRPr="005E4A5F">
        <w:t xml:space="preserve"> </w:t>
      </w:r>
      <w:r w:rsidR="00446ADB" w:rsidRPr="005E4A5F">
        <w:t>As a result</w:t>
      </w:r>
      <w:r w:rsidRPr="005E4A5F">
        <w:t xml:space="preserve"> of this dismissal</w:t>
      </w:r>
      <w:r w:rsidR="00446ADB" w:rsidRPr="005E4A5F">
        <w:t xml:space="preserve"> all miscellaneous applications pending in the winding up proceedings, including the disclosure order lapsed and was rendered nugatory. </w:t>
      </w:r>
    </w:p>
    <w:p w:rsidR="00BA74EE" w:rsidRPr="005E4A5F" w:rsidRDefault="00BA74EE" w:rsidP="001452B4">
      <w:pPr>
        <w:pStyle w:val="JudgmentText"/>
      </w:pPr>
      <w:r w:rsidRPr="005E4A5F">
        <w:t>Accordingly, failure of Vijay to comply with this court ruling in MA 227/20 cannot be faulted, put aside of it constituting a criminal offence</w:t>
      </w:r>
      <w:r w:rsidR="00696255" w:rsidRPr="005E4A5F">
        <w:t xml:space="preserve"> as underlined above</w:t>
      </w:r>
      <w:r w:rsidRPr="005E4A5F">
        <w:t>. To that extent I find that this count is also vexatious on this basis.</w:t>
      </w:r>
    </w:p>
    <w:p w:rsidR="00B337BD" w:rsidRPr="00990F42" w:rsidRDefault="00BA74EE" w:rsidP="00B337BD">
      <w:pPr>
        <w:pStyle w:val="JudgmentText"/>
      </w:pPr>
      <w:r w:rsidRPr="00F46E5B">
        <w:t xml:space="preserve">In my final determination therefore, I </w:t>
      </w:r>
      <w:r w:rsidR="00521DF5" w:rsidRPr="00F46E5B">
        <w:t xml:space="preserve">dismiss this application </w:t>
      </w:r>
      <w:r w:rsidRPr="00F46E5B">
        <w:t>for permission to conduct a private prosecution on the grounds that it is vexatious and contain offences unknown to law.</w:t>
      </w:r>
    </w:p>
    <w:p w:rsidR="00907558" w:rsidRDefault="00907558" w:rsidP="00990F42">
      <w:pPr>
        <w:rPr>
          <w:rFonts w:ascii="Times New Roman" w:hAnsi="Times New Roman" w:cs="Times New Roman"/>
          <w:color w:val="000000" w:themeColor="text1"/>
          <w:sz w:val="24"/>
          <w:szCs w:val="24"/>
          <w:lang w:val="en-US"/>
        </w:rPr>
      </w:pPr>
      <w:r w:rsidRPr="00C018B8">
        <w:rPr>
          <w:rFonts w:ascii="Times New Roman" w:hAnsi="Times New Roman" w:cs="Times New Roman"/>
          <w:color w:val="000000" w:themeColor="text1"/>
          <w:sz w:val="24"/>
          <w:szCs w:val="24"/>
          <w:lang w:val="en-US"/>
        </w:rPr>
        <w:t>Signed, dated and delive</w:t>
      </w:r>
      <w:r w:rsidR="00233ACE" w:rsidRPr="00C018B8">
        <w:rPr>
          <w:rFonts w:ascii="Times New Roman" w:hAnsi="Times New Roman" w:cs="Times New Roman"/>
          <w:color w:val="000000" w:themeColor="text1"/>
          <w:sz w:val="24"/>
          <w:szCs w:val="24"/>
          <w:lang w:val="en-US"/>
        </w:rPr>
        <w:t>red at Ile du Port on 29</w:t>
      </w:r>
      <w:r w:rsidR="00696255" w:rsidRPr="00C018B8">
        <w:rPr>
          <w:rFonts w:ascii="Times New Roman" w:hAnsi="Times New Roman" w:cs="Times New Roman"/>
          <w:color w:val="000000" w:themeColor="text1"/>
          <w:sz w:val="24"/>
          <w:szCs w:val="24"/>
          <w:vertAlign w:val="superscript"/>
          <w:lang w:val="en-US"/>
        </w:rPr>
        <w:t xml:space="preserve">th </w:t>
      </w:r>
      <w:r w:rsidR="00B66754" w:rsidRPr="00C018B8">
        <w:rPr>
          <w:rFonts w:ascii="Times New Roman" w:hAnsi="Times New Roman" w:cs="Times New Roman"/>
          <w:color w:val="000000" w:themeColor="text1"/>
          <w:sz w:val="24"/>
          <w:szCs w:val="24"/>
          <w:lang w:val="en-US"/>
        </w:rPr>
        <w:t xml:space="preserve">April, </w:t>
      </w:r>
      <w:r w:rsidR="00233ACE" w:rsidRPr="00C018B8">
        <w:rPr>
          <w:rFonts w:ascii="Times New Roman" w:hAnsi="Times New Roman" w:cs="Times New Roman"/>
          <w:color w:val="000000" w:themeColor="text1"/>
          <w:sz w:val="24"/>
          <w:szCs w:val="24"/>
          <w:lang w:val="en-US"/>
        </w:rPr>
        <w:t>2021</w:t>
      </w:r>
    </w:p>
    <w:p w:rsidR="00990F42" w:rsidRPr="00C018B8" w:rsidRDefault="00990F42" w:rsidP="001452B4">
      <w:pPr>
        <w:ind w:firstLine="720"/>
        <w:rPr>
          <w:rFonts w:ascii="Times New Roman" w:hAnsi="Times New Roman" w:cs="Times New Roman"/>
          <w:color w:val="000000" w:themeColor="text1"/>
          <w:sz w:val="24"/>
          <w:szCs w:val="24"/>
          <w:lang w:val="en-US"/>
        </w:rPr>
      </w:pPr>
    </w:p>
    <w:p w:rsidR="001452B4" w:rsidRDefault="001452B4" w:rsidP="001452B4">
      <w:pPr>
        <w:pStyle w:val="JudgmentText"/>
        <w:numPr>
          <w:ilvl w:val="0"/>
          <w:numId w:val="0"/>
        </w:numPr>
        <w:spacing w:line="240" w:lineRule="auto"/>
        <w:rPr>
          <w:b/>
          <w:color w:val="000000" w:themeColor="text1"/>
        </w:rPr>
      </w:pPr>
      <w:r>
        <w:rPr>
          <w:b/>
          <w:color w:val="000000" w:themeColor="text1"/>
        </w:rPr>
        <w:t>______________</w:t>
      </w:r>
    </w:p>
    <w:p w:rsidR="005B12AA" w:rsidRPr="00C018B8" w:rsidRDefault="00B83988" w:rsidP="001452B4">
      <w:pPr>
        <w:pStyle w:val="JudgmentText"/>
        <w:numPr>
          <w:ilvl w:val="0"/>
          <w:numId w:val="0"/>
        </w:numPr>
        <w:spacing w:line="240" w:lineRule="auto"/>
        <w:rPr>
          <w:b/>
          <w:color w:val="000000" w:themeColor="text1"/>
        </w:rPr>
      </w:pPr>
      <w:r w:rsidRPr="00C018B8">
        <w:rPr>
          <w:b/>
          <w:color w:val="000000" w:themeColor="text1"/>
        </w:rPr>
        <w:t xml:space="preserve">R </w:t>
      </w:r>
      <w:r w:rsidR="00A145B4" w:rsidRPr="00C018B8">
        <w:rPr>
          <w:b/>
          <w:color w:val="000000" w:themeColor="text1"/>
        </w:rPr>
        <w:t>Govinden</w:t>
      </w:r>
      <w:r w:rsidR="001B5B09" w:rsidRPr="00C018B8">
        <w:rPr>
          <w:b/>
          <w:color w:val="000000" w:themeColor="text1"/>
        </w:rPr>
        <w:t xml:space="preserve"> </w:t>
      </w:r>
      <w:r w:rsidR="00233ACE" w:rsidRPr="00C018B8">
        <w:rPr>
          <w:b/>
          <w:color w:val="000000" w:themeColor="text1"/>
        </w:rPr>
        <w:t>C</w:t>
      </w:r>
      <w:r w:rsidR="001B5B09" w:rsidRPr="00C018B8">
        <w:rPr>
          <w:b/>
          <w:color w:val="000000" w:themeColor="text1"/>
        </w:rPr>
        <w:t>J</w:t>
      </w:r>
    </w:p>
    <w:p w:rsidR="00235626" w:rsidRPr="00F46E5B" w:rsidRDefault="00235626" w:rsidP="008577B7">
      <w:pPr>
        <w:keepNext/>
        <w:rPr>
          <w:rFonts w:ascii="Times New Roman" w:hAnsi="Times New Roman" w:cs="Times New Roman"/>
          <w:sz w:val="24"/>
          <w:szCs w:val="24"/>
        </w:rPr>
      </w:pPr>
      <w:bookmarkStart w:id="1" w:name="zoupio-_Toc521421129"/>
      <w:bookmarkStart w:id="2" w:name="zoupio-_Toc521421130"/>
      <w:bookmarkStart w:id="3" w:name="zoupio-_Toc521421131"/>
      <w:bookmarkStart w:id="4" w:name="_Toc521419756"/>
      <w:bookmarkStart w:id="5" w:name="zoupio-_Toc385333426"/>
      <w:bookmarkEnd w:id="1"/>
      <w:bookmarkEnd w:id="2"/>
      <w:bookmarkEnd w:id="3"/>
      <w:bookmarkEnd w:id="4"/>
      <w:bookmarkEnd w:id="5"/>
    </w:p>
    <w:sectPr w:rsidR="00235626" w:rsidRPr="00F46E5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E2" w:rsidRDefault="00B520E2" w:rsidP="006A68E2">
      <w:pPr>
        <w:spacing w:after="0" w:line="240" w:lineRule="auto"/>
      </w:pPr>
      <w:r>
        <w:separator/>
      </w:r>
    </w:p>
  </w:endnote>
  <w:endnote w:type="continuationSeparator" w:id="0">
    <w:p w:rsidR="00B520E2" w:rsidRDefault="00B520E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1B48E1">
        <w:pPr>
          <w:pStyle w:val="Footer"/>
          <w:jc w:val="center"/>
        </w:pPr>
        <w:r>
          <w:fldChar w:fldCharType="begin"/>
        </w:r>
        <w:r w:rsidR="00F33B83">
          <w:instrText xml:space="preserve"> PAGE   \* MERGEFORMAT </w:instrText>
        </w:r>
        <w:r>
          <w:fldChar w:fldCharType="separate"/>
        </w:r>
        <w:r w:rsidR="00F36B41">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E2" w:rsidRDefault="00B520E2" w:rsidP="006A68E2">
      <w:pPr>
        <w:spacing w:after="0" w:line="240" w:lineRule="auto"/>
      </w:pPr>
      <w:r>
        <w:separator/>
      </w:r>
    </w:p>
  </w:footnote>
  <w:footnote w:type="continuationSeparator" w:id="0">
    <w:p w:rsidR="00B520E2" w:rsidRDefault="00B520E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832505"/>
    <w:multiLevelType w:val="hybridMultilevel"/>
    <w:tmpl w:val="D6D657E2"/>
    <w:lvl w:ilvl="0" w:tplc="81145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FF0784"/>
    <w:multiLevelType w:val="hybridMultilevel"/>
    <w:tmpl w:val="B21ED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B174D"/>
    <w:multiLevelType w:val="hybridMultilevel"/>
    <w:tmpl w:val="D506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8"/>
  </w:num>
  <w:num w:numId="9">
    <w:abstractNumId w:val="0"/>
  </w:num>
  <w:num w:numId="10">
    <w:abstractNumId w:val="8"/>
  </w:num>
  <w:num w:numId="11">
    <w:abstractNumId w:val="8"/>
  </w:num>
  <w:num w:numId="12">
    <w:abstractNumId w:val="1"/>
  </w:num>
  <w:num w:numId="13">
    <w:abstractNumId w:val="4"/>
    <w:lvlOverride w:ilvl="0">
      <w:lvl w:ilvl="0">
        <w:start w:val="1"/>
        <w:numFmt w:val="decimal"/>
        <w:pStyle w:val="JudgmentText"/>
        <w:lvlText w:val="[%1]"/>
        <w:lvlJc w:val="left"/>
        <w:pPr>
          <w:ind w:left="1288"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TM0NDAzNzIxMzVQ0lEKTi0uzszPAykwrAUAcV0QBywAAAA="/>
  </w:docVars>
  <w:rsids>
    <w:rsidRoot w:val="00CC6AD0"/>
    <w:rsid w:val="000141CC"/>
    <w:rsid w:val="00025CDF"/>
    <w:rsid w:val="00027DD5"/>
    <w:rsid w:val="00040193"/>
    <w:rsid w:val="00062711"/>
    <w:rsid w:val="00071B84"/>
    <w:rsid w:val="00084700"/>
    <w:rsid w:val="0008560D"/>
    <w:rsid w:val="00090F7E"/>
    <w:rsid w:val="0009242F"/>
    <w:rsid w:val="0009388E"/>
    <w:rsid w:val="00097D19"/>
    <w:rsid w:val="000A76F0"/>
    <w:rsid w:val="000B1C51"/>
    <w:rsid w:val="000C3553"/>
    <w:rsid w:val="000D3C04"/>
    <w:rsid w:val="000F041F"/>
    <w:rsid w:val="00111F24"/>
    <w:rsid w:val="001135C2"/>
    <w:rsid w:val="001428B9"/>
    <w:rsid w:val="00144223"/>
    <w:rsid w:val="001448E0"/>
    <w:rsid w:val="001452B4"/>
    <w:rsid w:val="001723B1"/>
    <w:rsid w:val="00172F77"/>
    <w:rsid w:val="00191016"/>
    <w:rsid w:val="001A4E3B"/>
    <w:rsid w:val="001B48E1"/>
    <w:rsid w:val="001B5B09"/>
    <w:rsid w:val="001C78EC"/>
    <w:rsid w:val="001D000B"/>
    <w:rsid w:val="001D33D2"/>
    <w:rsid w:val="00200BBA"/>
    <w:rsid w:val="002015F8"/>
    <w:rsid w:val="00212006"/>
    <w:rsid w:val="0021402A"/>
    <w:rsid w:val="00214DB4"/>
    <w:rsid w:val="00233ACE"/>
    <w:rsid w:val="00235626"/>
    <w:rsid w:val="00243AE1"/>
    <w:rsid w:val="00245504"/>
    <w:rsid w:val="00250424"/>
    <w:rsid w:val="00287BBC"/>
    <w:rsid w:val="002A0B9A"/>
    <w:rsid w:val="002D4EB8"/>
    <w:rsid w:val="002E105F"/>
    <w:rsid w:val="002E2AE3"/>
    <w:rsid w:val="0031061B"/>
    <w:rsid w:val="003137B8"/>
    <w:rsid w:val="00336C15"/>
    <w:rsid w:val="00340AA4"/>
    <w:rsid w:val="00344425"/>
    <w:rsid w:val="00345360"/>
    <w:rsid w:val="00346D7F"/>
    <w:rsid w:val="003615E7"/>
    <w:rsid w:val="0037214A"/>
    <w:rsid w:val="00380619"/>
    <w:rsid w:val="003A6C9E"/>
    <w:rsid w:val="003E2E94"/>
    <w:rsid w:val="00403F4C"/>
    <w:rsid w:val="00405909"/>
    <w:rsid w:val="00405958"/>
    <w:rsid w:val="00412994"/>
    <w:rsid w:val="004208F4"/>
    <w:rsid w:val="00446ADB"/>
    <w:rsid w:val="00454295"/>
    <w:rsid w:val="00463B4E"/>
    <w:rsid w:val="004658F1"/>
    <w:rsid w:val="00472219"/>
    <w:rsid w:val="00481DE5"/>
    <w:rsid w:val="00481F4F"/>
    <w:rsid w:val="00496755"/>
    <w:rsid w:val="004A2599"/>
    <w:rsid w:val="004C16E0"/>
    <w:rsid w:val="004D045E"/>
    <w:rsid w:val="004D3F4E"/>
    <w:rsid w:val="004F296A"/>
    <w:rsid w:val="004F6DA4"/>
    <w:rsid w:val="005037C2"/>
    <w:rsid w:val="00515699"/>
    <w:rsid w:val="00521DF5"/>
    <w:rsid w:val="00527695"/>
    <w:rsid w:val="005453D6"/>
    <w:rsid w:val="00556652"/>
    <w:rsid w:val="005723B5"/>
    <w:rsid w:val="00573969"/>
    <w:rsid w:val="0058723D"/>
    <w:rsid w:val="005A5FCB"/>
    <w:rsid w:val="005B12AA"/>
    <w:rsid w:val="005D495F"/>
    <w:rsid w:val="005E4A5F"/>
    <w:rsid w:val="005F14AD"/>
    <w:rsid w:val="005F3294"/>
    <w:rsid w:val="0061354A"/>
    <w:rsid w:val="00614A0D"/>
    <w:rsid w:val="00635504"/>
    <w:rsid w:val="00637E36"/>
    <w:rsid w:val="00641BC8"/>
    <w:rsid w:val="00652326"/>
    <w:rsid w:val="0065388A"/>
    <w:rsid w:val="00662891"/>
    <w:rsid w:val="00662CEA"/>
    <w:rsid w:val="00696255"/>
    <w:rsid w:val="006A4A2C"/>
    <w:rsid w:val="006A68E2"/>
    <w:rsid w:val="006A7F64"/>
    <w:rsid w:val="006D6B78"/>
    <w:rsid w:val="0070371E"/>
    <w:rsid w:val="00704E69"/>
    <w:rsid w:val="00710ABB"/>
    <w:rsid w:val="00712FA3"/>
    <w:rsid w:val="00722761"/>
    <w:rsid w:val="00724413"/>
    <w:rsid w:val="00747B76"/>
    <w:rsid w:val="00764A27"/>
    <w:rsid w:val="00796B89"/>
    <w:rsid w:val="007A39EC"/>
    <w:rsid w:val="007B1871"/>
    <w:rsid w:val="007C18AC"/>
    <w:rsid w:val="007C4314"/>
    <w:rsid w:val="007D25FE"/>
    <w:rsid w:val="008001C8"/>
    <w:rsid w:val="00835BCC"/>
    <w:rsid w:val="00840881"/>
    <w:rsid w:val="008577B7"/>
    <w:rsid w:val="008B4325"/>
    <w:rsid w:val="008B580A"/>
    <w:rsid w:val="008C7730"/>
    <w:rsid w:val="008E2083"/>
    <w:rsid w:val="008E771B"/>
    <w:rsid w:val="00907558"/>
    <w:rsid w:val="00911B2B"/>
    <w:rsid w:val="00952755"/>
    <w:rsid w:val="009539C2"/>
    <w:rsid w:val="00990F42"/>
    <w:rsid w:val="00994BFD"/>
    <w:rsid w:val="009A769C"/>
    <w:rsid w:val="009B495E"/>
    <w:rsid w:val="009D2A13"/>
    <w:rsid w:val="009E26C4"/>
    <w:rsid w:val="009F125D"/>
    <w:rsid w:val="00A026A2"/>
    <w:rsid w:val="00A102B1"/>
    <w:rsid w:val="00A145B4"/>
    <w:rsid w:val="00A1590F"/>
    <w:rsid w:val="00A2058F"/>
    <w:rsid w:val="00AB544E"/>
    <w:rsid w:val="00AE1B8B"/>
    <w:rsid w:val="00B03209"/>
    <w:rsid w:val="00B13062"/>
    <w:rsid w:val="00B337BD"/>
    <w:rsid w:val="00B43750"/>
    <w:rsid w:val="00B5091E"/>
    <w:rsid w:val="00B520E2"/>
    <w:rsid w:val="00B65D11"/>
    <w:rsid w:val="00B66754"/>
    <w:rsid w:val="00B74DAE"/>
    <w:rsid w:val="00B82AA3"/>
    <w:rsid w:val="00B83988"/>
    <w:rsid w:val="00B950DF"/>
    <w:rsid w:val="00BA74EE"/>
    <w:rsid w:val="00BB1A3E"/>
    <w:rsid w:val="00BB2020"/>
    <w:rsid w:val="00BB5752"/>
    <w:rsid w:val="00BC73B1"/>
    <w:rsid w:val="00C018B8"/>
    <w:rsid w:val="00C152D0"/>
    <w:rsid w:val="00C2466E"/>
    <w:rsid w:val="00C36622"/>
    <w:rsid w:val="00C80501"/>
    <w:rsid w:val="00C847D7"/>
    <w:rsid w:val="00C855B4"/>
    <w:rsid w:val="00CA000A"/>
    <w:rsid w:val="00CC0380"/>
    <w:rsid w:val="00CC3A8F"/>
    <w:rsid w:val="00CC437E"/>
    <w:rsid w:val="00CC6AD0"/>
    <w:rsid w:val="00CD09C7"/>
    <w:rsid w:val="00CD650C"/>
    <w:rsid w:val="00CE508A"/>
    <w:rsid w:val="00CE7F1E"/>
    <w:rsid w:val="00D31F1B"/>
    <w:rsid w:val="00D33DBF"/>
    <w:rsid w:val="00D710E7"/>
    <w:rsid w:val="00DB633F"/>
    <w:rsid w:val="00E1659A"/>
    <w:rsid w:val="00E60147"/>
    <w:rsid w:val="00E636BF"/>
    <w:rsid w:val="00E64842"/>
    <w:rsid w:val="00E86BF7"/>
    <w:rsid w:val="00ED0BFC"/>
    <w:rsid w:val="00ED5E19"/>
    <w:rsid w:val="00EF13E2"/>
    <w:rsid w:val="00F13CCB"/>
    <w:rsid w:val="00F3379D"/>
    <w:rsid w:val="00F33B83"/>
    <w:rsid w:val="00F36B41"/>
    <w:rsid w:val="00F46E5B"/>
    <w:rsid w:val="00F50CA5"/>
    <w:rsid w:val="00F56EF7"/>
    <w:rsid w:val="00F65833"/>
    <w:rsid w:val="00F9164B"/>
    <w:rsid w:val="00F92956"/>
    <w:rsid w:val="00FA4E01"/>
    <w:rsid w:val="00FB2559"/>
    <w:rsid w:val="00FD74F5"/>
    <w:rsid w:val="00FE48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AFC3E-1916-4C13-AAD1-D7174596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06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A14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A14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A14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A14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A145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145B4"/>
  </w:style>
  <w:style w:type="paragraph" w:styleId="NormalWeb">
    <w:name w:val="Normal (Web)"/>
    <w:basedOn w:val="Normal"/>
    <w:uiPriority w:val="99"/>
    <w:semiHidden/>
    <w:unhideWhenUsed/>
    <w:rsid w:val="00B337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72F77"/>
    <w:rPr>
      <w:color w:val="0000FF"/>
      <w:u w:val="single"/>
    </w:rPr>
  </w:style>
  <w:style w:type="paragraph" w:styleId="HTMLPreformatted">
    <w:name w:val="HTML Preformatted"/>
    <w:basedOn w:val="Normal"/>
    <w:link w:val="HTMLPreformattedChar"/>
    <w:uiPriority w:val="99"/>
    <w:semiHidden/>
    <w:unhideWhenUsed/>
    <w:rsid w:val="00710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10ABB"/>
    <w:rPr>
      <w:rFonts w:ascii="Courier New" w:eastAsia="Times New Roman" w:hAnsi="Courier New" w:cs="Courier New"/>
      <w:sz w:val="20"/>
      <w:szCs w:val="20"/>
    </w:rPr>
  </w:style>
  <w:style w:type="paragraph" w:customStyle="1" w:styleId="estatutes-4-subparagraph">
    <w:name w:val="estatutes-4-subparagraph"/>
    <w:basedOn w:val="Normal"/>
    <w:rsid w:val="000C355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Emphasis">
    <w:name w:val="Emphasis"/>
    <w:basedOn w:val="DefaultParagraphFont"/>
    <w:uiPriority w:val="20"/>
    <w:qFormat/>
    <w:rsid w:val="00C15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80456144">
      <w:bodyDiv w:val="1"/>
      <w:marLeft w:val="0"/>
      <w:marRight w:val="0"/>
      <w:marTop w:val="0"/>
      <w:marBottom w:val="0"/>
      <w:divBdr>
        <w:top w:val="none" w:sz="0" w:space="0" w:color="auto"/>
        <w:left w:val="none" w:sz="0" w:space="0" w:color="auto"/>
        <w:bottom w:val="none" w:sz="0" w:space="0" w:color="auto"/>
        <w:right w:val="none" w:sz="0" w:space="0" w:color="auto"/>
      </w:divBdr>
    </w:div>
    <w:div w:id="1051225920">
      <w:bodyDiv w:val="1"/>
      <w:marLeft w:val="0"/>
      <w:marRight w:val="0"/>
      <w:marTop w:val="0"/>
      <w:marBottom w:val="0"/>
      <w:divBdr>
        <w:top w:val="none" w:sz="0" w:space="0" w:color="auto"/>
        <w:left w:val="none" w:sz="0" w:space="0" w:color="auto"/>
        <w:bottom w:val="none" w:sz="0" w:space="0" w:color="auto"/>
        <w:right w:val="none" w:sz="0" w:space="0" w:color="auto"/>
      </w:divBdr>
      <w:divsChild>
        <w:div w:id="53072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7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761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12367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1559753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59204839">
      <w:bodyDiv w:val="1"/>
      <w:marLeft w:val="0"/>
      <w:marRight w:val="0"/>
      <w:marTop w:val="0"/>
      <w:marBottom w:val="0"/>
      <w:divBdr>
        <w:top w:val="none" w:sz="0" w:space="0" w:color="auto"/>
        <w:left w:val="none" w:sz="0" w:space="0" w:color="auto"/>
        <w:bottom w:val="none" w:sz="0" w:space="0" w:color="auto"/>
        <w:right w:val="none" w:sz="0" w:space="0" w:color="auto"/>
      </w:divBdr>
    </w:div>
    <w:div w:id="1824392312">
      <w:bodyDiv w:val="1"/>
      <w:marLeft w:val="0"/>
      <w:marRight w:val="0"/>
      <w:marTop w:val="0"/>
      <w:marBottom w:val="0"/>
      <w:divBdr>
        <w:top w:val="none" w:sz="0" w:space="0" w:color="auto"/>
        <w:left w:val="none" w:sz="0" w:space="0" w:color="auto"/>
        <w:bottom w:val="none" w:sz="0" w:space="0" w:color="auto"/>
        <w:right w:val="none" w:sz="0" w:space="0" w:color="auto"/>
      </w:divBdr>
      <w:divsChild>
        <w:div w:id="184254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83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0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35CB-D473-44B6-9CE4-D5EFAB54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2908</Words>
  <Characters>13583</Characters>
  <Application>Microsoft Office Word</Application>
  <DocSecurity>0</DocSecurity>
  <Lines>219</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10</cp:revision>
  <cp:lastPrinted>2021-04-29T06:34:00Z</cp:lastPrinted>
  <dcterms:created xsi:type="dcterms:W3CDTF">2021-04-28T10:45:00Z</dcterms:created>
  <dcterms:modified xsi:type="dcterms:W3CDTF">2021-07-19T08:59:00Z</dcterms:modified>
</cp:coreProperties>
</file>