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3D2" w:rsidRPr="004A2599" w:rsidRDefault="00126B9A" w:rsidP="00214DB4">
      <w:pPr>
        <w:tabs>
          <w:tab w:val="left" w:pos="4092"/>
        </w:tabs>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 THE SUPREME COURT OF SEYCHELLES</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D46FC4"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2E2AE3" w:rsidRPr="004A2599" w:rsidRDefault="00E322B4"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[202</w:t>
      </w:r>
      <w:r w:rsidR="00E94D82">
        <w:rPr>
          <w:rFonts w:ascii="Times New Roman" w:hAnsi="Times New Roman" w:cs="Times New Roman"/>
          <w:sz w:val="24"/>
          <w:szCs w:val="24"/>
        </w:rPr>
        <w:t>1</w:t>
      </w:r>
      <w:r w:rsidR="00BC73B1">
        <w:rPr>
          <w:rFonts w:ascii="Times New Roman" w:hAnsi="Times New Roman" w:cs="Times New Roman"/>
          <w:sz w:val="24"/>
          <w:szCs w:val="24"/>
        </w:rPr>
        <w:t>] SCSC …</w:t>
      </w:r>
    </w:p>
    <w:p w:rsidR="002E2AE3" w:rsidRDefault="00E94D82"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MA 200/2020</w:t>
      </w:r>
    </w:p>
    <w:p w:rsidR="00E94D82" w:rsidRPr="004A2599" w:rsidRDefault="00E94D82"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(CA 16/2020)</w:t>
      </w:r>
    </w:p>
    <w:p w:rsidR="002E2AE3" w:rsidRPr="004A2599" w:rsidRDefault="002E2AE3" w:rsidP="00214DB4">
      <w:pPr>
        <w:spacing w:after="0" w:line="240" w:lineRule="auto"/>
        <w:ind w:left="5580"/>
        <w:rPr>
          <w:rFonts w:ascii="Times New Roman" w:hAnsi="Times New Roman" w:cs="Times New Roman"/>
          <w:sz w:val="24"/>
          <w:szCs w:val="24"/>
        </w:rPr>
      </w:pPr>
    </w:p>
    <w:p w:rsidR="006A68E2" w:rsidRPr="004A2599" w:rsidRDefault="006A68E2" w:rsidP="00214DB4">
      <w:pPr>
        <w:spacing w:after="0" w:line="240" w:lineRule="auto"/>
        <w:ind w:left="5580"/>
        <w:rPr>
          <w:rFonts w:ascii="Times New Roman" w:hAnsi="Times New Roman" w:cs="Times New Roman"/>
          <w:sz w:val="24"/>
          <w:szCs w:val="24"/>
        </w:rPr>
      </w:pPr>
    </w:p>
    <w:p w:rsidR="002D4EB8" w:rsidRPr="004A2599" w:rsidRDefault="002D4EB8" w:rsidP="00214DB4">
      <w:pPr>
        <w:tabs>
          <w:tab w:val="left" w:pos="540"/>
          <w:tab w:val="left" w:pos="4092"/>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In the matter between</w:t>
      </w:r>
      <w:r w:rsidR="00126B9A">
        <w:rPr>
          <w:rFonts w:ascii="Times New Roman" w:hAnsi="Times New Roman" w:cs="Times New Roman"/>
          <w:sz w:val="24"/>
          <w:szCs w:val="24"/>
        </w:rPr>
        <w:t xml:space="preserve"> </w:t>
      </w:r>
    </w:p>
    <w:p w:rsidR="002E2AE3" w:rsidRPr="00214DB4" w:rsidRDefault="00E94D82" w:rsidP="00214DB4">
      <w:pPr>
        <w:pStyle w:val="Partynames"/>
      </w:pPr>
      <w:r>
        <w:t>KANNUS SUPERMARKET</w:t>
      </w:r>
      <w:r w:rsidR="00126B9A">
        <w:tab/>
      </w:r>
      <w:r>
        <w:tab/>
      </w:r>
      <w:r>
        <w:tab/>
      </w:r>
      <w:r>
        <w:tab/>
        <w:t>PETITIONER</w:t>
      </w:r>
    </w:p>
    <w:p w:rsidR="002E2AE3" w:rsidRPr="00214DB4" w:rsidRDefault="002E2AE3" w:rsidP="00214DB4">
      <w:pPr>
        <w:pStyle w:val="Attorneysnames"/>
      </w:pPr>
      <w:r w:rsidRPr="00214DB4">
        <w:t>(rep. by</w:t>
      </w:r>
      <w:r w:rsidR="00126B9A">
        <w:t xml:space="preserve"> M</w:t>
      </w:r>
      <w:r w:rsidR="00E94D82">
        <w:t xml:space="preserve">r. </w:t>
      </w:r>
      <w:r w:rsidR="00F021A0">
        <w:t xml:space="preserve">E. </w:t>
      </w:r>
      <w:r w:rsidR="00E94D82">
        <w:t>Chetty</w:t>
      </w:r>
      <w:r w:rsidR="00BC73B1" w:rsidRPr="00214DB4">
        <w:t>)</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E94D82" w:rsidP="00214DB4">
      <w:pPr>
        <w:pStyle w:val="Partynames"/>
      </w:pPr>
      <w:r>
        <w:t>VAITHIYANATHAN UTHRAPATHY</w:t>
      </w:r>
      <w:r w:rsidR="002E2AE3" w:rsidRPr="004A2599">
        <w:tab/>
      </w:r>
      <w:r>
        <w:tab/>
      </w:r>
      <w:r>
        <w:tab/>
      </w:r>
      <w:r>
        <w:tab/>
        <w:t>RESPONDENT</w:t>
      </w:r>
    </w:p>
    <w:p w:rsidR="002E2AE3" w:rsidRPr="00126B9A" w:rsidRDefault="002E2AE3" w:rsidP="00126B9A">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sidR="00E94D82">
        <w:rPr>
          <w:rFonts w:ascii="Times New Roman" w:hAnsi="Times New Roman" w:cs="Times New Roman"/>
          <w:i/>
          <w:sz w:val="24"/>
          <w:szCs w:val="24"/>
        </w:rPr>
        <w:t>rep. by Ms. L. Pool</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126B9A" w:rsidRDefault="00405958" w:rsidP="00214DB4">
      <w:pPr>
        <w:spacing w:before="120" w:after="0" w:line="240" w:lineRule="auto"/>
        <w:ind w:left="1886" w:hanging="1886"/>
        <w:rPr>
          <w:rFonts w:ascii="Times New Roman" w:hAnsi="Times New Roman" w:cs="Times New Roman"/>
          <w:i/>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E94D82">
        <w:rPr>
          <w:rFonts w:ascii="Times New Roman" w:hAnsi="Times New Roman" w:cs="Times New Roman"/>
          <w:sz w:val="24"/>
          <w:szCs w:val="24"/>
        </w:rPr>
        <w:t>Kannus Supermarket vs. Vaithiyanathan Uthrapathy</w:t>
      </w:r>
      <w:r w:rsidR="00865E21">
        <w:rPr>
          <w:rFonts w:ascii="Times New Roman" w:hAnsi="Times New Roman" w:cs="Times New Roman"/>
          <w:i/>
          <w:sz w:val="24"/>
          <w:szCs w:val="24"/>
        </w:rPr>
        <w:t xml:space="preserve"> (</w:t>
      </w:r>
      <w:r w:rsidR="00E94D82">
        <w:rPr>
          <w:rFonts w:ascii="Times New Roman" w:hAnsi="Times New Roman" w:cs="Times New Roman"/>
          <w:i/>
          <w:sz w:val="24"/>
          <w:szCs w:val="24"/>
        </w:rPr>
        <w:t>MA200</w:t>
      </w:r>
      <w:r w:rsidR="00F021A0">
        <w:rPr>
          <w:rFonts w:ascii="Times New Roman" w:hAnsi="Times New Roman" w:cs="Times New Roman"/>
          <w:i/>
          <w:sz w:val="24"/>
          <w:szCs w:val="24"/>
        </w:rPr>
        <w:t>/2</w:t>
      </w:r>
      <w:r w:rsidR="00865E21">
        <w:rPr>
          <w:rFonts w:ascii="Times New Roman" w:hAnsi="Times New Roman" w:cs="Times New Roman"/>
          <w:i/>
          <w:sz w:val="24"/>
          <w:szCs w:val="24"/>
        </w:rPr>
        <w:t>0</w:t>
      </w:r>
      <w:r w:rsidR="00126B9A">
        <w:rPr>
          <w:rFonts w:ascii="Times New Roman" w:hAnsi="Times New Roman" w:cs="Times New Roman"/>
          <w:i/>
          <w:sz w:val="24"/>
          <w:szCs w:val="24"/>
        </w:rPr>
        <w:t>) [202</w:t>
      </w:r>
      <w:r w:rsidR="00E94D82">
        <w:rPr>
          <w:rFonts w:ascii="Times New Roman" w:hAnsi="Times New Roman" w:cs="Times New Roman"/>
          <w:i/>
          <w:sz w:val="24"/>
          <w:szCs w:val="24"/>
        </w:rPr>
        <w:t>1</w:t>
      </w:r>
      <w:r w:rsidR="00126B9A">
        <w:rPr>
          <w:rFonts w:ascii="Times New Roman" w:hAnsi="Times New Roman" w:cs="Times New Roman"/>
          <w:i/>
          <w:sz w:val="24"/>
          <w:szCs w:val="24"/>
        </w:rPr>
        <w:t>] SCSC</w:t>
      </w:r>
    </w:p>
    <w:p w:rsidR="00760D22" w:rsidRPr="00760D22" w:rsidRDefault="00760D22"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Summary:</w:t>
      </w:r>
      <w:r>
        <w:rPr>
          <w:rFonts w:ascii="Times New Roman" w:hAnsi="Times New Roman" w:cs="Times New Roman"/>
          <w:b/>
          <w:sz w:val="24"/>
          <w:szCs w:val="24"/>
        </w:rPr>
        <w:tab/>
      </w:r>
      <w:r>
        <w:rPr>
          <w:rFonts w:ascii="Times New Roman" w:hAnsi="Times New Roman" w:cs="Times New Roman"/>
          <w:sz w:val="24"/>
          <w:szCs w:val="24"/>
        </w:rPr>
        <w:t xml:space="preserve">Leave – Appeal out of time – factors to be taken into consideration - </w:t>
      </w:r>
    </w:p>
    <w:p w:rsidR="00344425" w:rsidRPr="004A2599" w:rsidRDefault="009F125D" w:rsidP="00F021A0">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w:t>
      </w:r>
      <w:r w:rsidR="00405958" w:rsidRPr="00F021A0">
        <w:rPr>
          <w:rFonts w:ascii="Times New Roman" w:hAnsi="Times New Roman" w:cs="Times New Roman"/>
          <w:sz w:val="24"/>
          <w:szCs w:val="24"/>
        </w:rPr>
        <w:t xml:space="preserve"> </w:t>
      </w:r>
      <w:r w:rsidR="00E94D82">
        <w:rPr>
          <w:rFonts w:ascii="Times New Roman" w:hAnsi="Times New Roman" w:cs="Times New Roman"/>
          <w:sz w:val="24"/>
          <w:szCs w:val="24"/>
        </w:rPr>
        <w:tab/>
        <w:t>G. Dodin</w:t>
      </w:r>
      <w:r w:rsidR="004A2599" w:rsidRPr="00F021A0">
        <w:rPr>
          <w:rFonts w:ascii="Times New Roman" w:hAnsi="Times New Roman" w:cs="Times New Roman"/>
          <w:sz w:val="24"/>
          <w:szCs w:val="24"/>
        </w:rPr>
        <w:tab/>
      </w:r>
      <w:r w:rsidR="00F33B83">
        <w:rPr>
          <w:rFonts w:ascii="Times New Roman" w:hAnsi="Times New Roman" w:cs="Times New Roman"/>
          <w:b/>
          <w:sz w:val="24"/>
          <w:szCs w:val="24"/>
        </w:rPr>
        <w:tab/>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9E1A58">
        <w:rPr>
          <w:rFonts w:ascii="Times New Roman" w:hAnsi="Times New Roman" w:cs="Times New Roman"/>
          <w:sz w:val="24"/>
          <w:szCs w:val="24"/>
        </w:rPr>
        <w:t>12 April 2021</w:t>
      </w:r>
    </w:p>
    <w:p w:rsidR="00344425" w:rsidRPr="00126B9A"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126B9A">
        <w:rPr>
          <w:rFonts w:ascii="Times New Roman" w:hAnsi="Times New Roman" w:cs="Times New Roman"/>
          <w:b/>
          <w:sz w:val="24"/>
          <w:szCs w:val="24"/>
        </w:rPr>
        <w:t xml:space="preserve">      </w:t>
      </w:r>
      <w:r w:rsidR="009E1A58">
        <w:rPr>
          <w:rFonts w:ascii="Times New Roman" w:hAnsi="Times New Roman" w:cs="Times New Roman"/>
          <w:b/>
          <w:sz w:val="24"/>
          <w:szCs w:val="24"/>
        </w:rPr>
        <w:tab/>
      </w:r>
      <w:r w:rsidR="00760D22">
        <w:rPr>
          <w:rFonts w:ascii="Times New Roman" w:hAnsi="Times New Roman" w:cs="Times New Roman"/>
          <w:sz w:val="24"/>
          <w:szCs w:val="24"/>
        </w:rPr>
        <w:t>14</w:t>
      </w:r>
      <w:r w:rsidR="009E1A58" w:rsidRPr="009E1A58">
        <w:rPr>
          <w:rFonts w:ascii="Times New Roman" w:hAnsi="Times New Roman" w:cs="Times New Roman"/>
          <w:sz w:val="24"/>
          <w:szCs w:val="24"/>
        </w:rPr>
        <w:t xml:space="preserve"> June 2021</w:t>
      </w:r>
    </w:p>
    <w:p w:rsidR="00760D22" w:rsidRDefault="00760D22" w:rsidP="00214DB4">
      <w:pPr>
        <w:tabs>
          <w:tab w:val="left" w:pos="2892"/>
        </w:tabs>
        <w:spacing w:before="120" w:after="0" w:line="240" w:lineRule="auto"/>
        <w:jc w:val="center"/>
        <w:rPr>
          <w:rFonts w:ascii="Times New Roman" w:hAnsi="Times New Roman" w:cs="Times New Roman"/>
          <w:b/>
          <w:sz w:val="24"/>
          <w:szCs w:val="24"/>
        </w:rPr>
      </w:pPr>
    </w:p>
    <w:p w:rsidR="00ED0BFC" w:rsidRDefault="009E1A58" w:rsidP="00214DB4">
      <w:pPr>
        <w:tabs>
          <w:tab w:val="left" w:pos="2892"/>
        </w:tabs>
        <w:spacing w:before="120" w:after="0" w:line="240" w:lineRule="auto"/>
        <w:jc w:val="center"/>
        <w:rPr>
          <w:rFonts w:ascii="Times New Roman" w:hAnsi="Times New Roman" w:cs="Times New Roman"/>
          <w:b/>
          <w:sz w:val="24"/>
          <w:szCs w:val="24"/>
        </w:rPr>
      </w:pPr>
      <w:r>
        <w:rPr>
          <w:rFonts w:ascii="Times New Roman" w:hAnsi="Times New Roman" w:cs="Times New Roman"/>
          <w:b/>
          <w:sz w:val="24"/>
          <w:szCs w:val="24"/>
        </w:rPr>
        <w:t>RULING</w:t>
      </w:r>
    </w:p>
    <w:p w:rsidR="00CC6AD0" w:rsidRPr="004A2599" w:rsidRDefault="00CC6AD0" w:rsidP="00214DB4">
      <w:pPr>
        <w:tabs>
          <w:tab w:val="left" w:pos="2892"/>
        </w:tabs>
        <w:spacing w:before="120" w:after="0" w:line="240" w:lineRule="auto"/>
        <w:jc w:val="center"/>
        <w:rPr>
          <w:rFonts w:ascii="Times New Roman" w:hAnsi="Times New Roman" w:cs="Times New Roman"/>
          <w:b/>
          <w:sz w:val="24"/>
          <w:szCs w:val="24"/>
        </w:rPr>
      </w:pPr>
    </w:p>
    <w:p w:rsidR="00722761" w:rsidRPr="004A2599" w:rsidRDefault="00126B9A" w:rsidP="00722761">
      <w:pPr>
        <w:rPr>
          <w:rFonts w:ascii="Times New Roman" w:hAnsi="Times New Roman" w:cs="Times New Roman"/>
          <w:sz w:val="24"/>
          <w:szCs w:val="24"/>
        </w:rPr>
      </w:pPr>
      <w:r>
        <w:rPr>
          <w:rFonts w:ascii="Times New Roman" w:hAnsi="Times New Roman" w:cs="Times New Roman"/>
          <w:b/>
          <w:sz w:val="24"/>
          <w:szCs w:val="24"/>
        </w:rPr>
        <w:t>______________________________________________________________________________</w:t>
      </w:r>
    </w:p>
    <w:p w:rsidR="005B12AA" w:rsidRDefault="00E94D82" w:rsidP="005B12AA">
      <w:pPr>
        <w:pStyle w:val="JudgmentText"/>
        <w:numPr>
          <w:ilvl w:val="0"/>
          <w:numId w:val="0"/>
        </w:numPr>
        <w:spacing w:line="480" w:lineRule="auto"/>
        <w:ind w:left="720" w:hanging="720"/>
        <w:rPr>
          <w:b/>
        </w:rPr>
      </w:pPr>
      <w:r>
        <w:rPr>
          <w:b/>
        </w:rPr>
        <w:t>Dodin</w:t>
      </w:r>
      <w:r w:rsidR="00126B9A">
        <w:rPr>
          <w:b/>
        </w:rPr>
        <w:t xml:space="preserve"> </w:t>
      </w:r>
      <w:r w:rsidR="005B12AA" w:rsidRPr="005B12AA">
        <w:rPr>
          <w:b/>
        </w:rPr>
        <w:t xml:space="preserve">J </w:t>
      </w:r>
    </w:p>
    <w:p w:rsidR="009E1A58" w:rsidRDefault="009E1A58" w:rsidP="009E1A58">
      <w:pPr>
        <w:pStyle w:val="JudgmentText"/>
      </w:pPr>
      <w:r>
        <w:t>The Appellant representing Kannus Supermarket being dissatisfied with the decision of the Employment Tribunal given on the 24</w:t>
      </w:r>
      <w:r w:rsidRPr="0027489F">
        <w:rPr>
          <w:vertAlign w:val="superscript"/>
        </w:rPr>
        <w:t>th</w:t>
      </w:r>
      <w:r>
        <w:t xml:space="preserve"> September 2020 and amended on the 15</w:t>
      </w:r>
      <w:r w:rsidRPr="0027489F">
        <w:rPr>
          <w:vertAlign w:val="superscript"/>
        </w:rPr>
        <w:t>th</w:t>
      </w:r>
      <w:r>
        <w:t xml:space="preserve"> October 2020, seeks leave of this Court to appeal against the decision out of time.</w:t>
      </w:r>
    </w:p>
    <w:p w:rsidR="009E1A58" w:rsidRDefault="009E1A58" w:rsidP="004F50BB">
      <w:pPr>
        <w:pStyle w:val="JudgmentText"/>
      </w:pPr>
      <w:r>
        <w:t xml:space="preserve">In an affidavit in support one </w:t>
      </w:r>
      <w:r w:rsidRPr="009E1A58">
        <w:t xml:space="preserve">Shanmovgasvndaram Pillay </w:t>
      </w:r>
      <w:r>
        <w:t xml:space="preserve">who claims that he is </w:t>
      </w:r>
      <w:r w:rsidRPr="009E1A58">
        <w:t xml:space="preserve">duly authorized to </w:t>
      </w:r>
      <w:r>
        <w:t>sear</w:t>
      </w:r>
      <w:r w:rsidRPr="009E1A58">
        <w:t xml:space="preserve"> this Affidavit</w:t>
      </w:r>
      <w:r>
        <w:t xml:space="preserve"> on behalf of the Appellant</w:t>
      </w:r>
      <w:r w:rsidR="004F50BB">
        <w:t xml:space="preserve"> states that he has been</w:t>
      </w:r>
      <w:r w:rsidRPr="009E1A58">
        <w:t xml:space="preserve"> advised and believe</w:t>
      </w:r>
      <w:r w:rsidR="004F50BB">
        <w:t>s</w:t>
      </w:r>
      <w:r w:rsidRPr="009E1A58">
        <w:t xml:space="preserve"> that the learned Chairperson erred in both law and on facts in her judgement.</w:t>
      </w:r>
      <w:r w:rsidR="004F50BB">
        <w:t xml:space="preserve"> </w:t>
      </w:r>
      <w:r w:rsidR="004F50BB">
        <w:lastRenderedPageBreak/>
        <w:t xml:space="preserve">He is </w:t>
      </w:r>
      <w:r w:rsidRPr="009E1A58">
        <w:t>seeking leave to Appeal out of time as the amount of time that has lapsed is not inordinate and will not cause any prejudice to the Respondent.</w:t>
      </w:r>
    </w:p>
    <w:p w:rsidR="009E1A58" w:rsidRDefault="004F50BB" w:rsidP="004F50BB">
      <w:pPr>
        <w:pStyle w:val="JudgmentText"/>
      </w:pPr>
      <w:r>
        <w:t xml:space="preserve">He states that </w:t>
      </w:r>
      <w:r w:rsidR="009E1A58" w:rsidRPr="009E1A58">
        <w:t>the reason for the delay is due t</w:t>
      </w:r>
      <w:r>
        <w:t>o an omission and mistake on the</w:t>
      </w:r>
      <w:r w:rsidR="009E1A58" w:rsidRPr="009E1A58">
        <w:t xml:space="preserve"> part</w:t>
      </w:r>
      <w:r>
        <w:t xml:space="preserve"> of the Appellant in view of the fact that the Appellant’s attorney </w:t>
      </w:r>
      <w:r w:rsidR="009E1A58" w:rsidRPr="009E1A58">
        <w:t>was on sick leave when th</w:t>
      </w:r>
      <w:r>
        <w:t>e Judgement was delivered and the Appellant’s representative</w:t>
      </w:r>
      <w:r w:rsidR="009E1A58" w:rsidRPr="009E1A58">
        <w:t xml:space="preserve"> could not meet with h</w:t>
      </w:r>
      <w:r>
        <w:t>im to discuss about filing the a</w:t>
      </w:r>
      <w:r w:rsidR="009E1A58" w:rsidRPr="009E1A58">
        <w:t>ppeal.</w:t>
      </w:r>
      <w:r>
        <w:t xml:space="preserve"> He further states that </w:t>
      </w:r>
      <w:r w:rsidR="009E1A58" w:rsidRPr="009E1A58">
        <w:t>the matter was not cause-listed for the 24</w:t>
      </w:r>
      <w:r w:rsidR="009E1A58" w:rsidRPr="004F50BB">
        <w:rPr>
          <w:vertAlign w:val="superscript"/>
        </w:rPr>
        <w:t>th</w:t>
      </w:r>
      <w:r w:rsidR="009E1A58" w:rsidRPr="009E1A58">
        <w:t xml:space="preserve"> September 2020.</w:t>
      </w:r>
    </w:p>
    <w:p w:rsidR="004F50BB" w:rsidRPr="009E1A58" w:rsidRDefault="004F50BB" w:rsidP="004F50BB">
      <w:pPr>
        <w:pStyle w:val="JudgmentText"/>
        <w:spacing w:after="0"/>
      </w:pPr>
      <w:r>
        <w:t xml:space="preserve">He further states that </w:t>
      </w:r>
      <w:r w:rsidRPr="009E1A58">
        <w:t>the final part of the said judgment was amended by the Employment Tribunal on the 15</w:t>
      </w:r>
      <w:r w:rsidRPr="004F50BB">
        <w:rPr>
          <w:vertAlign w:val="superscript"/>
        </w:rPr>
        <w:t>th</w:t>
      </w:r>
      <w:r w:rsidRPr="009E1A58">
        <w:t xml:space="preserve"> October 2020 after Counsel for the Respondent requested for the amendment without notifying and inquiring if </w:t>
      </w:r>
      <w:r>
        <w:t>the Appellant</w:t>
      </w:r>
      <w:r w:rsidRPr="009E1A58">
        <w:t xml:space="preserve"> wish</w:t>
      </w:r>
      <w:r>
        <w:t>ed</w:t>
      </w:r>
      <w:r w:rsidRPr="009E1A58">
        <w:t xml:space="preserve"> to take a position on the matter.</w:t>
      </w:r>
    </w:p>
    <w:p w:rsidR="009E1A58" w:rsidRDefault="004F50BB" w:rsidP="004F50BB">
      <w:pPr>
        <w:pStyle w:val="JudgmentText"/>
      </w:pPr>
      <w:r>
        <w:t>He states that</w:t>
      </w:r>
      <w:r w:rsidR="009E1A58" w:rsidRPr="009E1A58">
        <w:t xml:space="preserve"> in the event leave is not granted serious prejudice will be caused to the Appellant and that it is in the interest of jus</w:t>
      </w:r>
      <w:r>
        <w:t>tice that this Court hears the a</w:t>
      </w:r>
      <w:r w:rsidR="009E1A58" w:rsidRPr="009E1A58">
        <w:t>ppeal.</w:t>
      </w:r>
    </w:p>
    <w:p w:rsidR="00A1314C" w:rsidRDefault="009430C8" w:rsidP="0094578F">
      <w:pPr>
        <w:pStyle w:val="JudgmentText"/>
        <w:spacing w:after="0"/>
      </w:pPr>
      <w:r>
        <w:t xml:space="preserve">In reply to the motion the Respondent states </w:t>
      </w:r>
      <w:r w:rsidR="00A1314C">
        <w:t>that the j</w:t>
      </w:r>
      <w:r w:rsidR="00A1314C" w:rsidRPr="00A1314C">
        <w:t>udgment was given before the Employment Tribunal on 24</w:t>
      </w:r>
      <w:r w:rsidR="00A1314C" w:rsidRPr="00A1314C">
        <w:rPr>
          <w:vertAlign w:val="superscript"/>
        </w:rPr>
        <w:t>th</w:t>
      </w:r>
      <w:r w:rsidR="00A1314C" w:rsidRPr="00A1314C">
        <w:t xml:space="preserve"> September 2020, however the App</w:t>
      </w:r>
      <w:r w:rsidR="00A1314C">
        <w:t>ellant</w:t>
      </w:r>
      <w:r w:rsidR="00A1314C" w:rsidRPr="00A1314C">
        <w:t xml:space="preserve"> was not present before the Tribunal and no explanation was given for </w:t>
      </w:r>
      <w:r w:rsidR="00A1314C">
        <w:t>the</w:t>
      </w:r>
      <w:r w:rsidR="00A1314C" w:rsidRPr="00A1314C">
        <w:t xml:space="preserve"> absence.</w:t>
      </w:r>
      <w:r w:rsidR="00A1314C">
        <w:t xml:space="preserve"> T</w:t>
      </w:r>
      <w:r w:rsidR="00A1314C" w:rsidRPr="00A1314C">
        <w:t>he Applicant was notified by email.</w:t>
      </w:r>
      <w:r w:rsidR="00A1314C">
        <w:t xml:space="preserve"> Subsequently </w:t>
      </w:r>
      <w:r w:rsidR="00A1314C" w:rsidRPr="00A1314C">
        <w:t>clarification was sought by the Respondent with regard to the calculations of benefits</w:t>
      </w:r>
      <w:r w:rsidR="00A1314C">
        <w:t xml:space="preserve"> awarded.  A r</w:t>
      </w:r>
      <w:r w:rsidR="00A1314C" w:rsidRPr="00A1314C">
        <w:t>uling was given on 15</w:t>
      </w:r>
      <w:r w:rsidR="00A1314C" w:rsidRPr="00A1314C">
        <w:rPr>
          <w:vertAlign w:val="superscript"/>
        </w:rPr>
        <w:t>th</w:t>
      </w:r>
      <w:r w:rsidR="00A1314C" w:rsidRPr="00A1314C">
        <w:t xml:space="preserve"> October 2020 to rectify the calculations. There was no need to notify the App</w:t>
      </w:r>
      <w:r w:rsidR="00A1314C">
        <w:t>el</w:t>
      </w:r>
      <w:r w:rsidR="00A1314C" w:rsidRPr="00A1314C">
        <w:t>lant</w:t>
      </w:r>
      <w:r w:rsidR="00A1314C">
        <w:t>.</w:t>
      </w:r>
    </w:p>
    <w:p w:rsidR="00A1314C" w:rsidRPr="00A1314C" w:rsidRDefault="00A1314C" w:rsidP="00A1314C">
      <w:pPr>
        <w:pStyle w:val="JudgmentText"/>
        <w:numPr>
          <w:ilvl w:val="0"/>
          <w:numId w:val="0"/>
        </w:numPr>
        <w:spacing w:after="0"/>
        <w:ind w:left="720"/>
      </w:pPr>
    </w:p>
    <w:p w:rsidR="00A1314C" w:rsidRDefault="00A1314C" w:rsidP="00A1314C">
      <w:pPr>
        <w:pStyle w:val="JudgmentText"/>
        <w:spacing w:after="0"/>
      </w:pPr>
      <w:r>
        <w:t>The Respondent denies that any prejudice would be caused to the Appellant and that o</w:t>
      </w:r>
      <w:r w:rsidRPr="00A1314C">
        <w:t>n the contrary serious prejudice will be caused to the Respondent who had to wait for 1 ½ years and is still waiting for the case to be completed.</w:t>
      </w:r>
      <w:r>
        <w:t xml:space="preserve"> F</w:t>
      </w:r>
      <w:r w:rsidRPr="00A1314C">
        <w:t xml:space="preserve">urther the Respondent </w:t>
      </w:r>
      <w:r>
        <w:t>is</w:t>
      </w:r>
      <w:r w:rsidRPr="00A1314C">
        <w:t xml:space="preserve"> not allowed to work </w:t>
      </w:r>
      <w:r>
        <w:t xml:space="preserve">and </w:t>
      </w:r>
      <w:r w:rsidRPr="00A1314C">
        <w:t>he has to depend on the generosity of friends for food and accommodation.</w:t>
      </w:r>
    </w:p>
    <w:p w:rsidR="008E6EDF" w:rsidRDefault="008E6EDF" w:rsidP="008E6EDF">
      <w:pPr>
        <w:pStyle w:val="ListParagraph"/>
      </w:pPr>
    </w:p>
    <w:p w:rsidR="00A1314C" w:rsidRDefault="008E6EDF" w:rsidP="008E6EDF">
      <w:pPr>
        <w:pStyle w:val="JudgmentText"/>
        <w:spacing w:after="0"/>
      </w:pPr>
      <w:r>
        <w:t>Learned counsel for the Appellant submitted that the d</w:t>
      </w:r>
      <w:r w:rsidR="00A1314C" w:rsidRPr="008E6EDF">
        <w:t xml:space="preserve">ecision </w:t>
      </w:r>
      <w:r>
        <w:t xml:space="preserve">was </w:t>
      </w:r>
      <w:r w:rsidR="00A1314C" w:rsidRPr="008E6EDF">
        <w:t xml:space="preserve">given </w:t>
      </w:r>
      <w:r>
        <w:t xml:space="preserve">on </w:t>
      </w:r>
      <w:r w:rsidR="00A1314C" w:rsidRPr="008E6EDF">
        <w:t>24</w:t>
      </w:r>
      <w:r w:rsidR="00A1314C" w:rsidRPr="008E6EDF">
        <w:rPr>
          <w:vertAlign w:val="superscript"/>
        </w:rPr>
        <w:t>th</w:t>
      </w:r>
      <w:r w:rsidR="00A1314C" w:rsidRPr="008E6EDF">
        <w:t xml:space="preserve"> September 2020</w:t>
      </w:r>
      <w:r>
        <w:t xml:space="preserve"> and the </w:t>
      </w:r>
      <w:r w:rsidR="00A1314C" w:rsidRPr="008E6EDF">
        <w:t>App</w:t>
      </w:r>
      <w:r>
        <w:t>e</w:t>
      </w:r>
      <w:r w:rsidR="00A1314C" w:rsidRPr="008E6EDF">
        <w:t>l</w:t>
      </w:r>
      <w:r>
        <w:t>l</w:t>
      </w:r>
      <w:r w:rsidR="00A1314C" w:rsidRPr="008E6EDF">
        <w:t>ant had 14 days to appeal but appealed on 16</w:t>
      </w:r>
      <w:r w:rsidR="00A1314C" w:rsidRPr="008E6EDF">
        <w:rPr>
          <w:vertAlign w:val="superscript"/>
        </w:rPr>
        <w:t>th</w:t>
      </w:r>
      <w:r w:rsidR="00A1314C" w:rsidRPr="008E6EDF">
        <w:t xml:space="preserve"> October 2020 </w:t>
      </w:r>
      <w:r>
        <w:t xml:space="preserve">which is </w:t>
      </w:r>
      <w:r w:rsidR="00A1314C" w:rsidRPr="008E6EDF">
        <w:t>8</w:t>
      </w:r>
      <w:r>
        <w:t xml:space="preserve"> </w:t>
      </w:r>
      <w:r w:rsidR="00A1314C" w:rsidRPr="008E6EDF">
        <w:t>days out of time.</w:t>
      </w:r>
      <w:r>
        <w:t xml:space="preserve"> </w:t>
      </w:r>
      <w:r w:rsidR="00A1314C" w:rsidRPr="008E6EDF">
        <w:t>8</w:t>
      </w:r>
      <w:r>
        <w:t xml:space="preserve"> </w:t>
      </w:r>
      <w:r w:rsidR="00A1314C" w:rsidRPr="008E6EDF">
        <w:t xml:space="preserve">days </w:t>
      </w:r>
      <w:r>
        <w:t>is not inordinately long time and a</w:t>
      </w:r>
      <w:r w:rsidR="00A1314C" w:rsidRPr="008E6EDF">
        <w:t xml:space="preserve"> time frame </w:t>
      </w:r>
      <w:r>
        <w:t xml:space="preserve">that is </w:t>
      </w:r>
      <w:r w:rsidR="00A1314C" w:rsidRPr="008E6EDF">
        <w:t>not exorbitant</w:t>
      </w:r>
      <w:r>
        <w:t xml:space="preserve">. </w:t>
      </w:r>
      <w:r w:rsidR="00A1314C" w:rsidRPr="008E6EDF">
        <w:t>No prejudice</w:t>
      </w:r>
      <w:r>
        <w:t xml:space="preserve"> would be caused to the Respondent despite the mistake </w:t>
      </w:r>
      <w:r w:rsidR="00A1314C" w:rsidRPr="008E6EDF">
        <w:t>on</w:t>
      </w:r>
      <w:r>
        <w:t xml:space="preserve"> the part </w:t>
      </w:r>
      <w:r>
        <w:lastRenderedPageBreak/>
        <w:t xml:space="preserve">of the </w:t>
      </w:r>
      <w:r w:rsidR="00A1314C" w:rsidRPr="008E6EDF">
        <w:t>App</w:t>
      </w:r>
      <w:r>
        <w:t>el</w:t>
      </w:r>
      <w:r w:rsidR="00A1314C" w:rsidRPr="008E6EDF">
        <w:t>lant</w:t>
      </w:r>
      <w:r>
        <w:t>. Learned counsel submitted further that o</w:t>
      </w:r>
      <w:r w:rsidR="00A1314C" w:rsidRPr="008E6EDF">
        <w:t>n 15</w:t>
      </w:r>
      <w:r w:rsidR="00A1314C" w:rsidRPr="008E6EDF">
        <w:rPr>
          <w:vertAlign w:val="superscript"/>
        </w:rPr>
        <w:t>th</w:t>
      </w:r>
      <w:r w:rsidR="00A1314C" w:rsidRPr="008E6EDF">
        <w:t xml:space="preserve"> October 2020 </w:t>
      </w:r>
      <w:r>
        <w:t xml:space="preserve">the </w:t>
      </w:r>
      <w:r w:rsidR="00A1314C" w:rsidRPr="008E6EDF">
        <w:t>Employment Tribunal made alteration</w:t>
      </w:r>
      <w:r>
        <w:t>s to decision despite being functus officio hence the period for appeal sh</w:t>
      </w:r>
      <w:r w:rsidR="00A1314C" w:rsidRPr="008E6EDF">
        <w:t xml:space="preserve">ould start </w:t>
      </w:r>
      <w:r>
        <w:t>from</w:t>
      </w:r>
      <w:r w:rsidR="00A1314C" w:rsidRPr="008E6EDF">
        <w:t xml:space="preserve"> 15</w:t>
      </w:r>
      <w:r w:rsidR="00A1314C" w:rsidRPr="008E6EDF">
        <w:rPr>
          <w:vertAlign w:val="superscript"/>
        </w:rPr>
        <w:t>th</w:t>
      </w:r>
      <w:r w:rsidR="00A1314C" w:rsidRPr="008E6EDF">
        <w:t xml:space="preserve"> October 2020.</w:t>
      </w:r>
      <w:r>
        <w:t xml:space="preserve"> He moved the Court to grant the Appellant leave to proceed with the appeal out of time or to find that the period of appeal started to run from the </w:t>
      </w:r>
      <w:r w:rsidR="00A1314C" w:rsidRPr="008E6EDF">
        <w:t>15</w:t>
      </w:r>
      <w:r w:rsidR="00A1314C" w:rsidRPr="008E6EDF">
        <w:rPr>
          <w:vertAlign w:val="superscript"/>
        </w:rPr>
        <w:t>th</w:t>
      </w:r>
      <w:r w:rsidR="00A1314C" w:rsidRPr="008E6EDF">
        <w:t xml:space="preserve"> October 2020.</w:t>
      </w:r>
    </w:p>
    <w:p w:rsidR="008E6EDF" w:rsidRDefault="008E6EDF" w:rsidP="008E6EDF">
      <w:pPr>
        <w:pStyle w:val="ListParagraph"/>
      </w:pPr>
    </w:p>
    <w:p w:rsidR="00225798" w:rsidRPr="00225798" w:rsidRDefault="008E6EDF" w:rsidP="003303B2">
      <w:pPr>
        <w:pStyle w:val="JudgmentText"/>
        <w:spacing w:after="0"/>
      </w:pPr>
      <w:r>
        <w:t>Learned counsel for the Respondent submitted that j</w:t>
      </w:r>
      <w:r w:rsidR="00A1314C" w:rsidRPr="008E6EDF">
        <w:t xml:space="preserve">udgment </w:t>
      </w:r>
      <w:r>
        <w:t xml:space="preserve">was </w:t>
      </w:r>
      <w:r w:rsidR="00A1314C" w:rsidRPr="008E6EDF">
        <w:t>given</w:t>
      </w:r>
      <w:r>
        <w:t xml:space="preserve"> on</w:t>
      </w:r>
      <w:r w:rsidR="00A1314C" w:rsidRPr="008E6EDF">
        <w:t xml:space="preserve"> 24</w:t>
      </w:r>
      <w:r w:rsidR="00A1314C" w:rsidRPr="008E6EDF">
        <w:rPr>
          <w:vertAlign w:val="superscript"/>
        </w:rPr>
        <w:t>th</w:t>
      </w:r>
      <w:r w:rsidR="00A1314C" w:rsidRPr="008E6EDF">
        <w:t xml:space="preserve"> September 2020. </w:t>
      </w:r>
      <w:r>
        <w:t>The Appeal was</w:t>
      </w:r>
      <w:r w:rsidR="00A1314C" w:rsidRPr="008E6EDF">
        <w:t xml:space="preserve"> filed</w:t>
      </w:r>
      <w:r>
        <w:t xml:space="preserve"> on</w:t>
      </w:r>
      <w:r w:rsidR="00A1314C" w:rsidRPr="008E6EDF">
        <w:t xml:space="preserve"> 16</w:t>
      </w:r>
      <w:r w:rsidR="00A1314C" w:rsidRPr="008E6EDF">
        <w:rPr>
          <w:vertAlign w:val="superscript"/>
        </w:rPr>
        <w:t>th</w:t>
      </w:r>
      <w:r w:rsidR="00A1314C" w:rsidRPr="008E6EDF">
        <w:t xml:space="preserve"> October 2020</w:t>
      </w:r>
      <w:r>
        <w:t xml:space="preserve"> which is </w:t>
      </w:r>
      <w:r w:rsidR="00A1314C" w:rsidRPr="008E6EDF">
        <w:t>8</w:t>
      </w:r>
      <w:r w:rsidR="00225798">
        <w:t xml:space="preserve"> </w:t>
      </w:r>
      <w:r w:rsidR="00A1314C" w:rsidRPr="008E6EDF">
        <w:t>days late.</w:t>
      </w:r>
      <w:r w:rsidR="00225798">
        <w:t xml:space="preserve"> The r</w:t>
      </w:r>
      <w:r w:rsidR="00A1314C" w:rsidRPr="00225798">
        <w:t>uling enter</w:t>
      </w:r>
      <w:r w:rsidR="00225798">
        <w:t xml:space="preserve"> on the 15</w:t>
      </w:r>
      <w:r w:rsidR="00225798" w:rsidRPr="00225798">
        <w:rPr>
          <w:vertAlign w:val="superscript"/>
        </w:rPr>
        <w:t>th</w:t>
      </w:r>
      <w:r w:rsidR="00225798">
        <w:t xml:space="preserve"> October was for</w:t>
      </w:r>
      <w:r w:rsidR="00A1314C" w:rsidRPr="00225798">
        <w:t xml:space="preserve"> calculation of benefits only to correct </w:t>
      </w:r>
      <w:r w:rsidR="00225798">
        <w:t xml:space="preserve">an </w:t>
      </w:r>
      <w:r w:rsidR="00A1314C" w:rsidRPr="00225798">
        <w:t>error</w:t>
      </w:r>
      <w:r w:rsidR="00225798">
        <w:t>. The</w:t>
      </w:r>
      <w:r w:rsidR="00A1314C" w:rsidRPr="00225798">
        <w:t xml:space="preserve"> Tribunal can rectify </w:t>
      </w:r>
      <w:r w:rsidR="00225798">
        <w:t xml:space="preserve">such </w:t>
      </w:r>
      <w:r w:rsidR="00A1314C" w:rsidRPr="00225798">
        <w:t>error since it can regulate its own proceedings.</w:t>
      </w:r>
      <w:r w:rsidR="00225798">
        <w:t xml:space="preserve"> Learned counsel submitted that there is no change in the j</w:t>
      </w:r>
      <w:r w:rsidR="00A1314C" w:rsidRPr="00225798">
        <w:t>udgment of 24</w:t>
      </w:r>
      <w:r w:rsidR="00A1314C" w:rsidRPr="00225798">
        <w:rPr>
          <w:vertAlign w:val="superscript"/>
        </w:rPr>
        <w:t>th</w:t>
      </w:r>
      <w:r w:rsidR="00225798">
        <w:t xml:space="preserve"> September and since 14 days had elapsed this Court should not give more time.</w:t>
      </w:r>
      <w:r w:rsidR="003303B2">
        <w:t xml:space="preserve"> </w:t>
      </w:r>
      <w:r w:rsidR="00225798">
        <w:t>Learned counsel moved the Court to refuse leave and to dismiss this motion with cost.</w:t>
      </w:r>
    </w:p>
    <w:p w:rsidR="00A1314C" w:rsidRDefault="00A1314C" w:rsidP="00A1314C">
      <w:pPr>
        <w:spacing w:after="0" w:line="360" w:lineRule="auto"/>
        <w:jc w:val="both"/>
        <w:rPr>
          <w:rFonts w:ascii="Times New Roman" w:hAnsi="Times New Roman" w:cs="Times New Roman"/>
          <w:sz w:val="24"/>
          <w:szCs w:val="24"/>
        </w:rPr>
      </w:pPr>
    </w:p>
    <w:p w:rsidR="000F2583" w:rsidRDefault="003303B2" w:rsidP="004F50BB">
      <w:pPr>
        <w:pStyle w:val="JudgmentText"/>
      </w:pPr>
      <w:r>
        <w:t xml:space="preserve">Whether </w:t>
      </w:r>
      <w:r w:rsidR="000F2583">
        <w:t xml:space="preserve">an Appellant should be granted leave to proceed with an appeal out of time is a matter of discretion that rests with </w:t>
      </w:r>
      <w:r>
        <w:t>the Court</w:t>
      </w:r>
      <w:r w:rsidR="000F2583">
        <w:t>. However the Court must exercise such discretion with certain caution and must take into consideration certain factors which would assist in determining whether granting such leave is justified and fair to the parties.</w:t>
      </w:r>
    </w:p>
    <w:p w:rsidR="000F2583" w:rsidRDefault="000F2583" w:rsidP="000F2583">
      <w:pPr>
        <w:pStyle w:val="ListParagraph"/>
      </w:pPr>
    </w:p>
    <w:p w:rsidR="007C50CB" w:rsidRDefault="000F2583" w:rsidP="000F2583">
      <w:pPr>
        <w:pStyle w:val="JudgmentText"/>
      </w:pPr>
      <w:r>
        <w:t xml:space="preserve">In the case of </w:t>
      </w:r>
      <w:r w:rsidR="007C50CB" w:rsidRPr="000F2583">
        <w:rPr>
          <w:i/>
          <w:u w:val="single"/>
        </w:rPr>
        <w:t>Parcou v Parcou SCA 32/1994, LC 93</w:t>
      </w:r>
      <w:r>
        <w:t xml:space="preserve"> it was held that t</w:t>
      </w:r>
      <w:r w:rsidR="007C50CB">
        <w:t>he Court has the discretion to allow appeals out of time.</w:t>
      </w:r>
      <w:r>
        <w:t xml:space="preserve"> </w:t>
      </w:r>
      <w:r w:rsidR="007C50CB">
        <w:t>The factors to be taken into account when exercising the discretion are length of delay, reasons for delay, degree of prejudice to the defendant, and whether there is an arguable case on appeal.</w:t>
      </w:r>
      <w:r>
        <w:t xml:space="preserve"> The Court further noted that t</w:t>
      </w:r>
      <w:r w:rsidR="007C50CB">
        <w:t>he limitation rules should not be suspended because of an understanding between counsel, however the appellants should not be penalised for relying on the pardonable error of counsel.</w:t>
      </w:r>
    </w:p>
    <w:p w:rsidR="000F2583" w:rsidRDefault="000F2583" w:rsidP="000F2583">
      <w:pPr>
        <w:pStyle w:val="ListParagraph"/>
      </w:pPr>
    </w:p>
    <w:p w:rsidR="007C50CB" w:rsidRDefault="000F2583" w:rsidP="000F2583">
      <w:pPr>
        <w:pStyle w:val="JudgmentText"/>
      </w:pPr>
      <w:r>
        <w:t xml:space="preserve">In </w:t>
      </w:r>
      <w:r w:rsidR="007C50CB" w:rsidRPr="000F2583">
        <w:rPr>
          <w:i/>
          <w:u w:val="single"/>
        </w:rPr>
        <w:t>Farm AG v Barclays Bank SSC 2002</w:t>
      </w:r>
      <w:r>
        <w:t xml:space="preserve"> again the Court expressed that t</w:t>
      </w:r>
      <w:r w:rsidR="007C50CB" w:rsidRPr="000F2583">
        <w:t>he Court has an unfettered discretion in matters of delay and extending time for appeals.  The Court will exercise its discretion for the purpose of doing justice to the aggrieved given the particular facts of the case.</w:t>
      </w:r>
      <w:r>
        <w:t xml:space="preserve"> </w:t>
      </w:r>
      <w:r w:rsidR="007C50CB" w:rsidRPr="000F2583">
        <w:t xml:space="preserve">The legitimate expectations of a respondent that no appeal would be </w:t>
      </w:r>
      <w:r w:rsidR="007C50CB" w:rsidRPr="000F2583">
        <w:lastRenderedPageBreak/>
        <w:t>lodged after the expiry of a notice-period cannot in the interests of justice defeat an applicant’s right to apply for leave out of time.</w:t>
      </w:r>
    </w:p>
    <w:p w:rsidR="00834AA1" w:rsidRDefault="00834AA1" w:rsidP="00834AA1">
      <w:pPr>
        <w:pStyle w:val="ListParagraph"/>
      </w:pPr>
    </w:p>
    <w:p w:rsidR="007C50CB" w:rsidRDefault="00834AA1" w:rsidP="00834AA1">
      <w:pPr>
        <w:pStyle w:val="JudgmentText"/>
      </w:pPr>
      <w:r>
        <w:t xml:space="preserve">In the case of </w:t>
      </w:r>
      <w:r w:rsidR="007C50CB" w:rsidRPr="00834AA1">
        <w:rPr>
          <w:i/>
          <w:u w:val="single"/>
        </w:rPr>
        <w:t>Germain v Republic Crim 1(a) 2005, 5 March 2007</w:t>
      </w:r>
      <w:r>
        <w:t xml:space="preserve"> the court also held that n</w:t>
      </w:r>
      <w:r w:rsidR="007C50CB">
        <w:t>on-compliance with a procedural requirement is not fatal to an appeal, provided that the appellant shows “good cause” to justify the non-compliance.</w:t>
      </w:r>
      <w:r>
        <w:t xml:space="preserve"> </w:t>
      </w:r>
      <w:r w:rsidR="007C50CB">
        <w:t>In deciding whether to grant leave to appeal, the court should take into account all the circumstances of the case, including the inte</w:t>
      </w:r>
      <w:r>
        <w:t>ntion of the applicant, diligence</w:t>
      </w:r>
      <w:r w:rsidR="007C50CB">
        <w:t xml:space="preserve"> of counsel, proper explanation for delay, extent of delay, undue prejudice, and the merits of the application for leave to appeal.</w:t>
      </w:r>
    </w:p>
    <w:p w:rsidR="0036550D" w:rsidRDefault="00834AA1" w:rsidP="00834AA1">
      <w:pPr>
        <w:pStyle w:val="JudgmentText"/>
      </w:pPr>
      <w:r>
        <w:t xml:space="preserve">Recently in the case of </w:t>
      </w:r>
      <w:r w:rsidR="000F2583" w:rsidRPr="00834AA1">
        <w:rPr>
          <w:i/>
          <w:u w:val="single"/>
        </w:rPr>
        <w:t>Den</w:t>
      </w:r>
      <w:r w:rsidR="00760D22">
        <w:rPr>
          <w:i/>
          <w:u w:val="single"/>
        </w:rPr>
        <w:t>ton and Others v</w:t>
      </w:r>
      <w:r w:rsidR="000F2583" w:rsidRPr="00834AA1">
        <w:rPr>
          <w:i/>
          <w:u w:val="single"/>
        </w:rPr>
        <w:t xml:space="preserve"> TH White limited [2014] 1 WLR 3926</w:t>
      </w:r>
      <w:r w:rsidR="000F2583">
        <w:t xml:space="preserve"> the Court of Appeal</w:t>
      </w:r>
      <w:r>
        <w:t xml:space="preserve"> [England]</w:t>
      </w:r>
      <w:r w:rsidR="000F2583">
        <w:t xml:space="preserve"> identified a 3-stage approach to applications for </w:t>
      </w:r>
      <w:r>
        <w:t xml:space="preserve">determining whether to grant leave to appeal out of time. </w:t>
      </w:r>
      <w:r w:rsidR="000F2583">
        <w:t xml:space="preserve">The first stage is to identify and assess the seriousness or significance of the failure to comply with the </w:t>
      </w:r>
      <w:r>
        <w:t>Rule</w:t>
      </w:r>
      <w:r w:rsidR="000F2583">
        <w:t xml:space="preserve">. If a Judge concludes that a breach is not serious or significant, then </w:t>
      </w:r>
      <w:r>
        <w:t>leave</w:t>
      </w:r>
      <w:r w:rsidR="000F2583">
        <w:t xml:space="preserve"> will usually be granted and it will be unnecessary usually then to spend much time on the second or third stages. If, however, the court decides that the breach is serious or significant, then the second and third stages assume greater import</w:t>
      </w:r>
      <w:r>
        <w:t xml:space="preserve">ance. </w:t>
      </w:r>
      <w:r w:rsidR="000F2583">
        <w:t>The second stage is not derived from the express wording of the rules but it is nonetheless important particularly where the breach is serious or significant. The Court should consider why t</w:t>
      </w:r>
      <w:r>
        <w:t xml:space="preserve">he failure or default occurred. </w:t>
      </w:r>
      <w:r w:rsidR="000F2583">
        <w:t xml:space="preserve">The third stage requires that in every case, the Court will consider all the circumstances of the case, so as to enable it to deal justly with the application. </w:t>
      </w:r>
    </w:p>
    <w:p w:rsidR="0036717F" w:rsidRDefault="00834AA1" w:rsidP="00834AA1">
      <w:pPr>
        <w:pStyle w:val="JudgmentText"/>
      </w:pPr>
      <w:r>
        <w:t xml:space="preserve">Having considered the Affidavit of </w:t>
      </w:r>
      <w:r w:rsidRPr="009E1A58">
        <w:t>Shanmovgasvndaram Pillay</w:t>
      </w:r>
      <w:r>
        <w:t xml:space="preserve"> and heard submissions of learned counsel, I am persuaded to believe that there was a genuine misapprehension on the part of the Appellant particularly noting that his counsel was indisposed and unavailable at the time. I also find that the </w:t>
      </w:r>
      <w:r w:rsidR="0036717F">
        <w:t>Tribunal did not finalised the matter until the 16</w:t>
      </w:r>
      <w:r w:rsidR="0036717F" w:rsidRPr="0036717F">
        <w:rPr>
          <w:vertAlign w:val="superscript"/>
        </w:rPr>
        <w:t>th</w:t>
      </w:r>
      <w:r w:rsidR="0036717F">
        <w:t xml:space="preserve"> October, 2020 when it had to rectify part of the judgment. Considering also that the delay is not inordinate, no prejudice would be caused to the Respondent should the appeal be heard on the merits.</w:t>
      </w:r>
    </w:p>
    <w:p w:rsidR="00834AA1" w:rsidRDefault="0036717F" w:rsidP="00834AA1">
      <w:pPr>
        <w:pStyle w:val="JudgmentText"/>
      </w:pPr>
      <w:r>
        <w:lastRenderedPageBreak/>
        <w:t>Consequently I accede to the Application and grant the Appellant leave to file the Appeal out of time. Such time should not be more than ten working days from today.</w:t>
      </w:r>
    </w:p>
    <w:p w:rsidR="0036717F" w:rsidRPr="007C50CB" w:rsidRDefault="0036717F" w:rsidP="00834AA1">
      <w:pPr>
        <w:pStyle w:val="JudgmentText"/>
      </w:pPr>
      <w:r>
        <w:t>Costs shall follow the Appeal.</w:t>
      </w:r>
    </w:p>
    <w:p w:rsidR="007C50CB" w:rsidRPr="007C50CB" w:rsidRDefault="007C50CB" w:rsidP="007C50CB">
      <w:pPr>
        <w:pStyle w:val="JudgmentText"/>
        <w:numPr>
          <w:ilvl w:val="0"/>
          <w:numId w:val="0"/>
        </w:numPr>
        <w:tabs>
          <w:tab w:val="left" w:pos="720"/>
        </w:tabs>
        <w:ind w:left="720"/>
      </w:pPr>
    </w:p>
    <w:p w:rsidR="00126B9A" w:rsidRDefault="00760D22" w:rsidP="00CC437E">
      <w:pPr>
        <w:keepNext/>
        <w:rPr>
          <w:rFonts w:ascii="Times New Roman" w:hAnsi="Times New Roman" w:cs="Times New Roman"/>
          <w:sz w:val="24"/>
          <w:szCs w:val="24"/>
        </w:rPr>
      </w:pPr>
      <w:r>
        <w:rPr>
          <w:rFonts w:ascii="Times New Roman" w:hAnsi="Times New Roman" w:cs="Times New Roman"/>
          <w:sz w:val="24"/>
          <w:szCs w:val="24"/>
        </w:rPr>
        <w:t>Signed, dated and delivered at Ile du Port, Mahe, on 14 June 2021.</w:t>
      </w:r>
    </w:p>
    <w:p w:rsidR="00743A1A" w:rsidRDefault="00743A1A" w:rsidP="00CC437E">
      <w:pPr>
        <w:keepNext/>
        <w:rPr>
          <w:rFonts w:ascii="Times New Roman" w:hAnsi="Times New Roman" w:cs="Times New Roman"/>
          <w:sz w:val="24"/>
          <w:szCs w:val="24"/>
        </w:rPr>
      </w:pPr>
    </w:p>
    <w:p w:rsidR="00743A1A" w:rsidRPr="004A2599" w:rsidRDefault="00743A1A" w:rsidP="00CC437E">
      <w:pPr>
        <w:keepNext/>
        <w:rPr>
          <w:rFonts w:ascii="Times New Roman" w:hAnsi="Times New Roman" w:cs="Times New Roman"/>
          <w:sz w:val="24"/>
          <w:szCs w:val="24"/>
        </w:rPr>
      </w:pPr>
    </w:p>
    <w:p w:rsidR="0070371E" w:rsidRPr="004A2599" w:rsidRDefault="0070371E" w:rsidP="0070371E">
      <w:pPr>
        <w:keepNext/>
        <w:rPr>
          <w:rFonts w:ascii="Times New Roman" w:hAnsi="Times New Roman" w:cs="Times New Roman"/>
          <w:sz w:val="24"/>
          <w:szCs w:val="24"/>
        </w:rPr>
      </w:pPr>
      <w:r w:rsidRPr="004A2599">
        <w:rPr>
          <w:rFonts w:ascii="Times New Roman" w:hAnsi="Times New Roman" w:cs="Times New Roman"/>
          <w:sz w:val="24"/>
          <w:szCs w:val="24"/>
        </w:rPr>
        <w:t>____________</w:t>
      </w:r>
    </w:p>
    <w:p w:rsidR="0070371E" w:rsidRDefault="004F50BB" w:rsidP="0070371E">
      <w:pPr>
        <w:keepNext/>
        <w:tabs>
          <w:tab w:val="left" w:pos="2160"/>
        </w:tabs>
        <w:rPr>
          <w:rFonts w:ascii="Times New Roman" w:hAnsi="Times New Roman" w:cs="Times New Roman"/>
          <w:sz w:val="24"/>
          <w:szCs w:val="24"/>
        </w:rPr>
      </w:pPr>
      <w:r>
        <w:rPr>
          <w:rFonts w:ascii="Times New Roman" w:hAnsi="Times New Roman" w:cs="Times New Roman"/>
          <w:sz w:val="24"/>
          <w:szCs w:val="24"/>
        </w:rPr>
        <w:t>G Dodin</w:t>
      </w:r>
    </w:p>
    <w:p w:rsidR="00235626" w:rsidRPr="00235626" w:rsidRDefault="004F50BB" w:rsidP="007C50CB">
      <w:pPr>
        <w:keepNext/>
        <w:tabs>
          <w:tab w:val="left" w:pos="2160"/>
        </w:tabs>
        <w:rPr>
          <w:rFonts w:ascii="Times New Roman" w:hAnsi="Times New Roman" w:cs="Times New Roman"/>
          <w:sz w:val="24"/>
          <w:szCs w:val="24"/>
        </w:rPr>
      </w:pPr>
      <w:r>
        <w:rPr>
          <w:rFonts w:ascii="Times New Roman" w:hAnsi="Times New Roman" w:cs="Times New Roman"/>
          <w:sz w:val="24"/>
          <w:szCs w:val="24"/>
        </w:rPr>
        <w:t>Judge</w:t>
      </w:r>
    </w:p>
    <w:sectPr w:rsidR="00235626" w:rsidRPr="00235626"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5BA3" w:rsidRDefault="007A5BA3" w:rsidP="006A68E2">
      <w:pPr>
        <w:spacing w:after="0" w:line="240" w:lineRule="auto"/>
      </w:pPr>
      <w:r>
        <w:separator/>
      </w:r>
    </w:p>
  </w:endnote>
  <w:endnote w:type="continuationSeparator" w:id="0">
    <w:p w:rsidR="007A5BA3" w:rsidRDefault="007A5BA3"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007354"/>
      <w:docPartObj>
        <w:docPartGallery w:val="Page Numbers (Bottom of Page)"/>
        <w:docPartUnique/>
      </w:docPartObj>
    </w:sdtPr>
    <w:sdtEndPr>
      <w:rPr>
        <w:noProof/>
      </w:rPr>
    </w:sdtEndPr>
    <w:sdtContent>
      <w:p w:rsidR="00F33B83" w:rsidRDefault="00F33B83">
        <w:pPr>
          <w:pStyle w:val="Footer"/>
          <w:jc w:val="center"/>
        </w:pPr>
        <w:r>
          <w:fldChar w:fldCharType="begin"/>
        </w:r>
        <w:r>
          <w:instrText xml:space="preserve"> PAGE   \* MERGEFORMAT </w:instrText>
        </w:r>
        <w:r>
          <w:fldChar w:fldCharType="separate"/>
        </w:r>
        <w:r w:rsidR="001E5F7C">
          <w:rPr>
            <w:noProof/>
          </w:rPr>
          <w:t>1</w:t>
        </w:r>
        <w:r>
          <w:rPr>
            <w:noProof/>
          </w:rPr>
          <w:fldChar w:fldCharType="end"/>
        </w:r>
      </w:p>
    </w:sdtContent>
  </w:sdt>
  <w:p w:rsidR="00F33B83" w:rsidRDefault="00F33B8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5BA3" w:rsidRDefault="007A5BA3" w:rsidP="006A68E2">
      <w:pPr>
        <w:spacing w:after="0" w:line="240" w:lineRule="auto"/>
      </w:pPr>
      <w:r>
        <w:separator/>
      </w:r>
    </w:p>
  </w:footnote>
  <w:footnote w:type="continuationSeparator" w:id="0">
    <w:p w:rsidR="007A5BA3" w:rsidRDefault="007A5BA3" w:rsidP="006A68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7542D2"/>
    <w:multiLevelType w:val="multilevel"/>
    <w:tmpl w:val="1CC89892"/>
    <w:numStyleLink w:val="Judgments"/>
  </w:abstractNum>
  <w:abstractNum w:abstractNumId="4"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5"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5F54AD"/>
    <w:multiLevelType w:val="hybridMultilevel"/>
    <w:tmpl w:val="80247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8E71462"/>
    <w:multiLevelType w:val="hybridMultilevel"/>
    <w:tmpl w:val="270C8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7"/>
  </w:num>
  <w:num w:numId="4">
    <w:abstractNumId w:val="4"/>
  </w:num>
  <w:num w:numId="5">
    <w:abstractNumId w:val="3"/>
    <w:lvlOverride w:ilvl="0">
      <w:lvl w:ilvl="0">
        <w:start w:val="1"/>
        <w:numFmt w:val="decimal"/>
        <w:pStyle w:val="JudgmentText"/>
        <w:lvlText w:val="[%1]"/>
        <w:lvlJc w:val="left"/>
        <w:pPr>
          <w:ind w:left="72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1"/>
  </w:num>
  <w:num w:numId="8">
    <w:abstractNumId w:val="8"/>
  </w:num>
  <w:num w:numId="9">
    <w:abstractNumId w:val="0"/>
  </w:num>
  <w:num w:numId="10">
    <w:abstractNumId w:val="8"/>
  </w:num>
  <w:num w:numId="11">
    <w:abstractNumId w:val="8"/>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D0"/>
    <w:rsid w:val="00025CDF"/>
    <w:rsid w:val="00040193"/>
    <w:rsid w:val="00071B84"/>
    <w:rsid w:val="0008560D"/>
    <w:rsid w:val="0009242F"/>
    <w:rsid w:val="00097D19"/>
    <w:rsid w:val="000F2583"/>
    <w:rsid w:val="001135C2"/>
    <w:rsid w:val="00126B9A"/>
    <w:rsid w:val="001428B9"/>
    <w:rsid w:val="001723B1"/>
    <w:rsid w:val="001C78EC"/>
    <w:rsid w:val="001D33D2"/>
    <w:rsid w:val="001E5F7C"/>
    <w:rsid w:val="00200534"/>
    <w:rsid w:val="002015F8"/>
    <w:rsid w:val="00212006"/>
    <w:rsid w:val="0021402A"/>
    <w:rsid w:val="00214DB4"/>
    <w:rsid w:val="00217AF2"/>
    <w:rsid w:val="00225798"/>
    <w:rsid w:val="00235626"/>
    <w:rsid w:val="00243AE1"/>
    <w:rsid w:val="002D4EB8"/>
    <w:rsid w:val="002E2AE3"/>
    <w:rsid w:val="0030256B"/>
    <w:rsid w:val="003137B8"/>
    <w:rsid w:val="003303B2"/>
    <w:rsid w:val="00344425"/>
    <w:rsid w:val="00346D7F"/>
    <w:rsid w:val="003615E7"/>
    <w:rsid w:val="0036550D"/>
    <w:rsid w:val="0036717F"/>
    <w:rsid w:val="00380619"/>
    <w:rsid w:val="003A6C9E"/>
    <w:rsid w:val="003E2E94"/>
    <w:rsid w:val="00403F4C"/>
    <w:rsid w:val="00405958"/>
    <w:rsid w:val="00412994"/>
    <w:rsid w:val="00463B4E"/>
    <w:rsid w:val="00472219"/>
    <w:rsid w:val="004A2599"/>
    <w:rsid w:val="004B7081"/>
    <w:rsid w:val="004C16E0"/>
    <w:rsid w:val="004F296A"/>
    <w:rsid w:val="004F50BB"/>
    <w:rsid w:val="00577D55"/>
    <w:rsid w:val="005A5FCB"/>
    <w:rsid w:val="005B12AA"/>
    <w:rsid w:val="0061354A"/>
    <w:rsid w:val="00635504"/>
    <w:rsid w:val="00652326"/>
    <w:rsid w:val="00662CEA"/>
    <w:rsid w:val="006A68E2"/>
    <w:rsid w:val="006D7D3B"/>
    <w:rsid w:val="006E456A"/>
    <w:rsid w:val="0070371E"/>
    <w:rsid w:val="00722761"/>
    <w:rsid w:val="00743A1A"/>
    <w:rsid w:val="00760D22"/>
    <w:rsid w:val="00796B89"/>
    <w:rsid w:val="007A5BA3"/>
    <w:rsid w:val="007C50CB"/>
    <w:rsid w:val="007D25FE"/>
    <w:rsid w:val="007D6D84"/>
    <w:rsid w:val="008001C8"/>
    <w:rsid w:val="00834AA1"/>
    <w:rsid w:val="008577B7"/>
    <w:rsid w:val="00865E21"/>
    <w:rsid w:val="00882012"/>
    <w:rsid w:val="008D123E"/>
    <w:rsid w:val="008E6EDF"/>
    <w:rsid w:val="008E771B"/>
    <w:rsid w:val="009430C8"/>
    <w:rsid w:val="00952755"/>
    <w:rsid w:val="009539C2"/>
    <w:rsid w:val="009A769C"/>
    <w:rsid w:val="009B495E"/>
    <w:rsid w:val="009E1A58"/>
    <w:rsid w:val="009F125D"/>
    <w:rsid w:val="00A1314C"/>
    <w:rsid w:val="00A2058F"/>
    <w:rsid w:val="00B03209"/>
    <w:rsid w:val="00B25AB8"/>
    <w:rsid w:val="00B931E7"/>
    <w:rsid w:val="00B950DF"/>
    <w:rsid w:val="00BB1A3E"/>
    <w:rsid w:val="00BC4D9A"/>
    <w:rsid w:val="00BC73B1"/>
    <w:rsid w:val="00BF1B80"/>
    <w:rsid w:val="00C2466E"/>
    <w:rsid w:val="00CC437E"/>
    <w:rsid w:val="00CC6AD0"/>
    <w:rsid w:val="00CD09C7"/>
    <w:rsid w:val="00D31F1B"/>
    <w:rsid w:val="00D33DBF"/>
    <w:rsid w:val="00D375CD"/>
    <w:rsid w:val="00D46FC4"/>
    <w:rsid w:val="00D710E7"/>
    <w:rsid w:val="00E1659A"/>
    <w:rsid w:val="00E322B4"/>
    <w:rsid w:val="00E94D82"/>
    <w:rsid w:val="00ED0BFC"/>
    <w:rsid w:val="00EF13E2"/>
    <w:rsid w:val="00F021A0"/>
    <w:rsid w:val="00F32DDF"/>
    <w:rsid w:val="00F33B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07EA6F-E344-4D90-B1D8-0DA95AF6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B0133-F47C-4ED2-A046-0CF461F6B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CJ</dc:creator>
  <cp:lastModifiedBy>Fabianna Savy</cp:lastModifiedBy>
  <cp:revision>2</cp:revision>
  <cp:lastPrinted>2021-03-26T06:31:00Z</cp:lastPrinted>
  <dcterms:created xsi:type="dcterms:W3CDTF">2022-06-21T10:59:00Z</dcterms:created>
  <dcterms:modified xsi:type="dcterms:W3CDTF">2022-06-21T10:59:00Z</dcterms:modified>
</cp:coreProperties>
</file>