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975B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w:t>
      </w:r>
      <w:r w:rsidR="006E56EB">
        <w:rPr>
          <w:rFonts w:ascii="Times New Roman" w:hAnsi="Times New Roman" w:cs="Times New Roman"/>
          <w:sz w:val="24"/>
          <w:szCs w:val="24"/>
        </w:rPr>
        <w:t xml:space="preserve"> </w:t>
      </w:r>
      <w:r w:rsidR="001F0930">
        <w:rPr>
          <w:rFonts w:ascii="Times New Roman" w:hAnsi="Times New Roman" w:cs="Times New Roman"/>
          <w:sz w:val="24"/>
          <w:szCs w:val="24"/>
        </w:rPr>
        <w:t>34</w:t>
      </w:r>
    </w:p>
    <w:p w:rsidR="002E2AE3" w:rsidRPr="004A2599" w:rsidRDefault="00B975B0"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6E56EB">
        <w:rPr>
          <w:rFonts w:ascii="Times New Roman" w:hAnsi="Times New Roman" w:cs="Times New Roman"/>
          <w:sz w:val="24"/>
          <w:szCs w:val="24"/>
        </w:rPr>
        <w:t xml:space="preserve"> </w:t>
      </w:r>
      <w:r>
        <w:rPr>
          <w:rFonts w:ascii="Times New Roman" w:hAnsi="Times New Roman" w:cs="Times New Roman"/>
          <w:sz w:val="24"/>
          <w:szCs w:val="24"/>
        </w:rPr>
        <w:t>100/2020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B975B0" w:rsidP="00214DB4">
      <w:pPr>
        <w:pStyle w:val="Partynames"/>
      </w:pPr>
      <w:r>
        <w:t>Heliconia Grove Pty Ltd</w:t>
      </w:r>
      <w:r w:rsidR="002E2AE3" w:rsidRPr="00214DB4">
        <w:tab/>
      </w:r>
      <w:r w:rsidR="00AE4F15">
        <w:tab/>
        <w:t>Applicant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EB5352">
        <w:t>Mr</w:t>
      </w:r>
      <w:r w:rsidR="00B975B0">
        <w:t>. F</w:t>
      </w:r>
      <w:r w:rsidR="004742D8">
        <w:t xml:space="preserve">. </w:t>
      </w:r>
      <w:r w:rsidR="00B975B0">
        <w:t>Elizabeth</w:t>
      </w:r>
      <w:r w:rsidR="00016689">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B975B0" w:rsidP="00214DB4">
      <w:pPr>
        <w:tabs>
          <w:tab w:val="left" w:pos="540"/>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Financial Assistance for Job Retention Committee</w:t>
      </w:r>
      <w:r>
        <w:rPr>
          <w:rFonts w:ascii="Times New Roman" w:hAnsi="Times New Roman" w:cs="Times New Roman"/>
          <w:b/>
          <w:sz w:val="24"/>
          <w:szCs w:val="24"/>
        </w:rPr>
        <w:tab/>
      </w:r>
      <w:r w:rsidR="00AE4F15">
        <w:rPr>
          <w:rFonts w:ascii="Times New Roman" w:hAnsi="Times New Roman" w:cs="Times New Roman"/>
          <w:b/>
          <w:sz w:val="24"/>
          <w:szCs w:val="24"/>
        </w:rPr>
        <w:t>Respondent</w:t>
      </w:r>
    </w:p>
    <w:p w:rsidR="00B975B0" w:rsidRPr="00214DB4" w:rsidRDefault="00B975B0" w:rsidP="00B975B0">
      <w:pPr>
        <w:pStyle w:val="Attorneysnames"/>
      </w:pPr>
      <w:r w:rsidRPr="00214DB4">
        <w:t>(</w:t>
      </w:r>
      <w:proofErr w:type="gramStart"/>
      <w:r w:rsidRPr="00214DB4">
        <w:t>rep</w:t>
      </w:r>
      <w:proofErr w:type="gramEnd"/>
      <w:r w:rsidRPr="00214DB4">
        <w:t xml:space="preserve">. by </w:t>
      </w:r>
      <w:r>
        <w:t>Mr</w:t>
      </w:r>
      <w:r w:rsidR="00EB5352">
        <w:t>.</w:t>
      </w:r>
      <w:r w:rsidR="001F0930">
        <w:t xml:space="preserve"> </w:t>
      </w:r>
      <w:r w:rsidR="00EB5352">
        <w:t xml:space="preserve">S. </w:t>
      </w:r>
      <w:r>
        <w:t>Knights)</w:t>
      </w:r>
    </w:p>
    <w:p w:rsidR="006E284F" w:rsidRDefault="006E284F" w:rsidP="00214DB4">
      <w:pPr>
        <w:spacing w:before="120" w:after="0" w:line="240" w:lineRule="auto"/>
        <w:ind w:left="1886" w:hanging="1886"/>
        <w:rPr>
          <w:rFonts w:ascii="Times New Roman" w:hAnsi="Times New Roman" w:cs="Times New Roman"/>
          <w:b/>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1F0930">
        <w:rPr>
          <w:rFonts w:ascii="Times New Roman" w:hAnsi="Times New Roman" w:cs="Times New Roman"/>
          <w:b/>
          <w:sz w:val="24"/>
          <w:szCs w:val="24"/>
        </w:rPr>
        <w:t xml:space="preserve"> </w:t>
      </w:r>
      <w:r w:rsidR="006E56EB">
        <w:rPr>
          <w:rFonts w:ascii="Times New Roman" w:hAnsi="Times New Roman" w:cs="Times New Roman"/>
          <w:b/>
          <w:sz w:val="24"/>
          <w:szCs w:val="24"/>
        </w:rPr>
        <w:tab/>
      </w:r>
      <w:proofErr w:type="spellStart"/>
      <w:r w:rsidR="00B975B0">
        <w:rPr>
          <w:rFonts w:ascii="Times New Roman" w:hAnsi="Times New Roman" w:cs="Times New Roman"/>
          <w:i/>
          <w:sz w:val="24"/>
          <w:szCs w:val="24"/>
        </w:rPr>
        <w:t>Heliconia</w:t>
      </w:r>
      <w:proofErr w:type="spellEnd"/>
      <w:r w:rsidR="001F0930">
        <w:rPr>
          <w:rFonts w:ascii="Times New Roman" w:hAnsi="Times New Roman" w:cs="Times New Roman"/>
          <w:i/>
          <w:sz w:val="24"/>
          <w:szCs w:val="24"/>
        </w:rPr>
        <w:t xml:space="preserve"> Grove Pty Ltd v Financial Assistance for Job Retention </w:t>
      </w:r>
      <w:r w:rsidR="006E56EB">
        <w:rPr>
          <w:rFonts w:ascii="Times New Roman" w:hAnsi="Times New Roman" w:cs="Times New Roman"/>
          <w:i/>
          <w:sz w:val="24"/>
          <w:szCs w:val="24"/>
        </w:rPr>
        <w:t xml:space="preserve">Committee </w:t>
      </w:r>
      <w:r w:rsidR="006E56EB" w:rsidRPr="006E56EB">
        <w:rPr>
          <w:rFonts w:ascii="Times New Roman" w:hAnsi="Times New Roman" w:cs="Times New Roman"/>
          <w:sz w:val="24"/>
          <w:szCs w:val="24"/>
        </w:rPr>
        <w:t>(</w:t>
      </w:r>
      <w:r w:rsidR="00B975B0">
        <w:rPr>
          <w:rFonts w:ascii="Times New Roman" w:hAnsi="Times New Roman" w:cs="Times New Roman"/>
          <w:sz w:val="24"/>
          <w:szCs w:val="24"/>
        </w:rPr>
        <w:t>MC 100/2020) [2022</w:t>
      </w:r>
      <w:r w:rsidR="00D31F1B" w:rsidRPr="004A2599">
        <w:rPr>
          <w:rFonts w:ascii="Times New Roman" w:hAnsi="Times New Roman" w:cs="Times New Roman"/>
          <w:sz w:val="24"/>
          <w:szCs w:val="24"/>
        </w:rPr>
        <w:t xml:space="preserve">] SCSC </w:t>
      </w:r>
      <w:r w:rsidR="001F0930">
        <w:rPr>
          <w:rFonts w:ascii="Times New Roman" w:hAnsi="Times New Roman" w:cs="Times New Roman"/>
          <w:sz w:val="24"/>
          <w:szCs w:val="24"/>
        </w:rPr>
        <w:t>34</w:t>
      </w:r>
      <w:r w:rsidR="006E56EB">
        <w:rPr>
          <w:rFonts w:ascii="Times New Roman" w:hAnsi="Times New Roman" w:cs="Times New Roman"/>
          <w:sz w:val="24"/>
          <w:szCs w:val="24"/>
        </w:rPr>
        <w:t xml:space="preserve"> (20 January 2022</w:t>
      </w:r>
      <w:r w:rsidR="0001668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E56EB">
        <w:rPr>
          <w:rFonts w:ascii="Times New Roman" w:hAnsi="Times New Roman" w:cs="Times New Roman"/>
          <w:sz w:val="24"/>
          <w:szCs w:val="24"/>
        </w:rPr>
        <w:t>ANDRE J</w:t>
      </w:r>
      <w:r w:rsidR="00016689">
        <w:rPr>
          <w:rFonts w:ascii="Times New Roman" w:hAnsi="Times New Roman" w:cs="Times New Roman"/>
          <w:sz w:val="24"/>
          <w:szCs w:val="24"/>
        </w:rPr>
        <w:t xml:space="preserve"> </w:t>
      </w:r>
    </w:p>
    <w:p w:rsidR="00344425" w:rsidRPr="004A2599" w:rsidRDefault="00346D7F" w:rsidP="00B975B0">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62F6D">
        <w:rPr>
          <w:rFonts w:ascii="Times New Roman" w:hAnsi="Times New Roman" w:cs="Times New Roman"/>
          <w:sz w:val="24"/>
          <w:szCs w:val="24"/>
        </w:rPr>
        <w:t>Ruling</w:t>
      </w:r>
      <w:r w:rsidR="00125C4A">
        <w:rPr>
          <w:rFonts w:ascii="Times New Roman" w:hAnsi="Times New Roman" w:cs="Times New Roman"/>
          <w:sz w:val="24"/>
          <w:szCs w:val="24"/>
        </w:rPr>
        <w:t xml:space="preserve"> </w:t>
      </w:r>
      <w:r w:rsidR="002E2AE3" w:rsidRPr="004A2599">
        <w:rPr>
          <w:rFonts w:ascii="Times New Roman" w:hAnsi="Times New Roman" w:cs="Times New Roman"/>
          <w:sz w:val="24"/>
          <w:szCs w:val="24"/>
        </w:rPr>
        <w:t xml:space="preserve">– </w:t>
      </w:r>
      <w:r w:rsidR="00B975B0">
        <w:rPr>
          <w:rFonts w:ascii="Times New Roman" w:hAnsi="Times New Roman" w:cs="Times New Roman"/>
          <w:sz w:val="24"/>
          <w:szCs w:val="24"/>
        </w:rPr>
        <w:t>Petition for leave to apply for judicial review</w:t>
      </w:r>
    </w:p>
    <w:p w:rsidR="00AE4F15"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975B0">
        <w:rPr>
          <w:rFonts w:ascii="Times New Roman" w:hAnsi="Times New Roman" w:cs="Times New Roman"/>
          <w:sz w:val="24"/>
          <w:szCs w:val="24"/>
        </w:rPr>
        <w:t>13 October 2021</w:t>
      </w:r>
    </w:p>
    <w:p w:rsidR="00ED0BFC" w:rsidRPr="006E284F"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E284F">
        <w:rPr>
          <w:rFonts w:ascii="Times New Roman" w:hAnsi="Times New Roman" w:cs="Times New Roman"/>
          <w:b/>
          <w:sz w:val="24"/>
          <w:szCs w:val="24"/>
        </w:rPr>
        <w:tab/>
      </w:r>
      <w:r w:rsidR="00B975B0">
        <w:rPr>
          <w:rFonts w:ascii="Times New Roman" w:hAnsi="Times New Roman" w:cs="Times New Roman"/>
          <w:sz w:val="24"/>
          <w:szCs w:val="24"/>
        </w:rPr>
        <w:t>20 January 2022</w:t>
      </w:r>
    </w:p>
    <w:p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ORDER</w:t>
      </w:r>
    </w:p>
    <w:p w:rsidR="00AE4F15" w:rsidRPr="004A2599"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rsidR="00F33B83" w:rsidRPr="007D25FE" w:rsidRDefault="00B975B0" w:rsidP="00214DB4">
      <w:pPr>
        <w:spacing w:line="240" w:lineRule="auto"/>
        <w:jc w:val="both"/>
        <w:rPr>
          <w:rFonts w:ascii="Times New Roman" w:hAnsi="Times New Roman" w:cs="Times New Roman"/>
          <w:sz w:val="24"/>
          <w:szCs w:val="24"/>
        </w:rPr>
      </w:pPr>
      <w:r>
        <w:rPr>
          <w:rFonts w:ascii="Times New Roman" w:hAnsi="Times New Roman" w:cs="Times New Roman"/>
          <w:sz w:val="24"/>
          <w:szCs w:val="24"/>
        </w:rPr>
        <w:t>The Petition for leave to apply for judicial review is dismissed</w:t>
      </w:r>
      <w:r w:rsidR="008E70DA">
        <w:rPr>
          <w:rFonts w:ascii="Times New Roman" w:hAnsi="Times New Roman" w:cs="Times New Roman"/>
          <w:sz w:val="24"/>
          <w:szCs w:val="24"/>
        </w:rPr>
        <w:t>, for</w:t>
      </w:r>
      <w:r>
        <w:rPr>
          <w:rFonts w:ascii="Times New Roman" w:hAnsi="Times New Roman" w:cs="Times New Roman"/>
          <w:sz w:val="24"/>
          <w:szCs w:val="24"/>
        </w:rPr>
        <w:t xml:space="preserve"> having been filed out of time</w:t>
      </w:r>
      <w:r w:rsidR="00EB5352">
        <w:rPr>
          <w:rFonts w:ascii="Times New Roman" w:hAnsi="Times New Roman" w:cs="Times New Roman"/>
          <w:sz w:val="24"/>
          <w:szCs w:val="24"/>
        </w:rPr>
        <w:t>.</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DB3CC8" w:rsidP="005B12AA">
      <w:pPr>
        <w:pStyle w:val="JudgmentText"/>
        <w:numPr>
          <w:ilvl w:val="0"/>
          <w:numId w:val="0"/>
        </w:numPr>
        <w:spacing w:line="480" w:lineRule="auto"/>
        <w:ind w:left="720" w:hanging="720"/>
        <w:rPr>
          <w:b/>
        </w:rPr>
      </w:pPr>
      <w:r>
        <w:rPr>
          <w:b/>
        </w:rPr>
        <w:t>ANDRE J</w:t>
      </w:r>
    </w:p>
    <w:p w:rsidR="00AE4F15" w:rsidRPr="006E284F" w:rsidRDefault="00AE4F15" w:rsidP="006E284F">
      <w:pPr>
        <w:pStyle w:val="Jjmntheading1"/>
      </w:pPr>
      <w:r w:rsidRPr="006E284F">
        <w:t>Introduction</w:t>
      </w:r>
    </w:p>
    <w:p w:rsidR="00B975B0" w:rsidRDefault="00B975B0" w:rsidP="00B975B0">
      <w:pPr>
        <w:spacing w:after="0" w:line="360" w:lineRule="auto"/>
        <w:ind w:left="720"/>
        <w:jc w:val="both"/>
        <w:rPr>
          <w:rFonts w:ascii="Times New Roman" w:hAnsi="Times New Roman" w:cs="Times New Roman"/>
          <w:sz w:val="24"/>
          <w:szCs w:val="24"/>
        </w:rPr>
      </w:pPr>
    </w:p>
    <w:p w:rsidR="00B975B0" w:rsidRDefault="00B975B0" w:rsidP="00982929">
      <w:pPr>
        <w:pStyle w:val="JudgmentText"/>
        <w:numPr>
          <w:ilvl w:val="0"/>
          <w:numId w:val="0"/>
        </w:numPr>
        <w:ind w:left="720" w:hanging="630"/>
      </w:pPr>
      <w:r>
        <w:t>[1]</w:t>
      </w:r>
      <w:r>
        <w:tab/>
        <w:t>This R</w:t>
      </w:r>
      <w:r w:rsidR="00982929">
        <w:t xml:space="preserve">uling arises out of </w:t>
      </w:r>
      <w:r>
        <w:t xml:space="preserve">a petition for leave to apply for judicial review, filed on 18 November 2020 </w:t>
      </w:r>
      <w:r w:rsidRPr="003A54EE">
        <w:t>by</w:t>
      </w:r>
      <w:r w:rsidR="001F0930">
        <w:t xml:space="preserve"> </w:t>
      </w:r>
      <w:r>
        <w:t>Hel</w:t>
      </w:r>
      <w:r w:rsidR="00F01D18">
        <w:t>i</w:t>
      </w:r>
      <w:r>
        <w:t>conia Grove Pty Ltd</w:t>
      </w:r>
      <w:r w:rsidR="00982929">
        <w:t xml:space="preserve"> (“petitioner”)</w:t>
      </w:r>
      <w:r>
        <w:t>.</w:t>
      </w:r>
      <w:r w:rsidR="00EB5352">
        <w:t xml:space="preserve">The </w:t>
      </w:r>
      <w:r w:rsidR="00E46C4C">
        <w:t>P</w:t>
      </w:r>
      <w:r>
        <w:t xml:space="preserve">etitioner is a company registered in Seychelles, and carrying on business in the hospitality and tourism industry and is represented by Mr. Bernard Pool, an </w:t>
      </w:r>
      <w:r w:rsidR="00982929">
        <w:t>accountant by profession and a d</w:t>
      </w:r>
      <w:r>
        <w:t xml:space="preserve">irector of the </w:t>
      </w:r>
      <w:r w:rsidR="00E46C4C">
        <w:t>P</w:t>
      </w:r>
      <w:r w:rsidR="00982929">
        <w:t xml:space="preserve">etitioner. </w:t>
      </w:r>
    </w:p>
    <w:p w:rsidR="00B975B0" w:rsidRDefault="00B975B0" w:rsidP="00B975B0">
      <w:pPr>
        <w:pStyle w:val="JudgmentText"/>
      </w:pPr>
      <w:r>
        <w:lastRenderedPageBreak/>
        <w:t>T</w:t>
      </w:r>
      <w:r w:rsidR="00982929">
        <w:t xml:space="preserve">he </w:t>
      </w:r>
      <w:r w:rsidR="00E46C4C">
        <w:t>R</w:t>
      </w:r>
      <w:r>
        <w:t>espondent is the Financial Assistance for Job Retention Committee (FA4JR) a Committee established by the Ex-President of the Republic Danny Faure on or about 20 March 2020 to</w:t>
      </w:r>
      <w:r w:rsidRPr="00966289">
        <w:t xml:space="preserve"> support </w:t>
      </w:r>
      <w:r>
        <w:t xml:space="preserve">private </w:t>
      </w:r>
      <w:r w:rsidRPr="00966289">
        <w:t>businesses</w:t>
      </w:r>
      <w:r>
        <w:t>, NGO’s and self-employed persons</w:t>
      </w:r>
      <w:r w:rsidRPr="00966289">
        <w:t xml:space="preserve"> to maintain their workforce during the economic recession caused by the Covid-19 pandemic. </w:t>
      </w:r>
      <w:r>
        <w:t xml:space="preserve">The scheme was administered by the Ministry of Finance, Trade, Investment and Economic Planning and a committee was established to process applications submitted for the financial scheme. The Committee was </w:t>
      </w:r>
      <w:r w:rsidR="00982929">
        <w:t>represented by its c</w:t>
      </w:r>
      <w:r>
        <w:t>hairman, Mr. Patrick Payet, also</w:t>
      </w:r>
      <w:r w:rsidR="001F0930">
        <w:t xml:space="preserve"> </w:t>
      </w:r>
      <w:r>
        <w:t xml:space="preserve">the </w:t>
      </w:r>
      <w:r w:rsidRPr="0024126A">
        <w:t>Secretary of State for Finance.</w:t>
      </w:r>
    </w:p>
    <w:p w:rsidR="00B975B0" w:rsidRDefault="00982929" w:rsidP="00B975B0">
      <w:pPr>
        <w:pStyle w:val="JudgmentText"/>
      </w:pPr>
      <w:r>
        <w:t xml:space="preserve">According to the </w:t>
      </w:r>
      <w:r w:rsidR="00E46C4C">
        <w:t>P</w:t>
      </w:r>
      <w:r>
        <w:t>etitioner, the c</w:t>
      </w:r>
      <w:r w:rsidR="00B975B0">
        <w:t>ommittee’s mandate was to:</w:t>
      </w:r>
    </w:p>
    <w:p w:rsidR="00B975B0" w:rsidRPr="00A80AC5" w:rsidRDefault="00B975B0" w:rsidP="006606AF">
      <w:pPr>
        <w:pStyle w:val="JudgmentText"/>
        <w:numPr>
          <w:ilvl w:val="1"/>
          <w:numId w:val="5"/>
        </w:numPr>
        <w:spacing w:line="240" w:lineRule="auto"/>
        <w:ind w:left="1701" w:right="996" w:hanging="283"/>
        <w:rPr>
          <w:i/>
        </w:rPr>
      </w:pPr>
      <w:r w:rsidRPr="00A80AC5">
        <w:rPr>
          <w:i/>
        </w:rPr>
        <w:t xml:space="preserve">review applications submitted by private businesses, non-governmental organisations which receive their funding directly through some tourism establishments with proper payrolls and, </w:t>
      </w:r>
      <w:proofErr w:type="spellStart"/>
      <w:r w:rsidRPr="00A80AC5">
        <w:rPr>
          <w:i/>
        </w:rPr>
        <w:t>sole</w:t>
      </w:r>
      <w:proofErr w:type="spellEnd"/>
      <w:r w:rsidRPr="00A80AC5">
        <w:rPr>
          <w:i/>
        </w:rPr>
        <w:t xml:space="preserve"> traders who are registered with the Seychelles Revenue Commission; and </w:t>
      </w:r>
    </w:p>
    <w:p w:rsidR="00666473" w:rsidRPr="001F0930" w:rsidRDefault="00B975B0" w:rsidP="001F0930">
      <w:pPr>
        <w:pStyle w:val="JudgmentText"/>
        <w:numPr>
          <w:ilvl w:val="1"/>
          <w:numId w:val="5"/>
        </w:numPr>
        <w:spacing w:line="240" w:lineRule="auto"/>
        <w:ind w:left="1701" w:right="996" w:hanging="283"/>
        <w:rPr>
          <w:i/>
        </w:rPr>
      </w:pPr>
      <w:proofErr w:type="gramStart"/>
      <w:r w:rsidRPr="00A80AC5">
        <w:rPr>
          <w:i/>
        </w:rPr>
        <w:t>provide</w:t>
      </w:r>
      <w:proofErr w:type="gramEnd"/>
      <w:r w:rsidRPr="00A80AC5">
        <w:rPr>
          <w:i/>
        </w:rPr>
        <w:t xml:space="preserve"> help to non-governmental organisations and businesses to pay the salaries of their employees for the months of April, May and June 2020 in an effort to help retain jobs in the private sector.</w:t>
      </w:r>
      <w:r w:rsidRPr="001F0930">
        <w:rPr>
          <w:i/>
        </w:rPr>
        <w:tab/>
      </w:r>
    </w:p>
    <w:p w:rsidR="00982929" w:rsidRDefault="00982929" w:rsidP="00982929">
      <w:pPr>
        <w:pStyle w:val="Jjmntheading1"/>
      </w:pPr>
      <w:r>
        <w:t xml:space="preserve">Background of the </w:t>
      </w:r>
      <w:r w:rsidR="00666473">
        <w:t>C</w:t>
      </w:r>
      <w:r>
        <w:t>ase</w:t>
      </w:r>
    </w:p>
    <w:p w:rsidR="00982929" w:rsidRDefault="00982929" w:rsidP="00982929">
      <w:pPr>
        <w:pStyle w:val="JudgmentText"/>
      </w:pPr>
      <w:r>
        <w:t xml:space="preserve">On 18 November 2020, the </w:t>
      </w:r>
      <w:r w:rsidR="00666473">
        <w:t>P</w:t>
      </w:r>
      <w:r>
        <w:t xml:space="preserve">etitioner filed petition MC 100/2020 for leave to apply for judicial review, after having applied for financial assistance from the </w:t>
      </w:r>
      <w:r w:rsidR="00666473">
        <w:t>R</w:t>
      </w:r>
      <w:r>
        <w:t>espondent on 8 April 2020 and their financial application was refused.</w:t>
      </w:r>
    </w:p>
    <w:p w:rsidR="00982929" w:rsidRDefault="00982929" w:rsidP="00982929">
      <w:pPr>
        <w:pStyle w:val="JudgmentText"/>
      </w:pPr>
      <w:r>
        <w:t xml:space="preserve">The </w:t>
      </w:r>
      <w:r w:rsidR="00666473">
        <w:t>R</w:t>
      </w:r>
      <w:r>
        <w:t xml:space="preserve">espondent’s </w:t>
      </w:r>
      <w:r w:rsidR="00666473">
        <w:t>C</w:t>
      </w:r>
      <w:r>
        <w:t>ounsel filed two objections to the Petition on 15 July 2021 namely that:</w:t>
      </w:r>
    </w:p>
    <w:p w:rsidR="00982929" w:rsidRPr="001562AE" w:rsidRDefault="00982929" w:rsidP="006606AF">
      <w:pPr>
        <w:pStyle w:val="JudgmentText"/>
        <w:numPr>
          <w:ilvl w:val="1"/>
          <w:numId w:val="5"/>
        </w:numPr>
        <w:spacing w:line="240" w:lineRule="auto"/>
        <w:ind w:left="1418" w:right="1138" w:hanging="284"/>
        <w:rPr>
          <w:i/>
        </w:rPr>
      </w:pPr>
      <w:r w:rsidRPr="001562AE">
        <w:rPr>
          <w:i/>
        </w:rPr>
        <w:t>the petition offends rule 2 of the Supreme Court (Supervisory Jurisdiction over Subordinate Courts, Tribunals and Adjudicating Authorities) Rules in that the petition is not accompanied by an affidavit; and</w:t>
      </w:r>
    </w:p>
    <w:p w:rsidR="00982929" w:rsidRPr="001562AE" w:rsidRDefault="00982929" w:rsidP="006606AF">
      <w:pPr>
        <w:pStyle w:val="JudgmentText"/>
        <w:numPr>
          <w:ilvl w:val="1"/>
          <w:numId w:val="5"/>
        </w:numPr>
        <w:spacing w:line="240" w:lineRule="auto"/>
        <w:ind w:left="1418" w:right="1138" w:hanging="284"/>
        <w:rPr>
          <w:i/>
        </w:rPr>
      </w:pPr>
      <w:r w:rsidRPr="001562AE">
        <w:rPr>
          <w:i/>
        </w:rPr>
        <w:t>the petition offends rule 4 of the Supreme Court (Supervisory Jurisdiction over Subordinate Courts, Tribunals and Adjudicating Authorities) Rules in th</w:t>
      </w:r>
      <w:r w:rsidR="00A80AC5">
        <w:rPr>
          <w:i/>
        </w:rPr>
        <w:t>at it was filed out of time;</w:t>
      </w:r>
    </w:p>
    <w:p w:rsidR="00982929" w:rsidRPr="00996936" w:rsidRDefault="00982929" w:rsidP="00982929">
      <w:pPr>
        <w:pStyle w:val="JudgmentText"/>
      </w:pPr>
      <w:r>
        <w:lastRenderedPageBreak/>
        <w:t xml:space="preserve">Rule 2 of the </w:t>
      </w:r>
      <w:bookmarkStart w:id="0" w:name="SI40of1995"/>
      <w:r>
        <w:t>S</w:t>
      </w:r>
      <w:r w:rsidRPr="00982929">
        <w:rPr>
          <w:lang w:val="en-US"/>
        </w:rPr>
        <w:t>upreme Court (Supervisory Jurisdiction over Subordinate Courts, Tribunals and Adjudicating Authorities) Rules</w:t>
      </w:r>
      <w:bookmarkEnd w:id="0"/>
      <w:r w:rsidRPr="00982929">
        <w:rPr>
          <w:lang w:val="en-US"/>
        </w:rPr>
        <w:t xml:space="preserve"> (1995)</w:t>
      </w:r>
      <w:proofErr w:type="gramStart"/>
      <w:r w:rsidRPr="00982929">
        <w:rPr>
          <w:lang w:val="en-US"/>
        </w:rPr>
        <w:t>,</w:t>
      </w:r>
      <w:r w:rsidRPr="00996936">
        <w:t>provide</w:t>
      </w:r>
      <w:r w:rsidR="00A80AC5">
        <w:t>s</w:t>
      </w:r>
      <w:proofErr w:type="gramEnd"/>
      <w:r w:rsidRPr="00996936">
        <w:t xml:space="preserve"> for the practice and procedure of the Supreme Court in respect of applications.</w:t>
      </w:r>
    </w:p>
    <w:p w:rsidR="00982929" w:rsidRPr="00996936" w:rsidRDefault="00982929" w:rsidP="00982929">
      <w:pPr>
        <w:pStyle w:val="JudgmentText"/>
      </w:pPr>
      <w:r>
        <w:t>Rule 2</w:t>
      </w:r>
      <w:r w:rsidRPr="00996936">
        <w:t xml:space="preserve">(1) </w:t>
      </w:r>
      <w:r>
        <w:t>provides that an</w:t>
      </w:r>
      <w:r w:rsidRPr="00996936">
        <w:t xml:space="preserve"> application to the Supreme Court shall be made by petition</w:t>
      </w:r>
      <w:r>
        <w:t>,</w:t>
      </w:r>
      <w:r w:rsidRPr="00996936">
        <w:t xml:space="preserve"> accompanied by an affidavit in support of the averments set out in the petition.</w:t>
      </w:r>
    </w:p>
    <w:p w:rsidR="00982929" w:rsidRPr="00996936" w:rsidRDefault="00982929" w:rsidP="00982929">
      <w:pPr>
        <w:pStyle w:val="JudgmentText"/>
      </w:pPr>
      <w:r>
        <w:t>Rule 2(2) provides that t</w:t>
      </w:r>
      <w:r w:rsidRPr="00996936">
        <w:t xml:space="preserve">he </w:t>
      </w:r>
      <w:r w:rsidR="00666473">
        <w:t>P</w:t>
      </w:r>
      <w:r w:rsidRPr="00996936">
        <w:t>etitioner shall annex to the petition</w:t>
      </w:r>
      <w:r>
        <w:t>,</w:t>
      </w:r>
      <w:r w:rsidRPr="00996936">
        <w:t xml:space="preserve"> a certified copy of the order or decision sought to be canvassed and originals of documents material to the petition or certified copies thereof in the form of exhibits.</w:t>
      </w:r>
    </w:p>
    <w:p w:rsidR="00982929" w:rsidRDefault="00982929" w:rsidP="00982929">
      <w:pPr>
        <w:pStyle w:val="JudgmentText"/>
      </w:pPr>
      <w:r>
        <w:t>Rule 3 provides that the petition under Rule 2 shall contain a statement of -</w:t>
      </w:r>
    </w:p>
    <w:p w:rsidR="00982929" w:rsidRPr="00174979" w:rsidRDefault="00982929" w:rsidP="00A80AC5">
      <w:pPr>
        <w:pStyle w:val="JudgmentText"/>
        <w:numPr>
          <w:ilvl w:val="0"/>
          <w:numId w:val="0"/>
        </w:numPr>
        <w:spacing w:after="0" w:line="240" w:lineRule="auto"/>
        <w:ind w:left="1134" w:right="1138"/>
        <w:rPr>
          <w:i/>
        </w:rPr>
      </w:pPr>
      <w:r>
        <w:t>(</w:t>
      </w:r>
      <w:r w:rsidRPr="00174979">
        <w:rPr>
          <w:i/>
        </w:rPr>
        <w:t xml:space="preserve">a) </w:t>
      </w:r>
      <w:proofErr w:type="gramStart"/>
      <w:r w:rsidRPr="00174979">
        <w:rPr>
          <w:i/>
        </w:rPr>
        <w:t>the</w:t>
      </w:r>
      <w:proofErr w:type="gramEnd"/>
      <w:r w:rsidRPr="00174979">
        <w:rPr>
          <w:i/>
        </w:rPr>
        <w:t xml:space="preserve"> name, address and description of the petitioner;</w:t>
      </w:r>
    </w:p>
    <w:p w:rsidR="00982929" w:rsidRPr="00174979" w:rsidRDefault="00982929" w:rsidP="00A80AC5">
      <w:pPr>
        <w:pStyle w:val="JudgmentText"/>
        <w:numPr>
          <w:ilvl w:val="0"/>
          <w:numId w:val="0"/>
        </w:numPr>
        <w:spacing w:after="0" w:line="240" w:lineRule="auto"/>
        <w:ind w:left="1134" w:right="1138"/>
        <w:rPr>
          <w:i/>
        </w:rPr>
      </w:pPr>
      <w:r w:rsidRPr="00174979">
        <w:rPr>
          <w:i/>
        </w:rPr>
        <w:t xml:space="preserve">(b) </w:t>
      </w:r>
      <w:proofErr w:type="gramStart"/>
      <w:r w:rsidRPr="00174979">
        <w:rPr>
          <w:i/>
        </w:rPr>
        <w:t>the</w:t>
      </w:r>
      <w:proofErr w:type="gramEnd"/>
      <w:r w:rsidRPr="00174979">
        <w:rPr>
          <w:i/>
        </w:rPr>
        <w:t xml:space="preserve"> relief sought and the grounds upon which it is sought;</w:t>
      </w:r>
    </w:p>
    <w:p w:rsidR="00982929" w:rsidRPr="00174979" w:rsidRDefault="00982929" w:rsidP="00A80AC5">
      <w:pPr>
        <w:pStyle w:val="JudgmentText"/>
        <w:numPr>
          <w:ilvl w:val="0"/>
          <w:numId w:val="0"/>
        </w:numPr>
        <w:spacing w:after="0" w:line="240" w:lineRule="auto"/>
        <w:ind w:left="1134" w:right="1138"/>
        <w:rPr>
          <w:i/>
        </w:rPr>
      </w:pPr>
      <w:r w:rsidRPr="00174979">
        <w:rPr>
          <w:i/>
        </w:rPr>
        <w:t xml:space="preserve">(c) </w:t>
      </w:r>
      <w:proofErr w:type="gramStart"/>
      <w:r w:rsidRPr="00174979">
        <w:rPr>
          <w:i/>
        </w:rPr>
        <w:t>the</w:t>
      </w:r>
      <w:proofErr w:type="gramEnd"/>
      <w:r w:rsidRPr="00174979">
        <w:rPr>
          <w:i/>
        </w:rPr>
        <w:t xml:space="preserve"> name and address of the petitioner’s attorney at law, (if any);</w:t>
      </w:r>
    </w:p>
    <w:p w:rsidR="00982929" w:rsidRPr="00174979" w:rsidRDefault="00982929" w:rsidP="00666473">
      <w:pPr>
        <w:pStyle w:val="JudgmentText"/>
        <w:numPr>
          <w:ilvl w:val="0"/>
          <w:numId w:val="0"/>
        </w:numPr>
        <w:spacing w:after="0" w:line="240" w:lineRule="auto"/>
        <w:ind w:left="1418" w:right="1138" w:hanging="284"/>
        <w:rPr>
          <w:i/>
        </w:rPr>
      </w:pPr>
      <w:r w:rsidRPr="00174979">
        <w:rPr>
          <w:i/>
        </w:rPr>
        <w:t xml:space="preserve">(d) </w:t>
      </w:r>
      <w:r w:rsidR="00666473" w:rsidRPr="00174979">
        <w:rPr>
          <w:i/>
        </w:rPr>
        <w:t>The</w:t>
      </w:r>
      <w:r w:rsidRPr="00174979">
        <w:rPr>
          <w:i/>
        </w:rPr>
        <w:t xml:space="preserve"> name, address and description of the respondent or each of the respondents;</w:t>
      </w:r>
    </w:p>
    <w:p w:rsidR="00982929" w:rsidRPr="00CF5F79" w:rsidRDefault="00982929" w:rsidP="00A80AC5">
      <w:pPr>
        <w:pStyle w:val="JudgmentText"/>
        <w:numPr>
          <w:ilvl w:val="0"/>
          <w:numId w:val="0"/>
        </w:numPr>
        <w:spacing w:after="0" w:line="240" w:lineRule="auto"/>
        <w:ind w:left="1134" w:right="1138"/>
        <w:rPr>
          <w:i/>
        </w:rPr>
      </w:pPr>
      <w:r w:rsidRPr="00174979">
        <w:rPr>
          <w:i/>
        </w:rPr>
        <w:t xml:space="preserve">(e) </w:t>
      </w:r>
      <w:proofErr w:type="gramStart"/>
      <w:r w:rsidRPr="00174979">
        <w:rPr>
          <w:i/>
        </w:rPr>
        <w:t>a</w:t>
      </w:r>
      <w:proofErr w:type="gramEnd"/>
      <w:r w:rsidRPr="00174979">
        <w:rPr>
          <w:i/>
        </w:rPr>
        <w:t xml:space="preserve"> claim for damages, if any, and a prayer for costs</w:t>
      </w:r>
      <w:r w:rsidRPr="00CF5F79">
        <w:rPr>
          <w:i/>
        </w:rPr>
        <w:t>.”</w:t>
      </w:r>
    </w:p>
    <w:p w:rsidR="00982929" w:rsidRDefault="00982929" w:rsidP="00982929">
      <w:pPr>
        <w:pStyle w:val="JudgmentText"/>
        <w:numPr>
          <w:ilvl w:val="0"/>
          <w:numId w:val="0"/>
        </w:numPr>
        <w:spacing w:after="0" w:line="240" w:lineRule="auto"/>
        <w:ind w:left="1004"/>
      </w:pPr>
    </w:p>
    <w:p w:rsidR="00666473" w:rsidRDefault="00982929" w:rsidP="007921AD">
      <w:pPr>
        <w:pStyle w:val="JudgmentText"/>
      </w:pPr>
      <w:r>
        <w:t>T</w:t>
      </w:r>
      <w:r w:rsidR="00EB5352">
        <w:t xml:space="preserve">he </w:t>
      </w:r>
      <w:r w:rsidR="00666473">
        <w:t>P</w:t>
      </w:r>
      <w:r w:rsidRPr="0087453A">
        <w:t xml:space="preserve">etitioner </w:t>
      </w:r>
      <w:r>
        <w:t xml:space="preserve">initially filed application MC 100/2020 on 18 November 2020 as stated above. The application was titled “Notice of application for apply </w:t>
      </w:r>
      <w:r w:rsidRPr="0087453A">
        <w:t>for judicial review</w:t>
      </w:r>
      <w:r>
        <w:t>”. The</w:t>
      </w:r>
      <w:r w:rsidRPr="00A37A11">
        <w:t xml:space="preserve"> name, address an</w:t>
      </w:r>
      <w:r>
        <w:t xml:space="preserve">d description of the </w:t>
      </w:r>
      <w:r w:rsidR="00666473">
        <w:t>P</w:t>
      </w:r>
      <w:r>
        <w:t xml:space="preserve">etitioner was cited as </w:t>
      </w:r>
      <w:r w:rsidRPr="00A37A11">
        <w:t>Hel</w:t>
      </w:r>
      <w:r w:rsidR="00F01D18">
        <w:t>i</w:t>
      </w:r>
      <w:r w:rsidRPr="00A37A11">
        <w:t>conia Grove Pty Ltd</w:t>
      </w:r>
      <w:r>
        <w:t xml:space="preserve">, a company registered in Seychelles bearing registration number 848768-2. </w:t>
      </w:r>
    </w:p>
    <w:p w:rsidR="00982929" w:rsidRDefault="00982929" w:rsidP="007921AD">
      <w:pPr>
        <w:pStyle w:val="JudgmentText"/>
      </w:pPr>
      <w:r>
        <w:t xml:space="preserve">The </w:t>
      </w:r>
      <w:r w:rsidR="00666473">
        <w:t>P</w:t>
      </w:r>
      <w:r>
        <w:t>etitioner outline</w:t>
      </w:r>
      <w:r w:rsidR="00D01A4E">
        <w:t>d</w:t>
      </w:r>
      <w:r>
        <w:t xml:space="preserve"> the factual background in a section titled </w:t>
      </w:r>
      <w:r w:rsidR="00D01A4E">
        <w:t>‘</w:t>
      </w:r>
      <w:r>
        <w:t>the grounds on which the relief is sought</w:t>
      </w:r>
      <w:r w:rsidR="00D01A4E">
        <w:t>’</w:t>
      </w:r>
      <w:r>
        <w:t>, and in paragraphs 13 to 16 state</w:t>
      </w:r>
      <w:r w:rsidR="00D01A4E">
        <w:t>d</w:t>
      </w:r>
      <w:r>
        <w:t xml:space="preserve"> that:</w:t>
      </w:r>
    </w:p>
    <w:p w:rsidR="00982929" w:rsidRPr="006606AF" w:rsidRDefault="00982929" w:rsidP="006606AF">
      <w:pPr>
        <w:pStyle w:val="JudgmentText"/>
        <w:numPr>
          <w:ilvl w:val="1"/>
          <w:numId w:val="5"/>
        </w:numPr>
        <w:spacing w:after="0" w:line="240" w:lineRule="auto"/>
        <w:ind w:right="1140" w:hanging="306"/>
        <w:rPr>
          <w:i/>
        </w:rPr>
      </w:pPr>
      <w:r w:rsidRPr="006606AF">
        <w:rPr>
          <w:i/>
        </w:rPr>
        <w:t xml:space="preserve">the respondent failed, refused or neglected to provide it with financial assistance under the FA4JR scheme; </w:t>
      </w:r>
    </w:p>
    <w:p w:rsidR="00982929" w:rsidRPr="006606AF" w:rsidRDefault="00982929" w:rsidP="006606AF">
      <w:pPr>
        <w:pStyle w:val="JudgmentText"/>
        <w:numPr>
          <w:ilvl w:val="1"/>
          <w:numId w:val="5"/>
        </w:numPr>
        <w:spacing w:after="0" w:line="240" w:lineRule="auto"/>
        <w:ind w:right="1140" w:hanging="306"/>
        <w:rPr>
          <w:i/>
        </w:rPr>
      </w:pPr>
      <w:r w:rsidRPr="006606AF">
        <w:rPr>
          <w:i/>
        </w:rPr>
        <w:t>the respondent</w:t>
      </w:r>
      <w:r w:rsidR="00691274" w:rsidRPr="006606AF">
        <w:rPr>
          <w:i/>
        </w:rPr>
        <w:t>’</w:t>
      </w:r>
      <w:r w:rsidRPr="006606AF">
        <w:rPr>
          <w:i/>
        </w:rPr>
        <w:t xml:space="preserve">s decisions mentioned in the petition (paragraphs 6, 8,9,10, 11 and 12) were manifestly and grossly unreasonable, unfair and unjust; </w:t>
      </w:r>
    </w:p>
    <w:p w:rsidR="00982929" w:rsidRPr="006606AF" w:rsidRDefault="00982929" w:rsidP="006606AF">
      <w:pPr>
        <w:pStyle w:val="JudgmentText"/>
        <w:numPr>
          <w:ilvl w:val="1"/>
          <w:numId w:val="5"/>
        </w:numPr>
        <w:spacing w:after="0" w:line="240" w:lineRule="auto"/>
        <w:ind w:right="1140" w:hanging="306"/>
        <w:rPr>
          <w:i/>
        </w:rPr>
      </w:pPr>
      <w:r w:rsidRPr="006606AF">
        <w:rPr>
          <w:i/>
        </w:rPr>
        <w:t>the respondent</w:t>
      </w:r>
      <w:r w:rsidR="00691274" w:rsidRPr="006606AF">
        <w:rPr>
          <w:i/>
        </w:rPr>
        <w:t>’s</w:t>
      </w:r>
      <w:r w:rsidRPr="006606AF">
        <w:rPr>
          <w:i/>
        </w:rPr>
        <w:t xml:space="preserve"> decisions are without merit and justification; </w:t>
      </w:r>
    </w:p>
    <w:p w:rsidR="00982929" w:rsidRDefault="00691274" w:rsidP="006606AF">
      <w:pPr>
        <w:pStyle w:val="JudgmentText"/>
        <w:numPr>
          <w:ilvl w:val="1"/>
          <w:numId w:val="5"/>
        </w:numPr>
        <w:spacing w:after="0" w:line="240" w:lineRule="auto"/>
        <w:ind w:right="1140" w:hanging="306"/>
        <w:rPr>
          <w:i/>
        </w:rPr>
      </w:pPr>
      <w:proofErr w:type="gramStart"/>
      <w:r w:rsidRPr="006606AF">
        <w:rPr>
          <w:i/>
        </w:rPr>
        <w:t>the</w:t>
      </w:r>
      <w:proofErr w:type="gramEnd"/>
      <w:r w:rsidRPr="006606AF">
        <w:rPr>
          <w:i/>
        </w:rPr>
        <w:t xml:space="preserve"> r</w:t>
      </w:r>
      <w:r w:rsidR="00982929" w:rsidRPr="006606AF">
        <w:rPr>
          <w:i/>
        </w:rPr>
        <w:t xml:space="preserve">espondent’s decisions are contrary to the rule of natural justice and liable to be quashed by the court by issuance of a writ of certiorari. </w:t>
      </w:r>
    </w:p>
    <w:p w:rsidR="00D01A4E" w:rsidRPr="006606AF" w:rsidRDefault="00D01A4E" w:rsidP="006606AF">
      <w:pPr>
        <w:pStyle w:val="JudgmentText"/>
        <w:numPr>
          <w:ilvl w:val="0"/>
          <w:numId w:val="0"/>
        </w:numPr>
        <w:spacing w:after="0" w:line="240" w:lineRule="auto"/>
        <w:ind w:left="1440" w:right="1140"/>
        <w:rPr>
          <w:i/>
        </w:rPr>
      </w:pPr>
    </w:p>
    <w:p w:rsidR="00982929" w:rsidRDefault="00691274" w:rsidP="00982929">
      <w:pPr>
        <w:pStyle w:val="JudgmentText"/>
      </w:pPr>
      <w:r>
        <w:lastRenderedPageBreak/>
        <w:t xml:space="preserve">The </w:t>
      </w:r>
      <w:r w:rsidR="00666473">
        <w:t>P</w:t>
      </w:r>
      <w:r w:rsidR="00982929">
        <w:t xml:space="preserve">etitioner </w:t>
      </w:r>
      <w:r>
        <w:t xml:space="preserve">however </w:t>
      </w:r>
      <w:r w:rsidR="00982929">
        <w:t xml:space="preserve">fails to explain in what manner the decision by the FA4JR committee was unreasonable, unfair, </w:t>
      </w:r>
      <w:r w:rsidR="00666473">
        <w:t xml:space="preserve">and </w:t>
      </w:r>
      <w:r w:rsidR="00982929">
        <w:t xml:space="preserve">unjust, </w:t>
      </w:r>
      <w:r w:rsidR="00666473">
        <w:t xml:space="preserve">as well as on what basis it was </w:t>
      </w:r>
      <w:r w:rsidR="00982929">
        <w:t xml:space="preserve">without merit and justification and why the decision </w:t>
      </w:r>
      <w:r w:rsidR="00666473">
        <w:t>was</w:t>
      </w:r>
      <w:r w:rsidR="00982929">
        <w:t xml:space="preserve"> contrary to the rules of natural justice.</w:t>
      </w:r>
    </w:p>
    <w:p w:rsidR="00982929" w:rsidRDefault="00982929" w:rsidP="00982929">
      <w:pPr>
        <w:pStyle w:val="JudgmentText"/>
      </w:pPr>
      <w:r>
        <w:t xml:space="preserve">On </w:t>
      </w:r>
      <w:r w:rsidRPr="000E29BE">
        <w:t>29 April 2021</w:t>
      </w:r>
      <w:r>
        <w:t xml:space="preserve"> t</w:t>
      </w:r>
      <w:r w:rsidR="00691274">
        <w:t xml:space="preserve">he </w:t>
      </w:r>
      <w:r w:rsidR="00666473">
        <w:t>P</w:t>
      </w:r>
      <w:r w:rsidRPr="000E29BE">
        <w:t>etitioner filed an application for leave to amend the petition to include the Respondent’s Chairman’s name, Patrick Payet, as the representative of the Respondent in the proceedings in MA 92/21</w:t>
      </w:r>
      <w:r>
        <w:t>. The application for leave to amend the petition was filed together with an affidavit.</w:t>
      </w:r>
      <w:r w:rsidR="001F0930">
        <w:t xml:space="preserve"> </w:t>
      </w:r>
      <w:r>
        <w:t xml:space="preserve">Also attached was an amended notice of application for judicial review indicating that the FA4JR was represented by its Chairman Mr. Patrick Payet, but without </w:t>
      </w:r>
      <w:r w:rsidR="00D01A4E">
        <w:t>an</w:t>
      </w:r>
      <w:r>
        <w:t xml:space="preserve"> accompanying affidavit. The application for leave to amend the</w:t>
      </w:r>
      <w:r w:rsidR="00691274">
        <w:t xml:space="preserve"> petition</w:t>
      </w:r>
      <w:r w:rsidR="001F0930">
        <w:t xml:space="preserve"> </w:t>
      </w:r>
      <w:r>
        <w:t>was granted on 19 May 2021 by Chief Justice R</w:t>
      </w:r>
      <w:r w:rsidR="00D01A4E">
        <w:t>.</w:t>
      </w:r>
      <w:r>
        <w:t xml:space="preserve"> Govinden.</w:t>
      </w:r>
    </w:p>
    <w:p w:rsidR="00982929" w:rsidRDefault="00D01A4E" w:rsidP="00982929">
      <w:pPr>
        <w:pStyle w:val="JudgmentText"/>
      </w:pPr>
      <w:r>
        <w:t>In objecting to the petition, t</w:t>
      </w:r>
      <w:r w:rsidR="00691274">
        <w:t xml:space="preserve">he </w:t>
      </w:r>
      <w:r w:rsidR="00652168">
        <w:t>R</w:t>
      </w:r>
      <w:r w:rsidR="00982929">
        <w:t>espondent raised the argument that the petition filed was not accompanied by an affidavit in the petition for judicial review filed on 28 April 2021. In his submissions, Counsel for the Respondent states that:</w:t>
      </w:r>
    </w:p>
    <w:p w:rsidR="00982929" w:rsidRDefault="00982929" w:rsidP="006606AF">
      <w:pPr>
        <w:pStyle w:val="JudgmentText"/>
        <w:numPr>
          <w:ilvl w:val="1"/>
          <w:numId w:val="5"/>
        </w:numPr>
        <w:spacing w:after="0" w:line="240" w:lineRule="auto"/>
        <w:ind w:right="1140" w:hanging="306"/>
        <w:rPr>
          <w:i/>
        </w:rPr>
      </w:pPr>
      <w:proofErr w:type="gramStart"/>
      <w:r w:rsidRPr="006606AF">
        <w:rPr>
          <w:i/>
        </w:rPr>
        <w:t>the</w:t>
      </w:r>
      <w:proofErr w:type="gramEnd"/>
      <w:r w:rsidRPr="006606AF">
        <w:rPr>
          <w:i/>
        </w:rPr>
        <w:t xml:space="preserve"> petition is not accompanied by an affidavit in contravention of Rule 2(1) of the Supreme Court (Supervisory Jurisdiction over Subordinate Courts, Tribunals and Adjudicating Authorities Rules. Without the affidavit, Hel</w:t>
      </w:r>
      <w:r w:rsidR="00F01D18">
        <w:rPr>
          <w:i/>
        </w:rPr>
        <w:t>i</w:t>
      </w:r>
      <w:r w:rsidRPr="006606AF">
        <w:rPr>
          <w:i/>
        </w:rPr>
        <w:t>conia Grove Pty Ltd cannot prove its averments in the petition and the petition will need to be struck out. Further, FA4JR cannot respond to a petition that is not accompanied by an affidavit. Hel</w:t>
      </w:r>
      <w:r w:rsidR="00F01D18">
        <w:rPr>
          <w:i/>
        </w:rPr>
        <w:t>i</w:t>
      </w:r>
      <w:r w:rsidRPr="006606AF">
        <w:rPr>
          <w:i/>
        </w:rPr>
        <w:t>conia Grove was given an opportunity to correct its mistake and they failed to correct the error. Accordingly, the petition should be struck out.</w:t>
      </w:r>
    </w:p>
    <w:p w:rsidR="00D01A4E" w:rsidRPr="006606AF" w:rsidRDefault="00D01A4E" w:rsidP="006606AF">
      <w:pPr>
        <w:pStyle w:val="JudgmentText"/>
        <w:numPr>
          <w:ilvl w:val="0"/>
          <w:numId w:val="0"/>
        </w:numPr>
        <w:spacing w:after="0" w:line="240" w:lineRule="auto"/>
        <w:ind w:left="1440" w:right="1140"/>
        <w:rPr>
          <w:i/>
        </w:rPr>
      </w:pPr>
    </w:p>
    <w:p w:rsidR="00982929" w:rsidRDefault="00982929" w:rsidP="00982929">
      <w:pPr>
        <w:pStyle w:val="JudgmentText"/>
      </w:pPr>
      <w:r>
        <w:t xml:space="preserve">The </w:t>
      </w:r>
      <w:r w:rsidR="00652168">
        <w:t>R</w:t>
      </w:r>
      <w:r>
        <w:t>espondent seems to be referring to amendment application MA 92/21 filed on 29</w:t>
      </w:r>
      <w:r w:rsidR="00B2788D">
        <w:t> </w:t>
      </w:r>
      <w:r>
        <w:t>April 2021, which s</w:t>
      </w:r>
      <w:r w:rsidR="00691274">
        <w:t xml:space="preserve">ought to amend the name of the </w:t>
      </w:r>
      <w:r w:rsidR="00652168">
        <w:t>R</w:t>
      </w:r>
      <w:r>
        <w:t>espondent’s representative. The application for leave to amend the petition was accompanied by an affidavit attested to by Bernard Poo</w:t>
      </w:r>
      <w:r w:rsidR="00691274">
        <w:t>l. Also attached is an amended notice of a</w:t>
      </w:r>
      <w:r>
        <w:t xml:space="preserve">pplication for </w:t>
      </w:r>
      <w:r w:rsidR="00F7694D">
        <w:t>j</w:t>
      </w:r>
      <w:r>
        <w:t xml:space="preserve">udicial </w:t>
      </w:r>
      <w:r w:rsidR="00652168">
        <w:t>r</w:t>
      </w:r>
      <w:r>
        <w:t>eview, ind</w:t>
      </w:r>
      <w:r w:rsidR="00691274">
        <w:t>icating that its c</w:t>
      </w:r>
      <w:r>
        <w:t>hairman Patrick Payet would be representing the FA4JR. The 29</w:t>
      </w:r>
      <w:r w:rsidR="008D2CD8">
        <w:t> </w:t>
      </w:r>
      <w:r>
        <w:t>April</w:t>
      </w:r>
      <w:r w:rsidR="008D2CD8">
        <w:t> </w:t>
      </w:r>
      <w:r>
        <w:t>2021 amended notice was not accompanied by an affidavit, but in the main application MC 100/2020, the affidavit was included to</w:t>
      </w:r>
      <w:r w:rsidR="00691274">
        <w:t xml:space="preserve"> the Notice of Application for judicial r</w:t>
      </w:r>
      <w:r>
        <w:t>ev</w:t>
      </w:r>
      <w:r w:rsidR="00691274">
        <w:t xml:space="preserve">iew filed on 18 November 2020. It is not clear whether the </w:t>
      </w:r>
      <w:r w:rsidR="00652168">
        <w:t>R</w:t>
      </w:r>
      <w:r>
        <w:t xml:space="preserve">espondent’s Counsel is aware of the existence of the main application filed in 2020. </w:t>
      </w:r>
    </w:p>
    <w:p w:rsidR="00982929" w:rsidRDefault="00982929" w:rsidP="00982929">
      <w:pPr>
        <w:pStyle w:val="JudgmentText"/>
      </w:pPr>
      <w:r>
        <w:lastRenderedPageBreak/>
        <w:t xml:space="preserve">While there is a slight issue with the format of the affidavit filed on 18 November 2020, in that it stipulates the names of the parties at the top of the document, where the affidavit continues below, this is a minor issue and </w:t>
      </w:r>
      <w:r w:rsidR="00691274">
        <w:t>it is not in my opinion a</w:t>
      </w:r>
      <w:r>
        <w:t xml:space="preserve"> sufficient cause to strike out the application. </w:t>
      </w:r>
    </w:p>
    <w:p w:rsidR="00E46C4C" w:rsidRDefault="00691274" w:rsidP="006606AF">
      <w:pPr>
        <w:pStyle w:val="JudgmentText"/>
      </w:pPr>
      <w:r>
        <w:t xml:space="preserve">The </w:t>
      </w:r>
      <w:r w:rsidR="00652168">
        <w:t>R</w:t>
      </w:r>
      <w:r w:rsidR="00982929">
        <w:t>espondent also raises the objection that the petition was filed out of time, he states that;</w:t>
      </w:r>
    </w:p>
    <w:p w:rsidR="00982929" w:rsidRDefault="00982929" w:rsidP="006606AF">
      <w:pPr>
        <w:pStyle w:val="JudgmentText"/>
        <w:numPr>
          <w:ilvl w:val="1"/>
          <w:numId w:val="5"/>
        </w:numPr>
        <w:spacing w:after="0" w:line="240" w:lineRule="auto"/>
        <w:ind w:left="1418" w:right="1140" w:hanging="284"/>
      </w:pPr>
      <w:r w:rsidRPr="006606AF">
        <w:rPr>
          <w:i/>
        </w:rPr>
        <w:t>The petition was filed almost 10 months after Hel</w:t>
      </w:r>
      <w:r w:rsidR="00F01D18">
        <w:rPr>
          <w:i/>
        </w:rPr>
        <w:t>i</w:t>
      </w:r>
      <w:r w:rsidRPr="006606AF">
        <w:rPr>
          <w:i/>
        </w:rPr>
        <w:t>conia Grove Pty Ltd received the final decision of the FA4JR Appeals Committee. The FA4JR scheme ended a month before the petition was filed and Hel</w:t>
      </w:r>
      <w:r w:rsidR="00F01D18">
        <w:rPr>
          <w:i/>
        </w:rPr>
        <w:t>i</w:t>
      </w:r>
      <w:r w:rsidRPr="006606AF">
        <w:rPr>
          <w:i/>
        </w:rPr>
        <w:t>conia Grove Pty Ltd has not sought leave to file the petition out of time, and has also not given the Supreme Court any good reason for extending the period within which the petition shall be filed</w:t>
      </w:r>
      <w:r>
        <w:t>.</w:t>
      </w:r>
    </w:p>
    <w:p w:rsidR="00652168" w:rsidRDefault="00652168" w:rsidP="006606AF">
      <w:pPr>
        <w:pStyle w:val="JudgmentText"/>
        <w:numPr>
          <w:ilvl w:val="0"/>
          <w:numId w:val="0"/>
        </w:numPr>
        <w:spacing w:after="0" w:line="240" w:lineRule="auto"/>
        <w:ind w:left="1418" w:right="1140"/>
      </w:pPr>
    </w:p>
    <w:p w:rsidR="00982929" w:rsidRPr="006606AF" w:rsidRDefault="00982929" w:rsidP="006606AF">
      <w:pPr>
        <w:pStyle w:val="JudgmentText"/>
        <w:numPr>
          <w:ilvl w:val="1"/>
          <w:numId w:val="5"/>
        </w:numPr>
        <w:spacing w:line="240" w:lineRule="auto"/>
        <w:ind w:left="1418" w:right="1138" w:hanging="284"/>
        <w:rPr>
          <w:i/>
        </w:rPr>
      </w:pPr>
      <w:r w:rsidRPr="006606AF">
        <w:rPr>
          <w:i/>
        </w:rPr>
        <w:t>Th</w:t>
      </w:r>
      <w:r w:rsidR="00691274" w:rsidRPr="006606AF">
        <w:rPr>
          <w:i/>
        </w:rPr>
        <w:t xml:space="preserve">e Respondent contends that the </w:t>
      </w:r>
      <w:r w:rsidR="00652168">
        <w:rPr>
          <w:i/>
        </w:rPr>
        <w:t>P</w:t>
      </w:r>
      <w:r w:rsidRPr="006606AF">
        <w:rPr>
          <w:i/>
        </w:rPr>
        <w:t>etitioner needed to apply for leave to file its petition out of time and show very good reasons for filing the petition 10 months after receiving the final decision of the FA4JR Appeals Committee and for these reasons the petition should be struck out.</w:t>
      </w:r>
    </w:p>
    <w:p w:rsidR="00982929" w:rsidRDefault="00982929" w:rsidP="00982929">
      <w:pPr>
        <w:pStyle w:val="JudgmentText"/>
      </w:pPr>
      <w:r>
        <w:t>The sequence of events and correspondence between the petitioner and the FA4JR is outlined below:</w:t>
      </w:r>
    </w:p>
    <w:p w:rsidR="00982929" w:rsidRDefault="00982929" w:rsidP="006606AF">
      <w:pPr>
        <w:pStyle w:val="JudgmentText"/>
        <w:numPr>
          <w:ilvl w:val="1"/>
          <w:numId w:val="5"/>
        </w:numPr>
        <w:spacing w:after="0" w:line="240" w:lineRule="auto"/>
        <w:ind w:right="855" w:hanging="306"/>
      </w:pPr>
      <w:r w:rsidRPr="006606AF">
        <w:rPr>
          <w:i/>
        </w:rPr>
        <w:t>Email to the Ministry of Finance dated 8 April 2020</w:t>
      </w:r>
      <w:r>
        <w:t xml:space="preserve"> – initial application to the FA4JR for financial assistance</w:t>
      </w:r>
    </w:p>
    <w:p w:rsidR="00982929" w:rsidRDefault="00982929" w:rsidP="006606AF">
      <w:pPr>
        <w:pStyle w:val="JudgmentText"/>
        <w:numPr>
          <w:ilvl w:val="1"/>
          <w:numId w:val="5"/>
        </w:numPr>
        <w:spacing w:after="0" w:line="240" w:lineRule="auto"/>
        <w:ind w:right="855" w:hanging="306"/>
      </w:pPr>
      <w:r w:rsidRPr="006606AF">
        <w:rPr>
          <w:i/>
        </w:rPr>
        <w:t>Email to the Ministry of Finance dated 22 April 2020</w:t>
      </w:r>
      <w:r w:rsidRPr="009959D8">
        <w:t>–</w:t>
      </w:r>
      <w:r>
        <w:t xml:space="preserve"> a reminder of email sent on 8 April 2020 </w:t>
      </w:r>
    </w:p>
    <w:p w:rsidR="00982929" w:rsidRDefault="00982929" w:rsidP="006606AF">
      <w:pPr>
        <w:pStyle w:val="JudgmentText"/>
        <w:numPr>
          <w:ilvl w:val="1"/>
          <w:numId w:val="5"/>
        </w:numPr>
        <w:spacing w:after="0" w:line="240" w:lineRule="auto"/>
        <w:ind w:right="855" w:hanging="306"/>
      </w:pPr>
      <w:r w:rsidRPr="006606AF">
        <w:rPr>
          <w:i/>
        </w:rPr>
        <w:t>Letter from the Ministry of Finance dated 21 May 2020</w:t>
      </w:r>
      <w:r w:rsidRPr="009959D8">
        <w:t>–</w:t>
      </w:r>
      <w:r>
        <w:t xml:space="preserve"> informing petitioner that he was not eligible for assistance and </w:t>
      </w:r>
      <w:r w:rsidR="008E70DA">
        <w:t xml:space="preserve">that the </w:t>
      </w:r>
      <w:r>
        <w:t>committee had decided that the company had sufficient funds to cover wages for the month of April without jeopardising its existence</w:t>
      </w:r>
    </w:p>
    <w:p w:rsidR="00982929" w:rsidRDefault="00982929" w:rsidP="006606AF">
      <w:pPr>
        <w:pStyle w:val="JudgmentText"/>
        <w:numPr>
          <w:ilvl w:val="1"/>
          <w:numId w:val="5"/>
        </w:numPr>
        <w:spacing w:after="0" w:line="240" w:lineRule="auto"/>
        <w:ind w:right="855" w:hanging="306"/>
      </w:pPr>
      <w:r w:rsidRPr="006606AF">
        <w:rPr>
          <w:i/>
        </w:rPr>
        <w:t>Email to the Ministry of Finance dated 3 June 2020</w:t>
      </w:r>
      <w:r w:rsidRPr="00DE1724">
        <w:t>–</w:t>
      </w:r>
      <w:r>
        <w:t xml:space="preserve"> Petitioners letter of Appeal to the FA4JR Appeals Committee</w:t>
      </w:r>
    </w:p>
    <w:p w:rsidR="00982929" w:rsidRDefault="00982929" w:rsidP="006606AF">
      <w:pPr>
        <w:pStyle w:val="JudgmentText"/>
        <w:numPr>
          <w:ilvl w:val="1"/>
          <w:numId w:val="5"/>
        </w:numPr>
        <w:spacing w:after="0" w:line="240" w:lineRule="auto"/>
        <w:ind w:right="855" w:hanging="306"/>
      </w:pPr>
      <w:r w:rsidRPr="006606AF">
        <w:rPr>
          <w:i/>
        </w:rPr>
        <w:t>Email from the Ministry of Finance dated 15 June 2020</w:t>
      </w:r>
      <w:r w:rsidRPr="009959D8">
        <w:t>–</w:t>
      </w:r>
      <w:r>
        <w:t xml:space="preserve"> correspondence informing the Petitioner that his appeal application had not been approved</w:t>
      </w:r>
    </w:p>
    <w:p w:rsidR="00982929" w:rsidRDefault="00982929" w:rsidP="006606AF">
      <w:pPr>
        <w:pStyle w:val="JudgmentText"/>
        <w:numPr>
          <w:ilvl w:val="1"/>
          <w:numId w:val="5"/>
        </w:numPr>
        <w:spacing w:after="0" w:line="240" w:lineRule="auto"/>
        <w:ind w:right="855" w:hanging="306"/>
      </w:pPr>
      <w:r w:rsidRPr="006606AF">
        <w:rPr>
          <w:i/>
        </w:rPr>
        <w:t>Email from the Ministry of Finance dated 2 July 2020</w:t>
      </w:r>
      <w:r w:rsidRPr="009959D8">
        <w:t>–</w:t>
      </w:r>
      <w:r>
        <w:t xml:space="preserve"> Letter from FA4JR informing the Petitioner that after a review and analysis by the Appeals Committee, they maintained that there were sufficient funds in his bank account to pay salaries for more than six months</w:t>
      </w:r>
    </w:p>
    <w:p w:rsidR="00982929" w:rsidRPr="009959D8" w:rsidRDefault="00982929" w:rsidP="006606AF">
      <w:pPr>
        <w:pStyle w:val="JudgmentText"/>
        <w:numPr>
          <w:ilvl w:val="1"/>
          <w:numId w:val="5"/>
        </w:numPr>
        <w:spacing w:after="0" w:line="240" w:lineRule="auto"/>
        <w:ind w:right="855" w:hanging="306"/>
      </w:pPr>
      <w:r w:rsidRPr="006606AF">
        <w:rPr>
          <w:i/>
        </w:rPr>
        <w:t>Email from the Ministry of Finance dated 6 July 2020</w:t>
      </w:r>
      <w:r w:rsidRPr="009959D8">
        <w:t>–</w:t>
      </w:r>
      <w:r>
        <w:t xml:space="preserve"> letter from FA4JR informing the Petitioner that his company was not eligible for </w:t>
      </w:r>
      <w:r>
        <w:lastRenderedPageBreak/>
        <w:t>assistance for the months of May and June 2020 since the Committee had determined that Company had sufficient funds to cover wages for th</w:t>
      </w:r>
      <w:r w:rsidR="008E70DA">
        <w:t xml:space="preserve">ose months </w:t>
      </w:r>
      <w:r>
        <w:t xml:space="preserve">without jeopardizing its existence </w:t>
      </w:r>
    </w:p>
    <w:p w:rsidR="00982929" w:rsidRPr="009959D8" w:rsidRDefault="00982929" w:rsidP="006606AF">
      <w:pPr>
        <w:pStyle w:val="JudgmentText"/>
        <w:numPr>
          <w:ilvl w:val="1"/>
          <w:numId w:val="5"/>
        </w:numPr>
        <w:spacing w:after="0" w:line="240" w:lineRule="auto"/>
        <w:ind w:right="855" w:hanging="306"/>
      </w:pPr>
      <w:r w:rsidRPr="006606AF">
        <w:rPr>
          <w:i/>
        </w:rPr>
        <w:t xml:space="preserve">Email to the Ministry of Finance dated 9 July 2020 </w:t>
      </w:r>
      <w:r w:rsidRPr="009959D8">
        <w:t>–</w:t>
      </w:r>
      <w:r>
        <w:t xml:space="preserve"> Petitioners appeal for the months of May and June 2020</w:t>
      </w:r>
    </w:p>
    <w:p w:rsidR="00982929" w:rsidRDefault="00982929" w:rsidP="006606AF">
      <w:pPr>
        <w:pStyle w:val="JudgmentText"/>
        <w:numPr>
          <w:ilvl w:val="1"/>
          <w:numId w:val="5"/>
        </w:numPr>
        <w:spacing w:after="0" w:line="240" w:lineRule="auto"/>
        <w:ind w:right="855" w:hanging="306"/>
      </w:pPr>
      <w:r w:rsidRPr="006606AF">
        <w:rPr>
          <w:i/>
        </w:rPr>
        <w:t xml:space="preserve">Email from the Ministry of Finance dated 10 August 2020 </w:t>
      </w:r>
      <w:r w:rsidRPr="009959D8">
        <w:t>–</w:t>
      </w:r>
      <w:r>
        <w:t xml:space="preserve"> a letter from the FA4JR to the Petitioner stating that after a review and analysis by the Appeals Committee, it was determined that the decision of the Committee would be maintained. </w:t>
      </w:r>
    </w:p>
    <w:p w:rsidR="008E70DA" w:rsidRDefault="008E70DA" w:rsidP="00691274">
      <w:pPr>
        <w:pStyle w:val="Jjmntheading1"/>
      </w:pPr>
    </w:p>
    <w:p w:rsidR="00691274" w:rsidRPr="006F3E42" w:rsidRDefault="00691274" w:rsidP="00691274">
      <w:pPr>
        <w:pStyle w:val="Jjmntheading1"/>
      </w:pPr>
      <w:r w:rsidRPr="006F3E42">
        <w:t xml:space="preserve">Legal analysis and findings </w:t>
      </w:r>
    </w:p>
    <w:p w:rsidR="00536754" w:rsidRPr="0054645F" w:rsidRDefault="00536754" w:rsidP="00536754">
      <w:pPr>
        <w:pStyle w:val="JudgmentText"/>
        <w:numPr>
          <w:ilvl w:val="0"/>
          <w:numId w:val="23"/>
        </w:numPr>
      </w:pPr>
      <w:r w:rsidRPr="0054645F">
        <w:t>In accordance with Rule 4</w:t>
      </w:r>
      <w:r>
        <w:t xml:space="preserve"> of the </w:t>
      </w:r>
      <w:r w:rsidRPr="0054645F">
        <w:t>Supreme Court (Supervisory Jurisdiction over Subordinate Courts, Tribunals and Adjudicating Authorities) Rules, a petition shall be made promptly and in any event within 3 months from the date of the order or decision sought to be canvassed in the petition unless the Supreme Court considers that there is good reason for extending the period within which the petition shall be made.</w:t>
      </w:r>
    </w:p>
    <w:p w:rsidR="00536754" w:rsidRDefault="00536754" w:rsidP="00536754">
      <w:pPr>
        <w:pStyle w:val="JudgmentText"/>
        <w:numPr>
          <w:ilvl w:val="0"/>
          <w:numId w:val="23"/>
        </w:numPr>
      </w:pPr>
      <w:r>
        <w:t xml:space="preserve">From the timeline above, it is clear that the </w:t>
      </w:r>
      <w:r w:rsidR="00F8256D">
        <w:t>R</w:t>
      </w:r>
      <w:r>
        <w:t xml:space="preserve">espondent’s decision was issued on 10 August 2020 and the Petitioner </w:t>
      </w:r>
      <w:r w:rsidRPr="00536754">
        <w:rPr>
          <w:b/>
          <w:i/>
        </w:rPr>
        <w:t>filed</w:t>
      </w:r>
      <w:r>
        <w:t xml:space="preserve"> its application on 18 November 2020. (Emphasis is mine).</w:t>
      </w:r>
    </w:p>
    <w:p w:rsidR="00536754" w:rsidRDefault="00536754" w:rsidP="00536754">
      <w:pPr>
        <w:pStyle w:val="JudgmentText"/>
        <w:numPr>
          <w:ilvl w:val="0"/>
          <w:numId w:val="23"/>
        </w:numPr>
      </w:pPr>
      <w:r>
        <w:t xml:space="preserve">In his submissions the </w:t>
      </w:r>
      <w:r w:rsidR="00F8256D">
        <w:t>P</w:t>
      </w:r>
      <w:r>
        <w:t xml:space="preserve">etitioner’s counsel refers to the case of </w:t>
      </w:r>
      <w:proofErr w:type="spellStart"/>
      <w:r w:rsidRPr="00465E34">
        <w:rPr>
          <w:i/>
        </w:rPr>
        <w:t>Cointy</w:t>
      </w:r>
      <w:proofErr w:type="spellEnd"/>
      <w:r w:rsidRPr="00465E34">
        <w:rPr>
          <w:i/>
        </w:rPr>
        <w:t xml:space="preserve"> v Beau Vallon Properties</w:t>
      </w:r>
      <w:r>
        <w:t xml:space="preserve"> (SCA 18/2013 [2015] SCCA 19 which provides guidance on how to calculate time for filing. He quotes what Macgregor PCA stated in this judgment i.e.: </w:t>
      </w:r>
    </w:p>
    <w:p w:rsidR="00536754" w:rsidRDefault="00536754" w:rsidP="00F8256D">
      <w:pPr>
        <w:pStyle w:val="JudgmentText"/>
        <w:numPr>
          <w:ilvl w:val="0"/>
          <w:numId w:val="0"/>
        </w:numPr>
        <w:spacing w:after="0" w:line="240" w:lineRule="auto"/>
        <w:ind w:left="1134" w:right="1138"/>
      </w:pPr>
      <w:r>
        <w:rPr>
          <w:i/>
        </w:rPr>
        <w:t>“</w:t>
      </w:r>
      <w:r w:rsidRPr="00651C49">
        <w:rPr>
          <w:i/>
        </w:rPr>
        <w:t>We must agree with the Judge that a proper interpretation of the law would be that time starts to run from the day mediation was concluded and not when the certificate of mediation was served on the appellant</w:t>
      </w:r>
      <w:r>
        <w:t>…”</w:t>
      </w:r>
    </w:p>
    <w:p w:rsidR="00536754" w:rsidRDefault="00536754" w:rsidP="00536754">
      <w:pPr>
        <w:pStyle w:val="JudgmentText"/>
        <w:numPr>
          <w:ilvl w:val="0"/>
          <w:numId w:val="0"/>
        </w:numPr>
        <w:spacing w:after="0" w:line="240" w:lineRule="auto"/>
        <w:ind w:left="709"/>
      </w:pPr>
    </w:p>
    <w:p w:rsidR="00536754" w:rsidRDefault="00536754" w:rsidP="00536754">
      <w:pPr>
        <w:pStyle w:val="JudgmentText"/>
        <w:numPr>
          <w:ilvl w:val="0"/>
          <w:numId w:val="23"/>
        </w:numPr>
      </w:pPr>
      <w:r>
        <w:t xml:space="preserve">He draws the conclusion that in calculating the number of days the Petitioner had to submit its petition excluding public holidays as well as Sundays. Therefore, arguing that the </w:t>
      </w:r>
      <w:r w:rsidR="00F8256D">
        <w:t>P</w:t>
      </w:r>
      <w:r>
        <w:t>etitioner filed its notice of application to apply for judicial review together with its petition an</w:t>
      </w:r>
      <w:r w:rsidR="00F8256D">
        <w:t>d</w:t>
      </w:r>
      <w:r>
        <w:t xml:space="preserve"> affidavit eighty-four (84) days following the date stated on the Respondents decision.</w:t>
      </w:r>
    </w:p>
    <w:p w:rsidR="00536754" w:rsidRDefault="00536754" w:rsidP="00536754">
      <w:pPr>
        <w:pStyle w:val="JudgmentText"/>
        <w:numPr>
          <w:ilvl w:val="0"/>
          <w:numId w:val="23"/>
        </w:numPr>
      </w:pPr>
      <w:r>
        <w:t xml:space="preserve">I disagree with the </w:t>
      </w:r>
      <w:r w:rsidR="00F8256D">
        <w:t>P</w:t>
      </w:r>
      <w:r>
        <w:t>etitioner’s counsel for the reasons outlined below.</w:t>
      </w:r>
    </w:p>
    <w:p w:rsidR="00536754" w:rsidRDefault="00536754" w:rsidP="00536754">
      <w:pPr>
        <w:pStyle w:val="JudgmentText"/>
        <w:numPr>
          <w:ilvl w:val="0"/>
          <w:numId w:val="23"/>
        </w:numPr>
      </w:pPr>
      <w:r w:rsidRPr="009E5A2D">
        <w:lastRenderedPageBreak/>
        <w:t>Rule 4 of the Supreme Court (Supervisory Jurisdiction over Subordinate Courts, Tribunals and Adjudicating Authorities) Rules</w:t>
      </w:r>
      <w:r>
        <w:t xml:space="preserve"> makes it clear that</w:t>
      </w:r>
      <w:r w:rsidRPr="009E5A2D">
        <w:t xml:space="preserve"> a petition shall be made promptly and within 3 months from the date of the order or decision sought to be canvassed in the petition unless the Supreme Court considers that there is good reason for extending the period within which the petition shall be made</w:t>
      </w:r>
      <w:r>
        <w:t>.</w:t>
      </w:r>
    </w:p>
    <w:p w:rsidR="00536754" w:rsidRDefault="00536754" w:rsidP="00536754">
      <w:pPr>
        <w:pStyle w:val="JudgmentText"/>
        <w:numPr>
          <w:ilvl w:val="0"/>
          <w:numId w:val="23"/>
        </w:numPr>
      </w:pPr>
      <w:r>
        <w:t>In the Interpretation and General Provisions Act, 1976, “month" means a calendar month. According to the Collins Dictionary a</w:t>
      </w:r>
      <w:r w:rsidRPr="00E624C5">
        <w:t xml:space="preserve"> calendar month is the period from a particular date in one month to the same date in the next month</w:t>
      </w:r>
      <w:r>
        <w:t>.</w:t>
      </w:r>
    </w:p>
    <w:p w:rsidR="00536754" w:rsidRDefault="00536754" w:rsidP="00536754">
      <w:pPr>
        <w:pStyle w:val="JudgmentText"/>
        <w:numPr>
          <w:ilvl w:val="0"/>
          <w:numId w:val="23"/>
        </w:numPr>
      </w:pPr>
      <w:r>
        <w:t xml:space="preserve">The </w:t>
      </w:r>
      <w:r w:rsidR="00F8256D">
        <w:t>P</w:t>
      </w:r>
      <w:r>
        <w:t xml:space="preserve">etitioner received the final correspondence rejecting his claim from the </w:t>
      </w:r>
      <w:r w:rsidR="00F8256D">
        <w:t>R</w:t>
      </w:r>
      <w:r>
        <w:t xml:space="preserve">espondent, FA4JR on 10 August 2020. The petition for leave to apply to judicial review should have been filed within 3 months from 10 August 2020, and specifically on 10 November 2020. The </w:t>
      </w:r>
      <w:r w:rsidR="00F8256D">
        <w:t>P</w:t>
      </w:r>
      <w:r>
        <w:t xml:space="preserve">etitioner filed their application on 18 November 2020, 8 days after it should have been filed, meaning that the petition for leave to apply for judicial review was filed out of time. </w:t>
      </w:r>
    </w:p>
    <w:p w:rsidR="00536754" w:rsidRDefault="00536754" w:rsidP="00536754">
      <w:pPr>
        <w:pStyle w:val="JudgmentText"/>
        <w:numPr>
          <w:ilvl w:val="0"/>
          <w:numId w:val="23"/>
        </w:numPr>
      </w:pPr>
      <w:r>
        <w:t xml:space="preserve">Therefore, the </w:t>
      </w:r>
      <w:r w:rsidR="00F8256D">
        <w:t>R</w:t>
      </w:r>
      <w:r>
        <w:t xml:space="preserve">espondent’s Counsel is correct in saying that the petition was filed out of time, but the calculation of the time to 84 days is incorrect, as </w:t>
      </w:r>
      <w:r w:rsidR="0019349C">
        <w:t xml:space="preserve">is evident from the above. The </w:t>
      </w:r>
      <w:r w:rsidR="00F8256D">
        <w:t>R</w:t>
      </w:r>
      <w:r>
        <w:t>espondent seems to have missed the petition initially filed on 18 November 2020, since he only refers to the amended one filed on 29 April 2021.</w:t>
      </w:r>
    </w:p>
    <w:p w:rsidR="00536754" w:rsidRDefault="00536754" w:rsidP="00536754">
      <w:pPr>
        <w:pStyle w:val="JudgmentText"/>
        <w:numPr>
          <w:ilvl w:val="0"/>
          <w:numId w:val="23"/>
        </w:numPr>
      </w:pPr>
      <w:r>
        <w:t>This Court has given a number of r</w:t>
      </w:r>
      <w:r w:rsidR="0019349C">
        <w:t>ulings on the timely filing of judicial r</w:t>
      </w:r>
      <w:r>
        <w:t xml:space="preserve">eview applications and in </w:t>
      </w:r>
      <w:r w:rsidRPr="0038782A">
        <w:rPr>
          <w:i/>
        </w:rPr>
        <w:t>Labrosse v Chairperson of Employment Tribunal</w:t>
      </w:r>
      <w:r w:rsidRPr="0038782A">
        <w:t xml:space="preserve"> (SCA 36/2012) [2014] SCCA 44 (12 December 2014)</w:t>
      </w:r>
      <w:r>
        <w:t>,</w:t>
      </w:r>
      <w:r w:rsidR="0019349C">
        <w:t xml:space="preserve"> Twomey JA, as she was then, </w:t>
      </w:r>
      <w:r>
        <w:t>stated that:</w:t>
      </w:r>
    </w:p>
    <w:p w:rsidR="00536754" w:rsidRDefault="00536754" w:rsidP="00F8256D">
      <w:pPr>
        <w:pStyle w:val="JudgmentText"/>
        <w:numPr>
          <w:ilvl w:val="0"/>
          <w:numId w:val="0"/>
        </w:numPr>
        <w:spacing w:after="0" w:line="240" w:lineRule="auto"/>
        <w:ind w:left="1134" w:right="855"/>
        <w:rPr>
          <w:i/>
        </w:rPr>
      </w:pPr>
      <w:r>
        <w:t>“</w:t>
      </w:r>
      <w:r w:rsidRPr="00C36413">
        <w:rPr>
          <w:i/>
        </w:rPr>
        <w:t xml:space="preserve">Procedural rules must be followed for both appeals and judicial review applications. </w:t>
      </w:r>
    </w:p>
    <w:p w:rsidR="00536754" w:rsidRDefault="00536754" w:rsidP="00F8256D">
      <w:pPr>
        <w:pStyle w:val="JudgmentText"/>
        <w:numPr>
          <w:ilvl w:val="0"/>
          <w:numId w:val="0"/>
        </w:numPr>
        <w:spacing w:after="0" w:line="240" w:lineRule="auto"/>
        <w:ind w:left="1134" w:right="855"/>
        <w:rPr>
          <w:i/>
        </w:rPr>
      </w:pPr>
      <w:r>
        <w:rPr>
          <w:i/>
        </w:rPr>
        <w:t>…</w:t>
      </w:r>
      <w:r w:rsidRPr="00C36413">
        <w:rPr>
          <w:i/>
        </w:rPr>
        <w:t xml:space="preserve"> Similarly, Rule 4 of the Supreme Court (Supervisory Jurisdiction over Subordinate Courts, Tribunals and Adjudicating Authorities) Rules 1995 provides that a petition for judicial review shall be made promptly and in any event within 3 months from the date of the order or decision unless the Supreme Court considers there is good reason for extending the period.</w:t>
      </w:r>
      <w:r>
        <w:rPr>
          <w:i/>
        </w:rPr>
        <w:t>”</w:t>
      </w:r>
    </w:p>
    <w:p w:rsidR="00536754" w:rsidRDefault="00536754" w:rsidP="00536754">
      <w:pPr>
        <w:pStyle w:val="JudgmentText"/>
        <w:numPr>
          <w:ilvl w:val="0"/>
          <w:numId w:val="0"/>
        </w:numPr>
        <w:spacing w:after="0" w:line="240" w:lineRule="auto"/>
        <w:ind w:left="1004"/>
      </w:pPr>
    </w:p>
    <w:p w:rsidR="00536754" w:rsidRDefault="0019349C" w:rsidP="00536754">
      <w:pPr>
        <w:pStyle w:val="JudgmentText"/>
        <w:numPr>
          <w:ilvl w:val="0"/>
          <w:numId w:val="23"/>
        </w:numPr>
      </w:pPr>
      <w:r>
        <w:t xml:space="preserve">The </w:t>
      </w:r>
      <w:r w:rsidR="00F8256D">
        <w:t>P</w:t>
      </w:r>
      <w:r w:rsidR="00536754">
        <w:t>etitioner did not apply to extend the time period within which the petition was made and on this basis this application ought to be dismissed.</w:t>
      </w:r>
    </w:p>
    <w:p w:rsidR="00536754" w:rsidRDefault="00536754" w:rsidP="00536754">
      <w:pPr>
        <w:pStyle w:val="JudgmentText"/>
        <w:numPr>
          <w:ilvl w:val="0"/>
          <w:numId w:val="23"/>
        </w:numPr>
      </w:pPr>
      <w:r>
        <w:lastRenderedPageBreak/>
        <w:t xml:space="preserve">In reviewing compliance with the other requirements as set out in Rule 3 of the of the </w:t>
      </w:r>
      <w:r w:rsidRPr="00DA7B08">
        <w:t>Supreme Court (Supervisory Jurisdiction over Subordinate Courts, Tribunals and Adjudicating Authorities) Rules</w:t>
      </w:r>
      <w:r>
        <w:t xml:space="preserve"> (1995) below, we have established that the Petitioner complies with most of these apart from item (b).</w:t>
      </w:r>
    </w:p>
    <w:p w:rsidR="00536754" w:rsidRPr="00362B68" w:rsidRDefault="00536754" w:rsidP="00536754">
      <w:pPr>
        <w:pStyle w:val="JudgmentText"/>
        <w:numPr>
          <w:ilvl w:val="0"/>
          <w:numId w:val="0"/>
        </w:numPr>
        <w:spacing w:after="0" w:line="240" w:lineRule="auto"/>
        <w:ind w:left="1004"/>
        <w:rPr>
          <w:i/>
        </w:rPr>
      </w:pPr>
      <w:r w:rsidRPr="00362B68">
        <w:rPr>
          <w:i/>
        </w:rPr>
        <w:t>“(a) the name, address and description of the petitioner;</w:t>
      </w:r>
    </w:p>
    <w:p w:rsidR="00536754" w:rsidRPr="00362B68" w:rsidRDefault="00536754" w:rsidP="00536754">
      <w:pPr>
        <w:pStyle w:val="JudgmentText"/>
        <w:numPr>
          <w:ilvl w:val="0"/>
          <w:numId w:val="0"/>
        </w:numPr>
        <w:spacing w:after="0" w:line="240" w:lineRule="auto"/>
        <w:ind w:left="1004"/>
        <w:rPr>
          <w:i/>
        </w:rPr>
      </w:pPr>
      <w:r w:rsidRPr="00362B68">
        <w:rPr>
          <w:i/>
        </w:rPr>
        <w:t xml:space="preserve">(b) </w:t>
      </w:r>
      <w:proofErr w:type="gramStart"/>
      <w:r w:rsidRPr="00362B68">
        <w:rPr>
          <w:i/>
        </w:rPr>
        <w:t>the</w:t>
      </w:r>
      <w:proofErr w:type="gramEnd"/>
      <w:r w:rsidRPr="00362B68">
        <w:rPr>
          <w:i/>
        </w:rPr>
        <w:t xml:space="preserve"> relief sought and the grounds upon which it is sought;</w:t>
      </w:r>
    </w:p>
    <w:p w:rsidR="00536754" w:rsidRPr="00362B68" w:rsidRDefault="00536754" w:rsidP="00536754">
      <w:pPr>
        <w:pStyle w:val="JudgmentText"/>
        <w:numPr>
          <w:ilvl w:val="0"/>
          <w:numId w:val="0"/>
        </w:numPr>
        <w:spacing w:after="0" w:line="240" w:lineRule="auto"/>
        <w:ind w:left="1004"/>
        <w:rPr>
          <w:i/>
        </w:rPr>
      </w:pPr>
      <w:r w:rsidRPr="00362B68">
        <w:rPr>
          <w:i/>
        </w:rPr>
        <w:t xml:space="preserve">(c) </w:t>
      </w:r>
      <w:proofErr w:type="gramStart"/>
      <w:r w:rsidRPr="00362B68">
        <w:rPr>
          <w:i/>
        </w:rPr>
        <w:t>the</w:t>
      </w:r>
      <w:proofErr w:type="gramEnd"/>
      <w:r w:rsidRPr="00362B68">
        <w:rPr>
          <w:i/>
        </w:rPr>
        <w:t xml:space="preserve"> name and address of the petitioner’s attorney at law, (if any);</w:t>
      </w:r>
    </w:p>
    <w:p w:rsidR="00536754" w:rsidRPr="00362B68" w:rsidRDefault="00536754" w:rsidP="00536754">
      <w:pPr>
        <w:pStyle w:val="JudgmentText"/>
        <w:numPr>
          <w:ilvl w:val="0"/>
          <w:numId w:val="0"/>
        </w:numPr>
        <w:spacing w:after="0" w:line="240" w:lineRule="auto"/>
        <w:ind w:left="1004"/>
        <w:rPr>
          <w:i/>
        </w:rPr>
      </w:pPr>
      <w:r w:rsidRPr="00362B68">
        <w:rPr>
          <w:i/>
        </w:rPr>
        <w:t xml:space="preserve">(d) </w:t>
      </w:r>
      <w:proofErr w:type="gramStart"/>
      <w:r w:rsidRPr="00362B68">
        <w:rPr>
          <w:i/>
        </w:rPr>
        <w:t>the</w:t>
      </w:r>
      <w:proofErr w:type="gramEnd"/>
      <w:r w:rsidRPr="00362B68">
        <w:rPr>
          <w:i/>
        </w:rPr>
        <w:t xml:space="preserve"> name, address and description of the respondent or each of the respondents;</w:t>
      </w:r>
    </w:p>
    <w:p w:rsidR="00536754" w:rsidRDefault="00536754" w:rsidP="00536754">
      <w:pPr>
        <w:pStyle w:val="JudgmentText"/>
        <w:numPr>
          <w:ilvl w:val="0"/>
          <w:numId w:val="0"/>
        </w:numPr>
        <w:spacing w:after="0" w:line="240" w:lineRule="auto"/>
        <w:ind w:left="1004"/>
        <w:rPr>
          <w:i/>
        </w:rPr>
      </w:pPr>
      <w:r w:rsidRPr="00362B68">
        <w:rPr>
          <w:i/>
        </w:rPr>
        <w:t xml:space="preserve">(e) </w:t>
      </w:r>
      <w:proofErr w:type="gramStart"/>
      <w:r w:rsidRPr="00362B68">
        <w:rPr>
          <w:i/>
        </w:rPr>
        <w:t>a</w:t>
      </w:r>
      <w:proofErr w:type="gramEnd"/>
      <w:r w:rsidRPr="00362B68">
        <w:rPr>
          <w:i/>
        </w:rPr>
        <w:t xml:space="preserve"> claim for damages, if any, and a prayer for costs.”</w:t>
      </w:r>
    </w:p>
    <w:p w:rsidR="00536754" w:rsidRPr="00597962" w:rsidRDefault="00536754" w:rsidP="00536754">
      <w:pPr>
        <w:pStyle w:val="JudgmentText"/>
        <w:numPr>
          <w:ilvl w:val="0"/>
          <w:numId w:val="0"/>
        </w:numPr>
        <w:spacing w:after="0" w:line="240" w:lineRule="auto"/>
        <w:ind w:left="1004"/>
        <w:rPr>
          <w:i/>
        </w:rPr>
      </w:pPr>
    </w:p>
    <w:p w:rsidR="00536754" w:rsidRDefault="00536754" w:rsidP="00536754">
      <w:pPr>
        <w:pStyle w:val="JudgmentText"/>
        <w:numPr>
          <w:ilvl w:val="0"/>
          <w:numId w:val="23"/>
        </w:numPr>
      </w:pPr>
      <w:r>
        <w:t>There is no doubt that the FA4JR was performing quasi-judicial functions as a committee establishe</w:t>
      </w:r>
      <w:r w:rsidR="0019349C">
        <w:t>d to assess and distribute 1.2 b</w:t>
      </w:r>
      <w:r>
        <w:t xml:space="preserve">illion that was guaranteed by the Government to fund businesses in order </w:t>
      </w:r>
      <w:r w:rsidR="0019349C">
        <w:t xml:space="preserve">to </w:t>
      </w:r>
      <w:r>
        <w:t>avert redundancies caused by the Covid-19 pandemic.</w:t>
      </w:r>
    </w:p>
    <w:p w:rsidR="00536754" w:rsidRDefault="00536754" w:rsidP="00536754">
      <w:pPr>
        <w:pStyle w:val="JudgmentText"/>
        <w:numPr>
          <w:ilvl w:val="0"/>
          <w:numId w:val="23"/>
        </w:numPr>
      </w:pPr>
      <w:r w:rsidRPr="001969D4">
        <w:t>Judicial review is a means by which the courts necessarily ensure that administrative bodies act within their powers as laid down by law rather than according to a whim or a fancy. The law of judicial review in Seychelles has adopted several grounds for judicial review namely: illegality, irrationality, and procedural impropriety, and the Wednesbury principle – reasonableness in decision</w:t>
      </w:r>
      <w:r>
        <w:t xml:space="preserve"> making. The Petitioner fails to </w:t>
      </w:r>
      <w:r w:rsidRPr="001969D4">
        <w:t>expla</w:t>
      </w:r>
      <w:r>
        <w:t xml:space="preserve">in </w:t>
      </w:r>
      <w:r w:rsidR="0019349C">
        <w:t xml:space="preserve">ex-facie the pleadings as to </w:t>
      </w:r>
      <w:r>
        <w:t>how the FA4JR’s decision was</w:t>
      </w:r>
      <w:r w:rsidRPr="001969D4">
        <w:t xml:space="preserve"> manifestly and grossly unreasonable, unfair and unjust, contrary to the rules of natural justice, as well as without merit and justification</w:t>
      </w:r>
      <w:r w:rsidR="0019349C">
        <w:t>.</w:t>
      </w:r>
    </w:p>
    <w:p w:rsidR="00536754" w:rsidRDefault="008D0937" w:rsidP="00536754">
      <w:pPr>
        <w:pStyle w:val="JudgmentText"/>
        <w:numPr>
          <w:ilvl w:val="0"/>
          <w:numId w:val="23"/>
        </w:numPr>
      </w:pPr>
      <w:r>
        <w:t>He fails to</w:t>
      </w:r>
      <w:r w:rsidR="00536754">
        <w:t xml:space="preserve"> provide s</w:t>
      </w:r>
      <w:r w:rsidR="0019349C">
        <w:t xml:space="preserve">ufficient grounds to support </w:t>
      </w:r>
      <w:r>
        <w:t>his</w:t>
      </w:r>
      <w:r w:rsidR="0019349C">
        <w:t xml:space="preserve"> claims, and neither d</w:t>
      </w:r>
      <w:r>
        <w:t>oes he</w:t>
      </w:r>
      <w:r w:rsidR="00536754">
        <w:t xml:space="preserve"> provide any documentation on the criteria adopted by the committee, to extrapolate the manner in which the committee had acted in an unreasonable manner in the decision making. Such documentation would have been relevant in assessing </w:t>
      </w:r>
      <w:r w:rsidR="0019349C">
        <w:t xml:space="preserve">whether the </w:t>
      </w:r>
      <w:r w:rsidR="00B03DEE">
        <w:t>P</w:t>
      </w:r>
      <w:r w:rsidR="00536754">
        <w:t xml:space="preserve">etitioner indeed has a </w:t>
      </w:r>
      <w:r w:rsidR="00536754" w:rsidRPr="00736598">
        <w:t>case fit for further consideration</w:t>
      </w:r>
      <w:r w:rsidR="00536754">
        <w:t xml:space="preserve"> judicial review. </w:t>
      </w:r>
    </w:p>
    <w:p w:rsidR="00536754" w:rsidRDefault="0019349C" w:rsidP="00536754">
      <w:pPr>
        <w:pStyle w:val="JudgmentText"/>
        <w:numPr>
          <w:ilvl w:val="0"/>
          <w:numId w:val="23"/>
        </w:numPr>
      </w:pPr>
      <w:r>
        <w:t xml:space="preserve">Further, I note the case of </w:t>
      </w:r>
      <w:r w:rsidR="00B03DEE" w:rsidRPr="00E33DF6">
        <w:rPr>
          <w:i/>
        </w:rPr>
        <w:t>In Island Development Company v Marine Accident Investigation Board (MA90/2019, arising in MC19/2019) [2020] SCSC 37)</w:t>
      </w:r>
      <w:r w:rsidR="00B03DEE" w:rsidRPr="006606AF">
        <w:t xml:space="preserve">Vidot J </w:t>
      </w:r>
      <w:r w:rsidR="00536754">
        <w:t>stated that</w:t>
      </w:r>
      <w:r w:rsidR="00B03DEE">
        <w:t>;</w:t>
      </w:r>
    </w:p>
    <w:p w:rsidR="0019349C" w:rsidRDefault="00536754" w:rsidP="0019349C">
      <w:pPr>
        <w:pStyle w:val="JudgmentText"/>
        <w:numPr>
          <w:ilvl w:val="0"/>
          <w:numId w:val="0"/>
        </w:numPr>
        <w:spacing w:line="240" w:lineRule="auto"/>
        <w:ind w:left="1418" w:right="1280"/>
        <w:rPr>
          <w:i/>
        </w:rPr>
      </w:pPr>
      <w:r>
        <w:t>“</w:t>
      </w:r>
      <w:r w:rsidR="00B03DEE">
        <w:rPr>
          <w:i/>
        </w:rPr>
        <w:t>…</w:t>
      </w:r>
      <w:r w:rsidRPr="00E33DF6">
        <w:rPr>
          <w:i/>
        </w:rPr>
        <w:t xml:space="preserve">An application for judicial review undergoes a process comprising 2 stages: the leave stage and the merits stage. … </w:t>
      </w:r>
      <w:r w:rsidRPr="00E33DF6">
        <w:rPr>
          <w:i/>
        </w:rPr>
        <w:lastRenderedPageBreak/>
        <w:t xml:space="preserve">Therefore, it is a requirement that the court filters the application to satisfy itself that prima facie reasons exist in order to </w:t>
      </w:r>
      <w:r w:rsidR="0019349C">
        <w:rPr>
          <w:i/>
        </w:rPr>
        <w:t>grant leave.”</w:t>
      </w:r>
    </w:p>
    <w:p w:rsidR="00B03DEE" w:rsidRPr="006606AF" w:rsidRDefault="00B03DEE" w:rsidP="006606AF">
      <w:pPr>
        <w:pStyle w:val="JudgmentText"/>
        <w:numPr>
          <w:ilvl w:val="0"/>
          <w:numId w:val="23"/>
        </w:numPr>
      </w:pPr>
      <w:r>
        <w:t>As is clear from the above, in addition to filing the petition out of time, the Petitioner did not provide sufficient grounds to support his application for leave to apply for judicial review.</w:t>
      </w:r>
    </w:p>
    <w:p w:rsidR="0019349C" w:rsidRPr="00E33DF6" w:rsidRDefault="0019349C" w:rsidP="0019349C">
      <w:pPr>
        <w:pStyle w:val="Jjmntheading1"/>
      </w:pPr>
      <w:r>
        <w:t xml:space="preserve">Conclusion </w:t>
      </w:r>
    </w:p>
    <w:p w:rsidR="0019349C" w:rsidRDefault="0019349C" w:rsidP="0019349C">
      <w:pPr>
        <w:pStyle w:val="JudgmentText"/>
        <w:numPr>
          <w:ilvl w:val="0"/>
          <w:numId w:val="23"/>
        </w:numPr>
      </w:pPr>
      <w:r>
        <w:t>Following the above analysis and findings, it is clear that the petitioner filed the petition for leave to apply for judicial review 8 days out of time, and did not apply for an extension of the time period</w:t>
      </w:r>
      <w:r w:rsidR="00EB5352">
        <w:t xml:space="preserve"> as clearly provided for by cited law and case law on the issue</w:t>
      </w:r>
      <w:r>
        <w:t>, and</w:t>
      </w:r>
      <w:r w:rsidR="00EB5352">
        <w:t xml:space="preserve"> thus on that </w:t>
      </w:r>
      <w:r>
        <w:t xml:space="preserve">basis alone the application for leave </w:t>
      </w:r>
      <w:r w:rsidR="00EB5352">
        <w:t>is dismissed accordingly.</w:t>
      </w:r>
    </w:p>
    <w:p w:rsidR="00EB5352" w:rsidRDefault="00EB5352" w:rsidP="0019349C">
      <w:pPr>
        <w:pStyle w:val="JudgmentText"/>
        <w:numPr>
          <w:ilvl w:val="0"/>
          <w:numId w:val="23"/>
        </w:numPr>
      </w:pPr>
      <w:r>
        <w:t xml:space="preserve">No order is made as to cost. </w:t>
      </w:r>
    </w:p>
    <w:p w:rsidR="003C00C4" w:rsidRDefault="003C00C4" w:rsidP="002F0432">
      <w:pPr>
        <w:pStyle w:val="JudgmentText"/>
        <w:keepNext/>
        <w:numPr>
          <w:ilvl w:val="0"/>
          <w:numId w:val="0"/>
        </w:numPr>
      </w:pPr>
      <w:bookmarkStart w:id="1" w:name="_GoBack"/>
      <w:bookmarkEnd w:id="1"/>
    </w:p>
    <w:p w:rsidR="006A68E2" w:rsidRPr="00875E4E" w:rsidRDefault="00722761" w:rsidP="002F0432">
      <w:pPr>
        <w:pStyle w:val="JudgmentText"/>
        <w:keepNext/>
        <w:numPr>
          <w:ilvl w:val="0"/>
          <w:numId w:val="0"/>
        </w:numPr>
      </w:pPr>
      <w:r w:rsidRPr="00875E4E">
        <w:t>Signed, dated and delivered at Ile du Port</w:t>
      </w:r>
      <w:r w:rsidR="0070371E" w:rsidRPr="00875E4E">
        <w:t xml:space="preserve"> Victor</w:t>
      </w:r>
      <w:r w:rsidR="00875E4E">
        <w:t>i</w:t>
      </w:r>
      <w:r w:rsidR="0070371E" w:rsidRPr="00875E4E">
        <w:t xml:space="preserve">a </w:t>
      </w:r>
      <w:r w:rsidRPr="00875E4E">
        <w:t xml:space="preserve">on </w:t>
      </w:r>
      <w:r w:rsidR="00AE4F15">
        <w:t xml:space="preserve">the </w:t>
      </w:r>
      <w:r w:rsidR="00EB5352">
        <w:t>20 January 2022.</w:t>
      </w:r>
    </w:p>
    <w:p w:rsidR="00875E4E" w:rsidRDefault="00875E4E" w:rsidP="00875E4E">
      <w:pPr>
        <w:keepNext/>
        <w:rPr>
          <w:rFonts w:ascii="Times New Roman" w:hAnsi="Times New Roman" w:cs="Times New Roman"/>
          <w:sz w:val="24"/>
          <w:szCs w:val="24"/>
        </w:rPr>
      </w:pPr>
    </w:p>
    <w:p w:rsidR="00875E4E" w:rsidRDefault="00875E4E" w:rsidP="00875E4E">
      <w:pPr>
        <w:keepNext/>
        <w:rPr>
          <w:rFonts w:ascii="Times New Roman" w:hAnsi="Times New Roman" w:cs="Times New Roman"/>
          <w:sz w:val="24"/>
          <w:szCs w:val="24"/>
        </w:rPr>
      </w:pPr>
    </w:p>
    <w:p w:rsidR="0070371E" w:rsidRDefault="0070371E" w:rsidP="00875E4E">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EB5352" w:rsidRDefault="00875E4E" w:rsidP="00235626">
      <w:pPr>
        <w:spacing w:line="480" w:lineRule="auto"/>
        <w:jc w:val="both"/>
        <w:rPr>
          <w:rFonts w:ascii="Times New Roman" w:hAnsi="Times New Roman" w:cs="Times New Roman"/>
          <w:b/>
          <w:sz w:val="24"/>
          <w:szCs w:val="24"/>
        </w:rPr>
      </w:pPr>
      <w:r>
        <w:rPr>
          <w:rFonts w:ascii="Times New Roman" w:hAnsi="Times New Roman" w:cs="Times New Roman"/>
          <w:b/>
          <w:sz w:val="24"/>
          <w:szCs w:val="24"/>
        </w:rPr>
        <w:t>ANDRE J</w:t>
      </w:r>
    </w:p>
    <w:p w:rsidR="00B975B0" w:rsidRDefault="00B975B0" w:rsidP="00235626">
      <w:pPr>
        <w:spacing w:line="480" w:lineRule="auto"/>
        <w:jc w:val="both"/>
        <w:rPr>
          <w:rFonts w:ascii="Times New Roman" w:hAnsi="Times New Roman" w:cs="Times New Roman"/>
          <w:b/>
          <w:sz w:val="24"/>
          <w:szCs w:val="24"/>
        </w:rPr>
      </w:pPr>
    </w:p>
    <w:sectPr w:rsidR="00B975B0"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F9" w:rsidRDefault="00162FF9" w:rsidP="006A68E2">
      <w:pPr>
        <w:spacing w:after="0" w:line="240" w:lineRule="auto"/>
      </w:pPr>
      <w:r>
        <w:separator/>
      </w:r>
    </w:p>
  </w:endnote>
  <w:endnote w:type="continuationSeparator" w:id="0">
    <w:p w:rsidR="00162FF9" w:rsidRDefault="00162FF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20021E">
        <w:pPr>
          <w:pStyle w:val="Footer"/>
          <w:jc w:val="center"/>
        </w:pPr>
        <w:r>
          <w:fldChar w:fldCharType="begin"/>
        </w:r>
        <w:r w:rsidR="00F33B83">
          <w:instrText xml:space="preserve"> PAGE   \* MERGEFORMAT </w:instrText>
        </w:r>
        <w:r>
          <w:fldChar w:fldCharType="separate"/>
        </w:r>
        <w:r w:rsidR="00125C4A">
          <w:rPr>
            <w:noProof/>
          </w:rPr>
          <w:t>8</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F9" w:rsidRDefault="00162FF9" w:rsidP="006A68E2">
      <w:pPr>
        <w:spacing w:after="0" w:line="240" w:lineRule="auto"/>
      </w:pPr>
      <w:r>
        <w:separator/>
      </w:r>
    </w:p>
  </w:footnote>
  <w:footnote w:type="continuationSeparator" w:id="0">
    <w:p w:rsidR="00162FF9" w:rsidRDefault="00162FF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CE6D69"/>
    <w:multiLevelType w:val="hybridMultilevel"/>
    <w:tmpl w:val="E3CA6658"/>
    <w:lvl w:ilvl="0" w:tplc="BBBC9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8"/>
  </w:num>
  <w:num w:numId="13">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8">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9">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3"/>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7"/>
    <w:lvlOverride w:ilvl="0">
      <w:startOverride w:val="1"/>
    </w:lvlOverride>
  </w:num>
  <w:num w:numId="23">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0">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3"/>
    <w:lvlOverride w:ilvl="0">
      <w:lvl w:ilvl="0">
        <w:start w:val="1"/>
        <w:numFmt w:val="decimal"/>
        <w:pStyle w:val="JudgmentText"/>
        <w:lvlText w:val="[%1]"/>
        <w:lvlJc w:val="left"/>
        <w:pPr>
          <w:ind w:left="81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i/>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Y0MTW3MDIwtrCwNLNU0lEKTi0uzszPAykwNKgFAEhYJ1gtAAAA"/>
  </w:docVars>
  <w:rsids>
    <w:rsidRoot w:val="00AF2609"/>
    <w:rsid w:val="00016689"/>
    <w:rsid w:val="00025CDF"/>
    <w:rsid w:val="00040193"/>
    <w:rsid w:val="00057AA1"/>
    <w:rsid w:val="00071B84"/>
    <w:rsid w:val="0007747D"/>
    <w:rsid w:val="0008560D"/>
    <w:rsid w:val="0009242F"/>
    <w:rsid w:val="00097D19"/>
    <w:rsid w:val="000A380F"/>
    <w:rsid w:val="000F3BC5"/>
    <w:rsid w:val="001135C2"/>
    <w:rsid w:val="00125C4A"/>
    <w:rsid w:val="00130689"/>
    <w:rsid w:val="00134754"/>
    <w:rsid w:val="001428B9"/>
    <w:rsid w:val="00145302"/>
    <w:rsid w:val="00162FF9"/>
    <w:rsid w:val="001723B1"/>
    <w:rsid w:val="0019349C"/>
    <w:rsid w:val="001B790E"/>
    <w:rsid w:val="001C78EC"/>
    <w:rsid w:val="001D33D2"/>
    <w:rsid w:val="001F0930"/>
    <w:rsid w:val="0020021E"/>
    <w:rsid w:val="002015F8"/>
    <w:rsid w:val="00204114"/>
    <w:rsid w:val="00212006"/>
    <w:rsid w:val="0021402A"/>
    <w:rsid w:val="00214DB4"/>
    <w:rsid w:val="0022306A"/>
    <w:rsid w:val="00235626"/>
    <w:rsid w:val="00243AE1"/>
    <w:rsid w:val="0028534D"/>
    <w:rsid w:val="002A53B3"/>
    <w:rsid w:val="002C7F4C"/>
    <w:rsid w:val="002D374A"/>
    <w:rsid w:val="002D4EB8"/>
    <w:rsid w:val="002E2AE3"/>
    <w:rsid w:val="002F0432"/>
    <w:rsid w:val="003137B8"/>
    <w:rsid w:val="00315E13"/>
    <w:rsid w:val="00344425"/>
    <w:rsid w:val="00346D7F"/>
    <w:rsid w:val="0035042B"/>
    <w:rsid w:val="0035285F"/>
    <w:rsid w:val="00354BE7"/>
    <w:rsid w:val="003615E7"/>
    <w:rsid w:val="00380619"/>
    <w:rsid w:val="003825A7"/>
    <w:rsid w:val="003A42FB"/>
    <w:rsid w:val="003A6C9E"/>
    <w:rsid w:val="003C00C4"/>
    <w:rsid w:val="003C107F"/>
    <w:rsid w:val="003E2E94"/>
    <w:rsid w:val="00403F4C"/>
    <w:rsid w:val="00405958"/>
    <w:rsid w:val="00412994"/>
    <w:rsid w:val="00463B4E"/>
    <w:rsid w:val="004655E9"/>
    <w:rsid w:val="00472219"/>
    <w:rsid w:val="004742D8"/>
    <w:rsid w:val="004A2599"/>
    <w:rsid w:val="004A7128"/>
    <w:rsid w:val="004C16E0"/>
    <w:rsid w:val="004F1EC6"/>
    <w:rsid w:val="00536754"/>
    <w:rsid w:val="00566CB8"/>
    <w:rsid w:val="00572612"/>
    <w:rsid w:val="005917F9"/>
    <w:rsid w:val="00592BD7"/>
    <w:rsid w:val="005959D4"/>
    <w:rsid w:val="005A5FCB"/>
    <w:rsid w:val="005B12AA"/>
    <w:rsid w:val="005D579D"/>
    <w:rsid w:val="005E2C1E"/>
    <w:rsid w:val="005E7952"/>
    <w:rsid w:val="005F1EB8"/>
    <w:rsid w:val="00601A4B"/>
    <w:rsid w:val="0061354A"/>
    <w:rsid w:val="006350C9"/>
    <w:rsid w:val="00635504"/>
    <w:rsid w:val="00652168"/>
    <w:rsid w:val="00652326"/>
    <w:rsid w:val="006606AF"/>
    <w:rsid w:val="00662CEA"/>
    <w:rsid w:val="00662FC1"/>
    <w:rsid w:val="00666473"/>
    <w:rsid w:val="00671BFB"/>
    <w:rsid w:val="00691274"/>
    <w:rsid w:val="006A68E2"/>
    <w:rsid w:val="006D5E5D"/>
    <w:rsid w:val="006E1901"/>
    <w:rsid w:val="006E284F"/>
    <w:rsid w:val="006E56EB"/>
    <w:rsid w:val="006F3E42"/>
    <w:rsid w:val="006F5A12"/>
    <w:rsid w:val="006F7D7C"/>
    <w:rsid w:val="00700B6F"/>
    <w:rsid w:val="0070371E"/>
    <w:rsid w:val="00704D01"/>
    <w:rsid w:val="00722761"/>
    <w:rsid w:val="00762F6D"/>
    <w:rsid w:val="00774C3A"/>
    <w:rsid w:val="00796B89"/>
    <w:rsid w:val="007D25FE"/>
    <w:rsid w:val="008001C8"/>
    <w:rsid w:val="008014EB"/>
    <w:rsid w:val="00830541"/>
    <w:rsid w:val="00840E94"/>
    <w:rsid w:val="0084325D"/>
    <w:rsid w:val="008577B7"/>
    <w:rsid w:val="008615C6"/>
    <w:rsid w:val="00875522"/>
    <w:rsid w:val="00875E4E"/>
    <w:rsid w:val="00897BBD"/>
    <w:rsid w:val="008A6A2D"/>
    <w:rsid w:val="008D0937"/>
    <w:rsid w:val="008D2CD8"/>
    <w:rsid w:val="008E4F4E"/>
    <w:rsid w:val="008E70DA"/>
    <w:rsid w:val="008E771B"/>
    <w:rsid w:val="00901C39"/>
    <w:rsid w:val="0090367F"/>
    <w:rsid w:val="009539C2"/>
    <w:rsid w:val="00982929"/>
    <w:rsid w:val="00984747"/>
    <w:rsid w:val="009A718F"/>
    <w:rsid w:val="009A769C"/>
    <w:rsid w:val="009B495E"/>
    <w:rsid w:val="009C5AF1"/>
    <w:rsid w:val="009C6BE9"/>
    <w:rsid w:val="009F125D"/>
    <w:rsid w:val="009F3A7D"/>
    <w:rsid w:val="00A2058F"/>
    <w:rsid w:val="00A7268B"/>
    <w:rsid w:val="00A80AC5"/>
    <w:rsid w:val="00A8717D"/>
    <w:rsid w:val="00AD285A"/>
    <w:rsid w:val="00AE4F15"/>
    <w:rsid w:val="00AF2609"/>
    <w:rsid w:val="00AF76AD"/>
    <w:rsid w:val="00B03209"/>
    <w:rsid w:val="00B03DEE"/>
    <w:rsid w:val="00B2788D"/>
    <w:rsid w:val="00B60560"/>
    <w:rsid w:val="00B81091"/>
    <w:rsid w:val="00B950DF"/>
    <w:rsid w:val="00B975B0"/>
    <w:rsid w:val="00BB1A3E"/>
    <w:rsid w:val="00BB2D1F"/>
    <w:rsid w:val="00BB601E"/>
    <w:rsid w:val="00BC73B1"/>
    <w:rsid w:val="00BF7751"/>
    <w:rsid w:val="00C0740C"/>
    <w:rsid w:val="00C2466E"/>
    <w:rsid w:val="00C73CE8"/>
    <w:rsid w:val="00C91396"/>
    <w:rsid w:val="00C917E7"/>
    <w:rsid w:val="00C94200"/>
    <w:rsid w:val="00CA1CFB"/>
    <w:rsid w:val="00CC437E"/>
    <w:rsid w:val="00CD09C7"/>
    <w:rsid w:val="00CD3DCF"/>
    <w:rsid w:val="00CF6850"/>
    <w:rsid w:val="00D01A4E"/>
    <w:rsid w:val="00D31F1B"/>
    <w:rsid w:val="00D33DBF"/>
    <w:rsid w:val="00D36605"/>
    <w:rsid w:val="00D710E7"/>
    <w:rsid w:val="00DB3CC8"/>
    <w:rsid w:val="00E1659A"/>
    <w:rsid w:val="00E24542"/>
    <w:rsid w:val="00E42B00"/>
    <w:rsid w:val="00E46C4C"/>
    <w:rsid w:val="00E5389C"/>
    <w:rsid w:val="00E64CE0"/>
    <w:rsid w:val="00E8554A"/>
    <w:rsid w:val="00EB5352"/>
    <w:rsid w:val="00EC0B26"/>
    <w:rsid w:val="00EC3BC3"/>
    <w:rsid w:val="00ED0BFC"/>
    <w:rsid w:val="00EE071A"/>
    <w:rsid w:val="00EF13E2"/>
    <w:rsid w:val="00EF26BB"/>
    <w:rsid w:val="00F01D18"/>
    <w:rsid w:val="00F10B2A"/>
    <w:rsid w:val="00F33B83"/>
    <w:rsid w:val="00F3728D"/>
    <w:rsid w:val="00F7694D"/>
    <w:rsid w:val="00F774C5"/>
    <w:rsid w:val="00F8256D"/>
    <w:rsid w:val="00FA7177"/>
    <w:rsid w:val="00FB5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0CA91-4CE3-43D6-A739-B22EE983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B97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5B0"/>
    <w:rPr>
      <w:sz w:val="20"/>
      <w:szCs w:val="20"/>
    </w:rPr>
  </w:style>
  <w:style w:type="character" w:styleId="FootnoteReference">
    <w:name w:val="footnote reference"/>
    <w:basedOn w:val="DefaultParagraphFont"/>
    <w:uiPriority w:val="99"/>
    <w:semiHidden/>
    <w:unhideWhenUsed/>
    <w:rsid w:val="00B97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0960-2D8A-4C3A-BE49-7DDC0C36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23</TotalTime>
  <Pages>9</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Olya Hetsman</cp:lastModifiedBy>
  <cp:revision>5</cp:revision>
  <cp:lastPrinted>2022-01-20T11:06:00Z</cp:lastPrinted>
  <dcterms:created xsi:type="dcterms:W3CDTF">2022-01-20T10:09:00Z</dcterms:created>
  <dcterms:modified xsi:type="dcterms:W3CDTF">2022-04-26T12:01:00Z</dcterms:modified>
</cp:coreProperties>
</file>