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C2" w:rsidRPr="008313F3" w:rsidRDefault="002427C2" w:rsidP="002427C2">
      <w:pPr>
        <w:tabs>
          <w:tab w:val="left" w:pos="4092"/>
        </w:tabs>
        <w:spacing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 xml:space="preserve">SUPREME COURT OF SEYCHELLES </w:t>
      </w:r>
    </w:p>
    <w:p w:rsidR="002427C2" w:rsidRPr="008313F3" w:rsidRDefault="002427C2" w:rsidP="002427C2">
      <w:pPr>
        <w:pBdr>
          <w:bottom w:val="single" w:sz="4" w:space="1" w:color="auto"/>
        </w:pBdr>
        <w:tabs>
          <w:tab w:val="left" w:pos="4092"/>
        </w:tabs>
        <w:spacing w:line="240" w:lineRule="auto"/>
        <w:jc w:val="center"/>
        <w:rPr>
          <w:rFonts w:ascii="Times New Roman" w:hAnsi="Times New Roman" w:cs="Times New Roman"/>
          <w:b/>
          <w:sz w:val="24"/>
          <w:szCs w:val="24"/>
        </w:rPr>
      </w:pPr>
    </w:p>
    <w:p w:rsidR="002427C2" w:rsidRPr="008313F3" w:rsidRDefault="002427C2" w:rsidP="002427C2">
      <w:pPr>
        <w:spacing w:after="0" w:line="240" w:lineRule="auto"/>
        <w:ind w:left="5580"/>
        <w:rPr>
          <w:rFonts w:ascii="Times New Roman" w:hAnsi="Times New Roman" w:cs="Times New Roman"/>
          <w:b/>
          <w:sz w:val="24"/>
          <w:szCs w:val="24"/>
          <w:u w:val="single"/>
        </w:rPr>
      </w:pPr>
      <w:r w:rsidRPr="008313F3">
        <w:rPr>
          <w:rFonts w:ascii="Times New Roman" w:hAnsi="Times New Roman" w:cs="Times New Roman"/>
          <w:b/>
          <w:sz w:val="24"/>
          <w:szCs w:val="24"/>
          <w:u w:val="single"/>
        </w:rPr>
        <w:t>Reportable</w:t>
      </w:r>
    </w:p>
    <w:p w:rsidR="002427C2" w:rsidRPr="008313F3" w:rsidRDefault="002427C2" w:rsidP="002427C2">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A136F2">
        <w:rPr>
          <w:rFonts w:ascii="Times New Roman" w:hAnsi="Times New Roman" w:cs="Times New Roman"/>
          <w:sz w:val="24"/>
          <w:szCs w:val="24"/>
        </w:rPr>
        <w:t xml:space="preserve"> 241</w:t>
      </w:r>
    </w:p>
    <w:p w:rsidR="002427C2" w:rsidRDefault="002427C2" w:rsidP="002427C2">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MA12/2022</w:t>
      </w:r>
    </w:p>
    <w:p w:rsidR="002427C2" w:rsidRPr="008313F3" w:rsidRDefault="002427C2" w:rsidP="002427C2">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CS85/2021)</w:t>
      </w:r>
    </w:p>
    <w:p w:rsidR="002427C2" w:rsidRPr="008313F3" w:rsidRDefault="002427C2" w:rsidP="002427C2">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rsidR="002427C2" w:rsidRPr="008313F3" w:rsidRDefault="002427C2" w:rsidP="002427C2">
      <w:pPr>
        <w:tabs>
          <w:tab w:val="left" w:pos="540"/>
          <w:tab w:val="left" w:pos="4092"/>
        </w:tabs>
        <w:spacing w:after="0" w:line="240" w:lineRule="auto"/>
        <w:rPr>
          <w:rFonts w:ascii="Times New Roman" w:hAnsi="Times New Roman" w:cs="Times New Roman"/>
          <w:sz w:val="24"/>
          <w:szCs w:val="24"/>
        </w:rPr>
      </w:pPr>
    </w:p>
    <w:p w:rsidR="002427C2" w:rsidRPr="008313F3" w:rsidRDefault="002427C2" w:rsidP="002427C2">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NORBERT BOUCHEREAU &amp; ORS</w:t>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sidRPr="008313F3">
        <w:rPr>
          <w:rFonts w:ascii="Times New Roman" w:hAnsi="Times New Roman" w:cs="Times New Roman"/>
          <w:b/>
          <w:sz w:val="24"/>
          <w:szCs w:val="24"/>
        </w:rPr>
        <w:tab/>
        <w:t>P</w:t>
      </w:r>
      <w:r w:rsidR="00347150">
        <w:rPr>
          <w:rFonts w:ascii="Times New Roman" w:hAnsi="Times New Roman" w:cs="Times New Roman"/>
          <w:b/>
          <w:sz w:val="24"/>
          <w:szCs w:val="24"/>
        </w:rPr>
        <w:t>laintiff</w:t>
      </w:r>
      <w:r w:rsidR="00E37BFB">
        <w:rPr>
          <w:rFonts w:ascii="Times New Roman" w:hAnsi="Times New Roman" w:cs="Times New Roman"/>
          <w:b/>
          <w:sz w:val="24"/>
          <w:szCs w:val="24"/>
        </w:rPr>
        <w:t>s</w:t>
      </w:r>
    </w:p>
    <w:p w:rsidR="002427C2" w:rsidRPr="008313F3" w:rsidRDefault="002427C2" w:rsidP="002427C2">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8313F3">
        <w:rPr>
          <w:rFonts w:ascii="Times New Roman" w:hAnsi="Times New Roman" w:cs="Times New Roman"/>
          <w:i/>
          <w:sz w:val="24"/>
          <w:szCs w:val="24"/>
        </w:rPr>
        <w:t xml:space="preserve">(Present / </w:t>
      </w:r>
      <w:r>
        <w:rPr>
          <w:rFonts w:ascii="Times New Roman" w:hAnsi="Times New Roman" w:cs="Times New Roman"/>
          <w:i/>
          <w:sz w:val="24"/>
          <w:szCs w:val="24"/>
        </w:rPr>
        <w:t>Self-represented)</w:t>
      </w:r>
    </w:p>
    <w:p w:rsidR="002427C2" w:rsidRPr="008313F3" w:rsidRDefault="002427C2" w:rsidP="002427C2">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2427C2" w:rsidRPr="002427C2" w:rsidRDefault="002427C2" w:rsidP="002427C2">
      <w:pPr>
        <w:pBdr>
          <w:bottom w:val="single" w:sz="4" w:space="0" w:color="auto"/>
        </w:pBdr>
        <w:tabs>
          <w:tab w:val="left" w:pos="540"/>
          <w:tab w:val="left" w:pos="5580"/>
        </w:tabs>
        <w:spacing w:after="0" w:line="240" w:lineRule="auto"/>
        <w:rPr>
          <w:rFonts w:ascii="Times New Roman" w:hAnsi="Times New Roman" w:cs="Times New Roman"/>
          <w:sz w:val="24"/>
          <w:szCs w:val="24"/>
          <w:lang w:val="en-US"/>
        </w:rPr>
      </w:pPr>
      <w:r w:rsidRPr="002427C2">
        <w:rPr>
          <w:rFonts w:ascii="Times New Roman" w:hAnsi="Times New Roman" w:cs="Times New Roman"/>
          <w:sz w:val="24"/>
          <w:szCs w:val="24"/>
          <w:lang w:val="en-US"/>
        </w:rPr>
        <w:t>AND</w:t>
      </w:r>
    </w:p>
    <w:p w:rsidR="002427C2" w:rsidRPr="002427C2" w:rsidRDefault="002427C2" w:rsidP="002427C2">
      <w:pPr>
        <w:pBdr>
          <w:bottom w:val="single" w:sz="4" w:space="0" w:color="auto"/>
        </w:pBdr>
        <w:tabs>
          <w:tab w:val="left" w:pos="540"/>
          <w:tab w:val="left" w:pos="5580"/>
        </w:tabs>
        <w:spacing w:after="0" w:line="240" w:lineRule="auto"/>
        <w:rPr>
          <w:rFonts w:ascii="Times New Roman" w:hAnsi="Times New Roman" w:cs="Times New Roman"/>
          <w:sz w:val="24"/>
          <w:szCs w:val="24"/>
          <w:lang w:val="en-US"/>
        </w:rPr>
      </w:pPr>
    </w:p>
    <w:p w:rsidR="002427C2" w:rsidRPr="002427C2" w:rsidRDefault="002427C2" w:rsidP="002427C2">
      <w:pPr>
        <w:pBdr>
          <w:bottom w:val="single" w:sz="4" w:space="0" w:color="auto"/>
        </w:pBdr>
        <w:tabs>
          <w:tab w:val="left" w:pos="540"/>
          <w:tab w:val="left" w:pos="558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CHRISTIANNE JUMEAU &amp; ORS</w:t>
      </w:r>
      <w:r w:rsidRPr="002427C2">
        <w:rPr>
          <w:rFonts w:ascii="Times New Roman" w:hAnsi="Times New Roman" w:cs="Times New Roman"/>
          <w:b/>
          <w:sz w:val="24"/>
          <w:szCs w:val="24"/>
          <w:lang w:val="en-US"/>
        </w:rPr>
        <w:tab/>
      </w:r>
      <w:r w:rsidRPr="002427C2">
        <w:rPr>
          <w:rFonts w:ascii="Times New Roman" w:hAnsi="Times New Roman" w:cs="Times New Roman"/>
          <w:b/>
          <w:sz w:val="24"/>
          <w:szCs w:val="24"/>
          <w:lang w:val="en-US"/>
        </w:rPr>
        <w:tab/>
      </w:r>
      <w:r w:rsidRPr="002427C2">
        <w:rPr>
          <w:rFonts w:ascii="Times New Roman" w:hAnsi="Times New Roman" w:cs="Times New Roman"/>
          <w:b/>
          <w:sz w:val="24"/>
          <w:szCs w:val="24"/>
          <w:lang w:val="en-US"/>
        </w:rPr>
        <w:tab/>
      </w:r>
      <w:r w:rsidRPr="002427C2">
        <w:rPr>
          <w:rFonts w:ascii="Times New Roman" w:hAnsi="Times New Roman" w:cs="Times New Roman"/>
          <w:b/>
          <w:sz w:val="24"/>
          <w:szCs w:val="24"/>
          <w:lang w:val="en-US"/>
        </w:rPr>
        <w:tab/>
      </w:r>
      <w:r>
        <w:rPr>
          <w:rFonts w:ascii="Times New Roman" w:hAnsi="Times New Roman" w:cs="Times New Roman"/>
          <w:b/>
          <w:sz w:val="24"/>
          <w:szCs w:val="24"/>
          <w:lang w:val="en-US"/>
        </w:rPr>
        <w:t>Defendants</w:t>
      </w:r>
    </w:p>
    <w:p w:rsidR="002427C2" w:rsidRPr="008313F3" w:rsidRDefault="002427C2" w:rsidP="002427C2">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8313F3">
        <w:rPr>
          <w:rFonts w:ascii="Times New Roman" w:hAnsi="Times New Roman" w:cs="Times New Roman"/>
          <w:i/>
          <w:sz w:val="24"/>
          <w:szCs w:val="24"/>
        </w:rPr>
        <w:t>(Absent / Unrepresented)</w:t>
      </w:r>
    </w:p>
    <w:p w:rsidR="002427C2" w:rsidRPr="008313F3" w:rsidRDefault="002427C2" w:rsidP="002427C2">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2427C2" w:rsidRPr="00347150" w:rsidRDefault="002427C2" w:rsidP="002427C2">
      <w:pPr>
        <w:spacing w:before="120" w:after="0" w:line="240" w:lineRule="auto"/>
        <w:ind w:left="1886" w:hanging="1886"/>
        <w:rPr>
          <w:rFonts w:ascii="Times New Roman" w:hAnsi="Times New Roman" w:cs="Times New Roman"/>
          <w:sz w:val="24"/>
          <w:szCs w:val="24"/>
          <w:lang w:val="en-US"/>
        </w:rPr>
      </w:pPr>
      <w:r w:rsidRPr="00347150">
        <w:rPr>
          <w:rFonts w:ascii="Times New Roman" w:hAnsi="Times New Roman" w:cs="Times New Roman"/>
          <w:b/>
          <w:sz w:val="24"/>
          <w:szCs w:val="24"/>
          <w:lang w:val="en-US"/>
        </w:rPr>
        <w:t>Neutral Citation:</w:t>
      </w:r>
      <w:r w:rsidRPr="00347150">
        <w:rPr>
          <w:rFonts w:ascii="Times New Roman" w:hAnsi="Times New Roman" w:cs="Times New Roman"/>
          <w:sz w:val="24"/>
          <w:szCs w:val="24"/>
          <w:lang w:val="en-US"/>
        </w:rPr>
        <w:t xml:space="preserve"> </w:t>
      </w:r>
      <w:r w:rsidRPr="00347150">
        <w:rPr>
          <w:rFonts w:ascii="Times New Roman" w:hAnsi="Times New Roman" w:cs="Times New Roman"/>
          <w:sz w:val="24"/>
          <w:szCs w:val="24"/>
          <w:lang w:val="en-US"/>
        </w:rPr>
        <w:tab/>
      </w:r>
      <w:r w:rsidRPr="00347150">
        <w:rPr>
          <w:rFonts w:ascii="Times New Roman" w:hAnsi="Times New Roman" w:cs="Times New Roman"/>
          <w:i/>
          <w:sz w:val="24"/>
          <w:szCs w:val="24"/>
          <w:lang w:val="en-US"/>
        </w:rPr>
        <w:t>Bouchereau v. Jumeau (</w:t>
      </w:r>
      <w:r w:rsidRPr="00347150">
        <w:rPr>
          <w:rFonts w:ascii="Times New Roman" w:hAnsi="Times New Roman" w:cs="Times New Roman"/>
          <w:sz w:val="24"/>
          <w:szCs w:val="24"/>
          <w:lang w:val="en-US"/>
        </w:rPr>
        <w:t xml:space="preserve">MA12/2022, (arising in CS85/2021) </w:t>
      </w:r>
    </w:p>
    <w:p w:rsidR="002427C2" w:rsidRPr="00347150" w:rsidRDefault="002427C2" w:rsidP="002427C2">
      <w:pPr>
        <w:spacing w:before="120" w:after="0" w:line="240" w:lineRule="auto"/>
        <w:ind w:left="1886"/>
        <w:rPr>
          <w:rFonts w:ascii="Times New Roman" w:hAnsi="Times New Roman" w:cs="Times New Roman"/>
          <w:sz w:val="24"/>
          <w:szCs w:val="24"/>
          <w:lang w:val="en-US"/>
        </w:rPr>
      </w:pPr>
      <w:r w:rsidRPr="00347150">
        <w:rPr>
          <w:rFonts w:ascii="Times New Roman" w:hAnsi="Times New Roman" w:cs="Times New Roman"/>
          <w:sz w:val="24"/>
          <w:szCs w:val="24"/>
          <w:lang w:val="en-US"/>
        </w:rPr>
        <w:t>[2022] SCSC</w:t>
      </w:r>
      <w:r w:rsidR="00A136F2">
        <w:rPr>
          <w:rFonts w:ascii="Times New Roman" w:hAnsi="Times New Roman" w:cs="Times New Roman"/>
          <w:sz w:val="24"/>
          <w:szCs w:val="24"/>
          <w:lang w:val="en-US"/>
        </w:rPr>
        <w:t xml:space="preserve"> 241</w:t>
      </w:r>
      <w:bookmarkStart w:id="0" w:name="_GoBack"/>
      <w:bookmarkEnd w:id="0"/>
    </w:p>
    <w:p w:rsidR="002427C2" w:rsidRPr="00887C1D" w:rsidRDefault="002427C2" w:rsidP="002427C2">
      <w:pPr>
        <w:spacing w:before="120" w:after="0" w:line="240" w:lineRule="auto"/>
        <w:ind w:left="1886"/>
        <w:rPr>
          <w:rFonts w:ascii="Times New Roman" w:hAnsi="Times New Roman" w:cs="Times New Roman"/>
          <w:sz w:val="24"/>
          <w:szCs w:val="24"/>
          <w:lang w:val="en-US"/>
        </w:rPr>
      </w:pPr>
      <w:r>
        <w:rPr>
          <w:rFonts w:ascii="Times New Roman" w:hAnsi="Times New Roman" w:cs="Times New Roman"/>
          <w:sz w:val="24"/>
          <w:szCs w:val="24"/>
          <w:lang w:val="en-US"/>
        </w:rPr>
        <w:t>(18</w:t>
      </w:r>
      <w:r w:rsidRPr="00887C1D">
        <w:rPr>
          <w:rFonts w:ascii="Times New Roman" w:hAnsi="Times New Roman" w:cs="Times New Roman"/>
          <w:sz w:val="24"/>
          <w:szCs w:val="24"/>
          <w:lang w:val="en-US"/>
        </w:rPr>
        <w:t xml:space="preserve"> March 2022)</w:t>
      </w:r>
    </w:p>
    <w:p w:rsidR="002427C2" w:rsidRPr="008313F3" w:rsidRDefault="002427C2" w:rsidP="002427C2">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 xml:space="preserve">Before: </w:t>
      </w:r>
      <w:r w:rsidRPr="008313F3">
        <w:rPr>
          <w:rFonts w:ascii="Times New Roman" w:hAnsi="Times New Roman" w:cs="Times New Roman"/>
          <w:b/>
          <w:sz w:val="24"/>
          <w:szCs w:val="24"/>
        </w:rPr>
        <w:tab/>
      </w:r>
      <w:r w:rsidRPr="008313F3">
        <w:rPr>
          <w:rFonts w:ascii="Times New Roman" w:hAnsi="Times New Roman" w:cs="Times New Roman"/>
          <w:sz w:val="24"/>
          <w:szCs w:val="24"/>
        </w:rPr>
        <w:t>B. Adeline, Judge</w:t>
      </w:r>
    </w:p>
    <w:p w:rsidR="002427C2" w:rsidRPr="008313F3" w:rsidRDefault="002427C2" w:rsidP="002427C2">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 xml:space="preserve">Summary: </w:t>
      </w:r>
      <w:r w:rsidRPr="008313F3">
        <w:rPr>
          <w:rFonts w:ascii="Times New Roman" w:hAnsi="Times New Roman" w:cs="Times New Roman"/>
          <w:b/>
          <w:sz w:val="24"/>
          <w:szCs w:val="24"/>
        </w:rPr>
        <w:tab/>
      </w:r>
      <w:r>
        <w:rPr>
          <w:rFonts w:ascii="Times New Roman" w:hAnsi="Times New Roman" w:cs="Times New Roman"/>
          <w:sz w:val="24"/>
          <w:szCs w:val="24"/>
        </w:rPr>
        <w:t>Notice of Motion for leave to issue and serve summons upon the defendants outside the jurisdiction.</w:t>
      </w:r>
    </w:p>
    <w:p w:rsidR="002427C2" w:rsidRPr="008313F3" w:rsidRDefault="002427C2" w:rsidP="002427C2">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Heard:</w:t>
      </w:r>
      <w:r w:rsidRPr="008313F3">
        <w:rPr>
          <w:rFonts w:ascii="Times New Roman" w:hAnsi="Times New Roman" w:cs="Times New Roman"/>
          <w:sz w:val="24"/>
          <w:szCs w:val="24"/>
        </w:rPr>
        <w:tab/>
      </w:r>
      <w:r>
        <w:rPr>
          <w:rFonts w:ascii="Times New Roman" w:hAnsi="Times New Roman" w:cs="Times New Roman"/>
          <w:sz w:val="24"/>
          <w:szCs w:val="24"/>
        </w:rPr>
        <w:t>09 March</w:t>
      </w:r>
      <w:r w:rsidRPr="008313F3">
        <w:rPr>
          <w:rFonts w:ascii="Times New Roman" w:hAnsi="Times New Roman" w:cs="Times New Roman"/>
          <w:sz w:val="24"/>
          <w:szCs w:val="24"/>
        </w:rPr>
        <w:t xml:space="preserve"> 2022</w:t>
      </w:r>
    </w:p>
    <w:p w:rsidR="002427C2" w:rsidRPr="008313F3" w:rsidRDefault="002427C2" w:rsidP="002427C2">
      <w:pPr>
        <w:pBdr>
          <w:bottom w:val="single" w:sz="4" w:space="1" w:color="auto"/>
        </w:pBd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Delivered:</w:t>
      </w:r>
      <w:r>
        <w:rPr>
          <w:rFonts w:ascii="Times New Roman" w:hAnsi="Times New Roman" w:cs="Times New Roman"/>
          <w:sz w:val="24"/>
          <w:szCs w:val="24"/>
        </w:rPr>
        <w:tab/>
        <w:t>18 March</w:t>
      </w:r>
      <w:r w:rsidRPr="008313F3">
        <w:rPr>
          <w:rFonts w:ascii="Times New Roman" w:hAnsi="Times New Roman" w:cs="Times New Roman"/>
          <w:sz w:val="24"/>
          <w:szCs w:val="24"/>
        </w:rPr>
        <w:t xml:space="preserve"> 2022</w:t>
      </w:r>
    </w:p>
    <w:p w:rsidR="002427C2" w:rsidRPr="008313F3" w:rsidRDefault="002427C2" w:rsidP="002427C2">
      <w:pPr>
        <w:tabs>
          <w:tab w:val="left" w:pos="2892"/>
        </w:tabs>
        <w:spacing w:before="120"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 xml:space="preserve">FINAL ORDER </w:t>
      </w:r>
    </w:p>
    <w:p w:rsidR="002427C2" w:rsidRPr="008313F3" w:rsidRDefault="002427C2" w:rsidP="002427C2">
      <w:pPr>
        <w:tabs>
          <w:tab w:val="left" w:pos="2892"/>
        </w:tabs>
        <w:spacing w:before="120"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___________________________________________________________________________</w:t>
      </w:r>
    </w:p>
    <w:p w:rsidR="002427C2" w:rsidRPr="008313F3" w:rsidRDefault="002427C2" w:rsidP="002427C2">
      <w:pPr>
        <w:tabs>
          <w:tab w:val="left" w:pos="2892"/>
        </w:tabs>
        <w:spacing w:before="120" w:after="0" w:line="240" w:lineRule="auto"/>
        <w:jc w:val="center"/>
        <w:rPr>
          <w:rFonts w:ascii="Times New Roman" w:hAnsi="Times New Roman" w:cs="Times New Roman"/>
          <w:b/>
          <w:sz w:val="24"/>
          <w:szCs w:val="24"/>
        </w:rPr>
      </w:pPr>
    </w:p>
    <w:p w:rsidR="002427C2" w:rsidRPr="008313F3" w:rsidRDefault="002427C2" w:rsidP="002427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strength of the affidavit evidence, motion is allowed, and accordingly, leave is granted to issue summons, that is, plaint with summons pursuant to Article 47 (4) of the Seychelles Code of Civil Procedure, and to serve upon the defendants at their address in Australia in accordance with Article 30 read with Article 47 </w:t>
      </w:r>
      <w:r w:rsidR="00347150">
        <w:rPr>
          <w:rFonts w:ascii="Times New Roman" w:hAnsi="Times New Roman" w:cs="Times New Roman"/>
          <w:sz w:val="24"/>
          <w:szCs w:val="24"/>
        </w:rPr>
        <w:t xml:space="preserve">(1) </w:t>
      </w:r>
      <w:r>
        <w:rPr>
          <w:rFonts w:ascii="Times New Roman" w:hAnsi="Times New Roman" w:cs="Times New Roman"/>
          <w:sz w:val="24"/>
          <w:szCs w:val="24"/>
        </w:rPr>
        <w:t>of the Seychelles Code of Civil Procedure.</w:t>
      </w:r>
    </w:p>
    <w:p w:rsidR="002427C2" w:rsidRPr="008313F3" w:rsidRDefault="002427C2" w:rsidP="002427C2">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2427C2" w:rsidRPr="008313F3" w:rsidRDefault="002427C2" w:rsidP="002427C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2427C2" w:rsidRPr="008313F3" w:rsidRDefault="002427C2" w:rsidP="002427C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2427C2" w:rsidRPr="008313F3" w:rsidRDefault="002427C2" w:rsidP="002427C2">
      <w:pPr>
        <w:rPr>
          <w:rFonts w:ascii="Times New Roman" w:hAnsi="Times New Roman" w:cs="Times New Roman"/>
          <w:sz w:val="24"/>
          <w:szCs w:val="24"/>
        </w:rPr>
      </w:pPr>
    </w:p>
    <w:p w:rsidR="002427C2" w:rsidRDefault="002427C2" w:rsidP="002427C2">
      <w:pPr>
        <w:pStyle w:val="JudgmentText"/>
        <w:numPr>
          <w:ilvl w:val="0"/>
          <w:numId w:val="0"/>
        </w:numPr>
        <w:tabs>
          <w:tab w:val="left" w:pos="720"/>
        </w:tabs>
        <w:spacing w:line="480" w:lineRule="auto"/>
        <w:rPr>
          <w:b/>
        </w:rPr>
      </w:pPr>
      <w:r>
        <w:rPr>
          <w:b/>
        </w:rPr>
        <w:t>Adeline, J</w:t>
      </w:r>
    </w:p>
    <w:p w:rsidR="002427C2" w:rsidRDefault="002427C2" w:rsidP="002427C2">
      <w:pPr>
        <w:pStyle w:val="JudgmentText"/>
        <w:numPr>
          <w:ilvl w:val="0"/>
          <w:numId w:val="0"/>
        </w:numPr>
        <w:tabs>
          <w:tab w:val="left" w:pos="720"/>
        </w:tabs>
        <w:spacing w:line="480" w:lineRule="auto"/>
        <w:ind w:left="720" w:hanging="720"/>
      </w:pPr>
      <w:r>
        <w:t>[1]</w:t>
      </w:r>
      <w:r>
        <w:tab/>
        <w:t>By way of a plaint entered as a civil suit at the registry of this Court on the 30</w:t>
      </w:r>
      <w:r w:rsidRPr="002427C2">
        <w:rPr>
          <w:vertAlign w:val="superscript"/>
        </w:rPr>
        <w:t>th</w:t>
      </w:r>
      <w:r>
        <w:t xml:space="preserve"> September 2021 as CS85/2021, Norbert Bouchereau and Ors, all of Pascal Village, </w:t>
      </w:r>
      <w:r>
        <w:lastRenderedPageBreak/>
        <w:t>Mahe, Seychelles (“the Plaintiffs”) commenced proceedings against one Christianne Jumeau and Ors, who as per the plaint, their address is Glacis, Mahe, Seychelles.</w:t>
      </w:r>
    </w:p>
    <w:p w:rsidR="002427C2" w:rsidRDefault="002427C2" w:rsidP="002427C2">
      <w:pPr>
        <w:pStyle w:val="JudgmentText"/>
        <w:numPr>
          <w:ilvl w:val="0"/>
          <w:numId w:val="0"/>
        </w:numPr>
        <w:tabs>
          <w:tab w:val="left" w:pos="720"/>
        </w:tabs>
        <w:spacing w:line="480" w:lineRule="auto"/>
        <w:ind w:left="720" w:hanging="720"/>
      </w:pPr>
      <w:r>
        <w:t>[2]</w:t>
      </w:r>
      <w:r>
        <w:tab/>
        <w:t>In pursuance to Article 47 (1) of the Seychelles Code of Civil Procedure (“the Code”) the Plaint</w:t>
      </w:r>
      <w:r w:rsidR="00347150">
        <w:t xml:space="preserve">iffs now files this application </w:t>
      </w:r>
      <w:r w:rsidR="00032BB4">
        <w:t xml:space="preserve">by way of Notice of Motion supported by an affidavit jointly sworn by them, by which leave of this Court is being sought to issue and serve summons upon the defendants </w:t>
      </w:r>
      <w:r w:rsidR="00347150">
        <w:t xml:space="preserve">whom they now say live </w:t>
      </w:r>
      <w:r w:rsidR="00032BB4">
        <w:t>out</w:t>
      </w:r>
      <w:r w:rsidR="00347150">
        <w:t>side</w:t>
      </w:r>
      <w:r w:rsidR="00032BB4">
        <w:t xml:space="preserve"> of the jurisdiction.</w:t>
      </w:r>
    </w:p>
    <w:p w:rsidR="002427C2" w:rsidRDefault="002427C2" w:rsidP="002427C2">
      <w:pPr>
        <w:pStyle w:val="JudgmentText"/>
        <w:numPr>
          <w:ilvl w:val="0"/>
          <w:numId w:val="0"/>
        </w:numPr>
        <w:tabs>
          <w:tab w:val="left" w:pos="720"/>
        </w:tabs>
        <w:spacing w:line="480" w:lineRule="auto"/>
        <w:ind w:left="720" w:hanging="720"/>
      </w:pPr>
      <w:r>
        <w:t>[3]</w:t>
      </w:r>
      <w:r>
        <w:tab/>
      </w:r>
      <w:r w:rsidR="00032BB4">
        <w:t>The reasons set forth in the attached affidavit in support of the motion as deponed by the Plaintiffs jointly, are that they all reside outside the jurisdiction of Seychelles, more precisely, Australia.</w:t>
      </w:r>
    </w:p>
    <w:p w:rsidR="002427C2" w:rsidRDefault="002427C2" w:rsidP="002427C2">
      <w:pPr>
        <w:pStyle w:val="JudgmentText"/>
        <w:numPr>
          <w:ilvl w:val="0"/>
          <w:numId w:val="0"/>
        </w:numPr>
        <w:tabs>
          <w:tab w:val="left" w:pos="720"/>
        </w:tabs>
        <w:spacing w:line="480" w:lineRule="auto"/>
        <w:ind w:left="720" w:hanging="720"/>
      </w:pPr>
      <w:r>
        <w:t>[4]</w:t>
      </w:r>
      <w:r>
        <w:tab/>
      </w:r>
      <w:r w:rsidR="00032BB4">
        <w:t xml:space="preserve">In their supporting affidavit, </w:t>
      </w:r>
      <w:r w:rsidR="00032BB4">
        <w:rPr>
          <w:i/>
        </w:rPr>
        <w:t>interalia</w:t>
      </w:r>
      <w:r w:rsidR="00032BB4">
        <w:t>, the deponents at the following paragraphs makes the following averments;</w:t>
      </w:r>
    </w:p>
    <w:p w:rsidR="00032BB4" w:rsidRDefault="00032BB4" w:rsidP="00032BB4">
      <w:pPr>
        <w:pStyle w:val="JudgmentText"/>
        <w:numPr>
          <w:ilvl w:val="0"/>
          <w:numId w:val="0"/>
        </w:numPr>
        <w:tabs>
          <w:tab w:val="left" w:pos="720"/>
        </w:tabs>
        <w:spacing w:line="480" w:lineRule="auto"/>
        <w:ind w:left="2160" w:hanging="720"/>
        <w:rPr>
          <w:i/>
        </w:rPr>
      </w:pPr>
      <w:r>
        <w:tab/>
      </w:r>
      <w:r w:rsidRPr="00032BB4">
        <w:rPr>
          <w:i/>
        </w:rPr>
        <w:t>“4. That the 1</w:t>
      </w:r>
      <w:r w:rsidRPr="00032BB4">
        <w:rPr>
          <w:i/>
          <w:vertAlign w:val="superscript"/>
        </w:rPr>
        <w:t>st</w:t>
      </w:r>
      <w:r w:rsidRPr="00032BB4">
        <w:rPr>
          <w:i/>
        </w:rPr>
        <w:t xml:space="preserve"> Respondent and 4</w:t>
      </w:r>
      <w:r w:rsidRPr="00032BB4">
        <w:rPr>
          <w:i/>
          <w:vertAlign w:val="superscript"/>
        </w:rPr>
        <w:t>th</w:t>
      </w:r>
      <w:r w:rsidRPr="00032BB4">
        <w:rPr>
          <w:i/>
        </w:rPr>
        <w:t xml:space="preserve"> Respondent reside at 164, Lapool Road, Apple Cross, WA6153, Australia.</w:t>
      </w:r>
    </w:p>
    <w:p w:rsidR="00032BB4" w:rsidRDefault="00032BB4" w:rsidP="00032BB4">
      <w:pPr>
        <w:pStyle w:val="JudgmentText"/>
        <w:numPr>
          <w:ilvl w:val="0"/>
          <w:numId w:val="0"/>
        </w:numPr>
        <w:tabs>
          <w:tab w:val="left" w:pos="720"/>
        </w:tabs>
        <w:spacing w:line="480" w:lineRule="auto"/>
        <w:ind w:left="2160" w:hanging="720"/>
        <w:rPr>
          <w:i/>
        </w:rPr>
      </w:pPr>
      <w:r>
        <w:rPr>
          <w:i/>
        </w:rPr>
        <w:tab/>
        <w:t xml:space="preserve">5. </w:t>
      </w:r>
      <w:proofErr w:type="gramStart"/>
      <w:r>
        <w:rPr>
          <w:i/>
        </w:rPr>
        <w:t>that</w:t>
      </w:r>
      <w:proofErr w:type="gramEnd"/>
      <w:r>
        <w:rPr>
          <w:i/>
        </w:rPr>
        <w:t xml:space="preserve"> the 2</w:t>
      </w:r>
      <w:r w:rsidRPr="00032BB4">
        <w:rPr>
          <w:i/>
          <w:vertAlign w:val="superscript"/>
        </w:rPr>
        <w:t>nd</w:t>
      </w:r>
      <w:r>
        <w:rPr>
          <w:i/>
        </w:rPr>
        <w:t xml:space="preserve"> Respondent resides at 53 </w:t>
      </w:r>
      <w:proofErr w:type="spellStart"/>
      <w:r>
        <w:rPr>
          <w:i/>
        </w:rPr>
        <w:t>Cowanstreet</w:t>
      </w:r>
      <w:proofErr w:type="spellEnd"/>
      <w:r>
        <w:rPr>
          <w:i/>
        </w:rPr>
        <w:t>, Armadale,   WA6112, Australia.</w:t>
      </w:r>
    </w:p>
    <w:p w:rsidR="00032BB4" w:rsidRPr="00032BB4" w:rsidRDefault="00032BB4" w:rsidP="00032BB4">
      <w:pPr>
        <w:pStyle w:val="JudgmentText"/>
        <w:numPr>
          <w:ilvl w:val="0"/>
          <w:numId w:val="0"/>
        </w:numPr>
        <w:tabs>
          <w:tab w:val="left" w:pos="720"/>
        </w:tabs>
        <w:spacing w:line="480" w:lineRule="auto"/>
        <w:ind w:left="2160" w:hanging="720"/>
        <w:rPr>
          <w:i/>
        </w:rPr>
      </w:pPr>
      <w:r>
        <w:rPr>
          <w:i/>
        </w:rPr>
        <w:tab/>
        <w:t>6. that the 3</w:t>
      </w:r>
      <w:r w:rsidRPr="00032BB4">
        <w:rPr>
          <w:i/>
          <w:vertAlign w:val="superscript"/>
        </w:rPr>
        <w:t>rd</w:t>
      </w:r>
      <w:r>
        <w:rPr>
          <w:i/>
        </w:rPr>
        <w:t xml:space="preserve"> Respondent is currently employed with Newmont Australia, Level 2, 388 Hay Street, </w:t>
      </w:r>
      <w:proofErr w:type="spellStart"/>
      <w:r>
        <w:rPr>
          <w:i/>
        </w:rPr>
        <w:t>Subiaco</w:t>
      </w:r>
      <w:proofErr w:type="spellEnd"/>
      <w:r>
        <w:rPr>
          <w:i/>
        </w:rPr>
        <w:t xml:space="preserve"> Western Australia, Australia 6008.</w:t>
      </w:r>
    </w:p>
    <w:p w:rsidR="002427C2" w:rsidRDefault="002427C2" w:rsidP="002427C2">
      <w:pPr>
        <w:pStyle w:val="JudgmentText"/>
        <w:numPr>
          <w:ilvl w:val="0"/>
          <w:numId w:val="0"/>
        </w:numPr>
        <w:tabs>
          <w:tab w:val="left" w:pos="720"/>
        </w:tabs>
        <w:spacing w:line="480" w:lineRule="auto"/>
        <w:ind w:left="720" w:hanging="720"/>
      </w:pPr>
      <w:r>
        <w:t>[5]</w:t>
      </w:r>
      <w:r>
        <w:tab/>
      </w:r>
      <w:r w:rsidR="00032BB4">
        <w:t xml:space="preserve">To determine whether service outside the jurisdiction should be allowed or not, I have had regard to Article 48 of the code which sets out at (a) – (f) the circumstances when service outside the jurisdiction may be allowed.  Having thoroughly read the plaint, I </w:t>
      </w:r>
      <w:r w:rsidR="00032BB4">
        <w:lastRenderedPageBreak/>
        <w:t>am satisfied, that service outside the jurisdiction should be allowed, given that the plaint falls within the ambit</w:t>
      </w:r>
      <w:r w:rsidR="00347150">
        <w:t xml:space="preserve"> of Article 48 (a) in that, “the whole subject matter of the suit is</w:t>
      </w:r>
      <w:r w:rsidR="00032BB4">
        <w:t xml:space="preserve"> Land or immovable property situated within the jurisdiction”.</w:t>
      </w:r>
    </w:p>
    <w:p w:rsidR="002427C2" w:rsidRDefault="002427C2" w:rsidP="002427C2">
      <w:pPr>
        <w:pStyle w:val="JudgmentText"/>
        <w:numPr>
          <w:ilvl w:val="0"/>
          <w:numId w:val="0"/>
        </w:numPr>
        <w:tabs>
          <w:tab w:val="left" w:pos="720"/>
        </w:tabs>
        <w:spacing w:line="480" w:lineRule="auto"/>
        <w:ind w:left="720" w:hanging="720"/>
      </w:pPr>
      <w:r>
        <w:t>[6]</w:t>
      </w:r>
      <w:r>
        <w:tab/>
      </w:r>
      <w:r w:rsidR="00032BB4">
        <w:t xml:space="preserve">I am not however satisfied, that all the averments necessary to </w:t>
      </w:r>
      <w:r w:rsidR="00347150">
        <w:t xml:space="preserve">fully </w:t>
      </w:r>
      <w:r w:rsidR="00032BB4">
        <w:t>meet the requirements of Article 49 of the Code have been stated in the supporting affidavit, in that;</w:t>
      </w:r>
    </w:p>
    <w:p w:rsidR="00032BB4" w:rsidRDefault="00032BB4" w:rsidP="00032BB4">
      <w:pPr>
        <w:pStyle w:val="JudgmentText"/>
        <w:numPr>
          <w:ilvl w:val="0"/>
          <w:numId w:val="0"/>
        </w:numPr>
        <w:tabs>
          <w:tab w:val="left" w:pos="720"/>
        </w:tabs>
        <w:spacing w:line="480" w:lineRule="auto"/>
        <w:ind w:left="1440"/>
      </w:pPr>
      <w:r>
        <w:t>(</w:t>
      </w:r>
      <w:proofErr w:type="spellStart"/>
      <w:r>
        <w:t>i</w:t>
      </w:r>
      <w:proofErr w:type="spellEnd"/>
      <w:r>
        <w:t xml:space="preserve">) </w:t>
      </w:r>
      <w:proofErr w:type="gramStart"/>
      <w:r>
        <w:t>it</w:t>
      </w:r>
      <w:proofErr w:type="gramEnd"/>
      <w:r>
        <w:t xml:space="preserve"> fails to state that in the belief of the deponents the plaintiffs have a good cause of action, and</w:t>
      </w:r>
    </w:p>
    <w:p w:rsidR="00032BB4" w:rsidRDefault="00032BB4" w:rsidP="00032BB4">
      <w:pPr>
        <w:pStyle w:val="JudgmentText"/>
        <w:numPr>
          <w:ilvl w:val="0"/>
          <w:numId w:val="0"/>
        </w:numPr>
        <w:tabs>
          <w:tab w:val="left" w:pos="720"/>
        </w:tabs>
        <w:spacing w:line="480" w:lineRule="auto"/>
        <w:ind w:left="1440"/>
      </w:pPr>
      <w:r>
        <w:t xml:space="preserve">(ii) </w:t>
      </w:r>
      <w:proofErr w:type="gramStart"/>
      <w:r>
        <w:t>whether</w:t>
      </w:r>
      <w:proofErr w:type="gramEnd"/>
      <w:r>
        <w:t xml:space="preserve"> the defendants are citizen of Seychelles or not.</w:t>
      </w:r>
    </w:p>
    <w:p w:rsidR="00347150" w:rsidRDefault="00347150" w:rsidP="00347150">
      <w:pPr>
        <w:pStyle w:val="JudgmentText"/>
        <w:numPr>
          <w:ilvl w:val="0"/>
          <w:numId w:val="0"/>
        </w:numPr>
        <w:tabs>
          <w:tab w:val="left" w:pos="720"/>
        </w:tabs>
        <w:spacing w:line="480" w:lineRule="auto"/>
        <w:ind w:left="720" w:hanging="720"/>
      </w:pPr>
      <w:r>
        <w:t>[7]</w:t>
      </w:r>
      <w:r>
        <w:tab/>
        <w:t>Being unrepresented, and having been examined on oath, I am satisfied, that the Plaintiffs have clarified the omissions stated at paragraph 6 (1) and (11) above, in that;</w:t>
      </w:r>
    </w:p>
    <w:p w:rsidR="00347150" w:rsidRDefault="00347150" w:rsidP="00347150">
      <w:pPr>
        <w:pStyle w:val="JudgmentText"/>
        <w:numPr>
          <w:ilvl w:val="0"/>
          <w:numId w:val="0"/>
        </w:numPr>
        <w:tabs>
          <w:tab w:val="left" w:pos="720"/>
        </w:tabs>
        <w:spacing w:line="480" w:lineRule="auto"/>
      </w:pPr>
      <w:r>
        <w:tab/>
      </w:r>
      <w:r>
        <w:tab/>
      </w:r>
      <w:r>
        <w:tab/>
        <w:t>(</w:t>
      </w:r>
      <w:proofErr w:type="spellStart"/>
      <w:r>
        <w:t>i</w:t>
      </w:r>
      <w:proofErr w:type="spellEnd"/>
      <w:r>
        <w:t xml:space="preserve">) </w:t>
      </w:r>
      <w:proofErr w:type="gramStart"/>
      <w:r>
        <w:t>they</w:t>
      </w:r>
      <w:proofErr w:type="gramEnd"/>
      <w:r>
        <w:t xml:space="preserve"> have a good cause of action against the defendants, and</w:t>
      </w:r>
    </w:p>
    <w:p w:rsidR="00347150" w:rsidRDefault="00347150" w:rsidP="00347150">
      <w:pPr>
        <w:pStyle w:val="JudgmentText"/>
        <w:numPr>
          <w:ilvl w:val="0"/>
          <w:numId w:val="0"/>
        </w:numPr>
        <w:tabs>
          <w:tab w:val="left" w:pos="720"/>
        </w:tabs>
        <w:spacing w:line="480" w:lineRule="auto"/>
      </w:pPr>
      <w:r>
        <w:tab/>
      </w:r>
      <w:r>
        <w:tab/>
      </w:r>
      <w:r>
        <w:tab/>
        <w:t xml:space="preserve">(ii) </w:t>
      </w:r>
      <w:proofErr w:type="gramStart"/>
      <w:r>
        <w:t>the</w:t>
      </w:r>
      <w:proofErr w:type="gramEnd"/>
      <w:r>
        <w:t xml:space="preserve"> defendants are citizen of Seychelles.</w:t>
      </w:r>
    </w:p>
    <w:p w:rsidR="002427C2" w:rsidRDefault="00347150" w:rsidP="00032BB4">
      <w:pPr>
        <w:pStyle w:val="JudgmentText"/>
        <w:numPr>
          <w:ilvl w:val="0"/>
          <w:numId w:val="0"/>
        </w:numPr>
        <w:tabs>
          <w:tab w:val="left" w:pos="720"/>
        </w:tabs>
        <w:spacing w:line="480" w:lineRule="auto"/>
        <w:ind w:left="720" w:hanging="720"/>
      </w:pPr>
      <w:r>
        <w:t>[8</w:t>
      </w:r>
      <w:r w:rsidR="002427C2">
        <w:t>]</w:t>
      </w:r>
      <w:r w:rsidR="002427C2">
        <w:tab/>
      </w:r>
      <w:r w:rsidR="00032BB4">
        <w:t xml:space="preserve">I am </w:t>
      </w:r>
      <w:r>
        <w:t>therefore</w:t>
      </w:r>
      <w:r w:rsidR="00032BB4">
        <w:t xml:space="preserve"> satisfied, that on account of the affidavit </w:t>
      </w:r>
      <w:r>
        <w:t xml:space="preserve">and oral </w:t>
      </w:r>
      <w:r w:rsidR="00032BB4">
        <w:t>evidence laid before this Court, that this case is a proper one for service out of the jurisdiction.</w:t>
      </w:r>
    </w:p>
    <w:p w:rsidR="002427C2" w:rsidRDefault="00347150" w:rsidP="002427C2">
      <w:pPr>
        <w:pStyle w:val="JudgmentText"/>
        <w:numPr>
          <w:ilvl w:val="0"/>
          <w:numId w:val="0"/>
        </w:numPr>
        <w:tabs>
          <w:tab w:val="left" w:pos="720"/>
        </w:tabs>
        <w:spacing w:after="0"/>
        <w:ind w:left="720" w:hanging="720"/>
      </w:pPr>
      <w:r>
        <w:t>[9</w:t>
      </w:r>
      <w:r w:rsidR="002427C2">
        <w:t>]</w:t>
      </w:r>
      <w:r w:rsidR="002427C2">
        <w:tab/>
      </w:r>
      <w:r w:rsidR="00670CAF">
        <w:t>Therefore, on the strength of the affidavit evidence, motion is allowed, and accordingly, leave of this Court is granted to issue summons, that is, plaint with summons pursuant to Article 47 (4) of the code, and to serve upon the defendants at their address in Australia as specified at paragraph [4] above, in accordance with Article 30 read with Article 47 of the code.</w:t>
      </w:r>
    </w:p>
    <w:p w:rsidR="00670CAF" w:rsidRDefault="00670CAF" w:rsidP="002427C2">
      <w:pPr>
        <w:pStyle w:val="JudgmentText"/>
        <w:numPr>
          <w:ilvl w:val="0"/>
          <w:numId w:val="0"/>
        </w:numPr>
        <w:tabs>
          <w:tab w:val="left" w:pos="720"/>
        </w:tabs>
        <w:spacing w:after="0"/>
        <w:ind w:left="720" w:hanging="720"/>
      </w:pPr>
    </w:p>
    <w:p w:rsidR="002427C2" w:rsidRDefault="002427C2" w:rsidP="002427C2">
      <w:pPr>
        <w:pStyle w:val="JudgmentText"/>
        <w:numPr>
          <w:ilvl w:val="0"/>
          <w:numId w:val="0"/>
        </w:numPr>
        <w:tabs>
          <w:tab w:val="left" w:pos="720"/>
        </w:tabs>
        <w:spacing w:after="0"/>
        <w:ind w:left="720" w:hanging="720"/>
      </w:pPr>
    </w:p>
    <w:p w:rsidR="002427C2" w:rsidRDefault="002427C2" w:rsidP="002427C2">
      <w:pPr>
        <w:pStyle w:val="JudgmentText"/>
        <w:numPr>
          <w:ilvl w:val="0"/>
          <w:numId w:val="0"/>
        </w:numPr>
        <w:tabs>
          <w:tab w:val="left" w:pos="720"/>
        </w:tabs>
        <w:spacing w:after="0"/>
        <w:ind w:left="720" w:hanging="720"/>
      </w:pPr>
    </w:p>
    <w:p w:rsidR="00347150" w:rsidRDefault="007C6643" w:rsidP="002427C2">
      <w:pPr>
        <w:pStyle w:val="JudgmentText"/>
        <w:numPr>
          <w:ilvl w:val="0"/>
          <w:numId w:val="0"/>
        </w:numPr>
        <w:tabs>
          <w:tab w:val="left" w:pos="720"/>
        </w:tabs>
        <w:spacing w:after="0"/>
        <w:ind w:left="720" w:hanging="720"/>
      </w:pPr>
      <w:r>
        <w:t>Signed, dated and delivered at Ile du Port on 18</w:t>
      </w:r>
      <w:r w:rsidRPr="007C6643">
        <w:rPr>
          <w:vertAlign w:val="superscript"/>
        </w:rPr>
        <w:t>th</w:t>
      </w:r>
      <w:r>
        <w:t xml:space="preserve"> March 2022.</w:t>
      </w:r>
    </w:p>
    <w:p w:rsidR="00347150" w:rsidRDefault="00347150" w:rsidP="002427C2">
      <w:pPr>
        <w:pStyle w:val="JudgmentText"/>
        <w:numPr>
          <w:ilvl w:val="0"/>
          <w:numId w:val="0"/>
        </w:numPr>
        <w:tabs>
          <w:tab w:val="left" w:pos="720"/>
        </w:tabs>
        <w:spacing w:after="0"/>
        <w:ind w:left="720" w:hanging="720"/>
      </w:pPr>
    </w:p>
    <w:p w:rsidR="002427C2" w:rsidRDefault="002427C2" w:rsidP="002427C2">
      <w:pPr>
        <w:pStyle w:val="JudgmentText"/>
        <w:numPr>
          <w:ilvl w:val="0"/>
          <w:numId w:val="0"/>
        </w:numPr>
        <w:tabs>
          <w:tab w:val="left" w:pos="720"/>
        </w:tabs>
        <w:spacing w:after="0"/>
        <w:ind w:left="720" w:hanging="720"/>
      </w:pPr>
      <w:r>
        <w:t>______________________</w:t>
      </w:r>
    </w:p>
    <w:p w:rsidR="002427C2" w:rsidRDefault="002427C2" w:rsidP="002427C2">
      <w:pPr>
        <w:pStyle w:val="JudgmentText"/>
        <w:numPr>
          <w:ilvl w:val="0"/>
          <w:numId w:val="0"/>
        </w:numPr>
        <w:tabs>
          <w:tab w:val="left" w:pos="720"/>
        </w:tabs>
        <w:spacing w:after="0"/>
        <w:ind w:left="720" w:hanging="720"/>
      </w:pPr>
      <w:r>
        <w:t>B. Adeline</w:t>
      </w:r>
    </w:p>
    <w:p w:rsidR="002427C2" w:rsidRPr="000C3473" w:rsidRDefault="002427C2" w:rsidP="002427C2">
      <w:pPr>
        <w:pStyle w:val="JudgmentText"/>
        <w:numPr>
          <w:ilvl w:val="0"/>
          <w:numId w:val="0"/>
        </w:numPr>
        <w:tabs>
          <w:tab w:val="left" w:pos="720"/>
        </w:tabs>
        <w:spacing w:after="0"/>
        <w:ind w:left="720" w:hanging="720"/>
      </w:pPr>
      <w:r>
        <w:t xml:space="preserve">Judge of the Supreme Court </w:t>
      </w:r>
    </w:p>
    <w:p w:rsidR="002427C2" w:rsidRPr="000C3473" w:rsidRDefault="002427C2" w:rsidP="002427C2">
      <w:pPr>
        <w:spacing w:after="0" w:line="360" w:lineRule="auto"/>
        <w:jc w:val="both"/>
        <w:rPr>
          <w:rFonts w:ascii="Times New Roman" w:hAnsi="Times New Roman" w:cs="Times New Roman"/>
        </w:rPr>
      </w:pPr>
    </w:p>
    <w:p w:rsidR="00160163" w:rsidRDefault="00160163"/>
    <w:sectPr w:rsidR="00160163" w:rsidSect="000C347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2"/>
    <w:rsid w:val="00032BB4"/>
    <w:rsid w:val="00160163"/>
    <w:rsid w:val="002427C2"/>
    <w:rsid w:val="00347150"/>
    <w:rsid w:val="00670CAF"/>
    <w:rsid w:val="007C6643"/>
    <w:rsid w:val="00A136F2"/>
    <w:rsid w:val="00E3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EE7E-870B-4EFB-AAF5-19645C6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C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2427C2"/>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2427C2"/>
    <w:pPr>
      <w:numPr>
        <w:numId w:val="1"/>
      </w:numPr>
    </w:pPr>
  </w:style>
  <w:style w:type="paragraph" w:styleId="ListParagraph">
    <w:name w:val="List Paragraph"/>
    <w:basedOn w:val="Normal"/>
    <w:uiPriority w:val="34"/>
    <w:qFormat/>
    <w:rsid w:val="002427C2"/>
    <w:pPr>
      <w:ind w:left="720"/>
      <w:contextualSpacing/>
    </w:pPr>
  </w:style>
  <w:style w:type="paragraph" w:styleId="BalloonText">
    <w:name w:val="Balloon Text"/>
    <w:basedOn w:val="Normal"/>
    <w:link w:val="BalloonTextChar"/>
    <w:uiPriority w:val="99"/>
    <w:semiHidden/>
    <w:unhideWhenUsed/>
    <w:rsid w:val="0067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5</cp:revision>
  <cp:lastPrinted>2022-03-17T06:40:00Z</cp:lastPrinted>
  <dcterms:created xsi:type="dcterms:W3CDTF">2022-03-16T07:56:00Z</dcterms:created>
  <dcterms:modified xsi:type="dcterms:W3CDTF">2022-03-21T10:24:00Z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