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33D2" w:rsidRPr="004A2599" w:rsidRDefault="001D33D2" w:rsidP="00214DB4">
      <w:pPr>
        <w:tabs>
          <w:tab w:val="left" w:pos="4092"/>
        </w:tabs>
        <w:spacing w:after="0" w:line="240" w:lineRule="auto"/>
        <w:jc w:val="center"/>
        <w:rPr>
          <w:rFonts w:ascii="Times New Roman" w:hAnsi="Times New Roman" w:cs="Times New Roman"/>
          <w:b/>
          <w:sz w:val="24"/>
          <w:szCs w:val="24"/>
        </w:rPr>
      </w:pPr>
      <w:bookmarkStart w:id="0" w:name="_GoBack"/>
      <w:bookmarkEnd w:id="0"/>
      <w:r w:rsidRPr="004A2599">
        <w:rPr>
          <w:rFonts w:ascii="Times New Roman" w:hAnsi="Times New Roman" w:cs="Times New Roman"/>
          <w:b/>
          <w:sz w:val="24"/>
          <w:szCs w:val="24"/>
        </w:rPr>
        <w:t>SUPREME</w:t>
      </w:r>
      <w:r>
        <w:rPr>
          <w:rFonts w:ascii="Times New Roman" w:hAnsi="Times New Roman" w:cs="Times New Roman"/>
          <w:b/>
          <w:sz w:val="24"/>
          <w:szCs w:val="24"/>
        </w:rPr>
        <w:t xml:space="preserve"> </w:t>
      </w:r>
      <w:r w:rsidRPr="004A2599">
        <w:rPr>
          <w:rFonts w:ascii="Times New Roman" w:hAnsi="Times New Roman" w:cs="Times New Roman"/>
          <w:b/>
          <w:sz w:val="24"/>
          <w:szCs w:val="24"/>
        </w:rPr>
        <w:t>COURT OF SEYCHELLES</w:t>
      </w:r>
      <w:r w:rsidR="00214DB4">
        <w:rPr>
          <w:rFonts w:ascii="Times New Roman" w:hAnsi="Times New Roman" w:cs="Times New Roman"/>
          <w:b/>
          <w:sz w:val="24"/>
          <w:szCs w:val="24"/>
        </w:rPr>
        <w:t xml:space="preserve"> </w:t>
      </w:r>
    </w:p>
    <w:p w:rsidR="009539C2" w:rsidRPr="004A2599" w:rsidRDefault="009539C2" w:rsidP="00214DB4">
      <w:pPr>
        <w:pBdr>
          <w:bottom w:val="single" w:sz="4" w:space="1" w:color="auto"/>
        </w:pBdr>
        <w:tabs>
          <w:tab w:val="left" w:pos="4092"/>
        </w:tabs>
        <w:spacing w:line="240" w:lineRule="auto"/>
        <w:jc w:val="center"/>
        <w:rPr>
          <w:rFonts w:ascii="Times New Roman" w:hAnsi="Times New Roman" w:cs="Times New Roman"/>
          <w:b/>
          <w:sz w:val="24"/>
          <w:szCs w:val="24"/>
        </w:rPr>
      </w:pPr>
    </w:p>
    <w:p w:rsidR="00ED0BFC" w:rsidRPr="00380619" w:rsidRDefault="009938AD" w:rsidP="00214DB4">
      <w:pPr>
        <w:spacing w:after="0" w:line="240" w:lineRule="auto"/>
        <w:ind w:left="5580"/>
        <w:rPr>
          <w:rFonts w:ascii="Times New Roman" w:hAnsi="Times New Roman" w:cs="Times New Roman"/>
          <w:b/>
          <w:sz w:val="24"/>
          <w:szCs w:val="24"/>
          <w:u w:val="single"/>
        </w:rPr>
      </w:pPr>
      <w:r>
        <w:rPr>
          <w:rFonts w:ascii="Times New Roman" w:hAnsi="Times New Roman" w:cs="Times New Roman"/>
          <w:b/>
          <w:sz w:val="24"/>
          <w:szCs w:val="24"/>
          <w:u w:val="single"/>
        </w:rPr>
        <w:t>Reportable/</w:t>
      </w:r>
      <w:r w:rsidR="00ED0BFC" w:rsidRPr="00380619">
        <w:rPr>
          <w:rFonts w:ascii="Times New Roman" w:hAnsi="Times New Roman" w:cs="Times New Roman"/>
          <w:b/>
          <w:sz w:val="24"/>
          <w:szCs w:val="24"/>
          <w:u w:val="single"/>
        </w:rPr>
        <w:t>Not Reportable</w:t>
      </w:r>
      <w:r>
        <w:rPr>
          <w:rFonts w:ascii="Times New Roman" w:hAnsi="Times New Roman" w:cs="Times New Roman"/>
          <w:b/>
          <w:sz w:val="24"/>
          <w:szCs w:val="24"/>
          <w:u w:val="single"/>
        </w:rPr>
        <w:t>/Redact</w:t>
      </w:r>
      <w:r w:rsidR="00F33B83" w:rsidRPr="00380619">
        <w:rPr>
          <w:rFonts w:ascii="Times New Roman" w:hAnsi="Times New Roman" w:cs="Times New Roman"/>
          <w:b/>
          <w:sz w:val="24"/>
          <w:szCs w:val="24"/>
          <w:u w:val="single"/>
        </w:rPr>
        <w:t xml:space="preserve"> </w:t>
      </w:r>
    </w:p>
    <w:p w:rsidR="002E2AE3" w:rsidRPr="004A2599" w:rsidRDefault="00BC73B1"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[20</w:t>
      </w:r>
      <w:r w:rsidR="00106D16">
        <w:rPr>
          <w:rFonts w:ascii="Times New Roman" w:hAnsi="Times New Roman" w:cs="Times New Roman"/>
          <w:sz w:val="24"/>
          <w:szCs w:val="24"/>
        </w:rPr>
        <w:t>2</w:t>
      </w:r>
      <w:r w:rsidR="00CB19F5">
        <w:rPr>
          <w:rFonts w:ascii="Times New Roman" w:hAnsi="Times New Roman" w:cs="Times New Roman"/>
          <w:sz w:val="24"/>
          <w:szCs w:val="24"/>
        </w:rPr>
        <w:t>2</w:t>
      </w:r>
      <w:r>
        <w:rPr>
          <w:rFonts w:ascii="Times New Roman" w:hAnsi="Times New Roman" w:cs="Times New Roman"/>
          <w:sz w:val="24"/>
          <w:szCs w:val="24"/>
        </w:rPr>
        <w:t>] SCSC …</w:t>
      </w:r>
    </w:p>
    <w:p w:rsidR="002E2AE3" w:rsidRPr="004A2599" w:rsidRDefault="008577B7"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M</w:t>
      </w:r>
      <w:r w:rsidR="00C76602">
        <w:rPr>
          <w:rFonts w:ascii="Times New Roman" w:hAnsi="Times New Roman" w:cs="Times New Roman"/>
          <w:sz w:val="24"/>
          <w:szCs w:val="24"/>
        </w:rPr>
        <w:t>C03</w:t>
      </w:r>
      <w:r w:rsidR="002E2AE3" w:rsidRPr="004A2599">
        <w:rPr>
          <w:rFonts w:ascii="Times New Roman" w:hAnsi="Times New Roman" w:cs="Times New Roman"/>
          <w:sz w:val="24"/>
          <w:szCs w:val="24"/>
        </w:rPr>
        <w:t>/20</w:t>
      </w:r>
      <w:r w:rsidR="00106D16">
        <w:rPr>
          <w:rFonts w:ascii="Times New Roman" w:hAnsi="Times New Roman" w:cs="Times New Roman"/>
          <w:sz w:val="24"/>
          <w:szCs w:val="24"/>
        </w:rPr>
        <w:t>21</w:t>
      </w:r>
    </w:p>
    <w:p w:rsidR="006A68E2" w:rsidRPr="004A2599" w:rsidRDefault="006A68E2" w:rsidP="00214DB4">
      <w:pPr>
        <w:spacing w:after="0" w:line="240" w:lineRule="auto"/>
        <w:ind w:left="5580"/>
        <w:rPr>
          <w:rFonts w:ascii="Times New Roman" w:hAnsi="Times New Roman" w:cs="Times New Roman"/>
          <w:sz w:val="24"/>
          <w:szCs w:val="24"/>
        </w:rPr>
      </w:pPr>
    </w:p>
    <w:p w:rsidR="002D4EB8" w:rsidRPr="004A2599" w:rsidRDefault="008577B7" w:rsidP="00214DB4">
      <w:pPr>
        <w:tabs>
          <w:tab w:val="left" w:pos="540"/>
          <w:tab w:val="left" w:pos="4092"/>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 the </w:t>
      </w:r>
      <w:r w:rsidR="00AE0FB8">
        <w:rPr>
          <w:rFonts w:ascii="Times New Roman" w:hAnsi="Times New Roman" w:cs="Times New Roman"/>
          <w:sz w:val="24"/>
          <w:szCs w:val="24"/>
        </w:rPr>
        <w:t>matter between:</w:t>
      </w:r>
    </w:p>
    <w:p w:rsidR="00106D16" w:rsidRDefault="00AE0FB8" w:rsidP="00214DB4">
      <w:pPr>
        <w:pStyle w:val="Partynames"/>
      </w:pPr>
      <w:r>
        <w:t>LOUDMILLA BOURLAKOVA</w:t>
      </w:r>
      <w:r w:rsidR="00D75E6F">
        <w:tab/>
        <w:t>Applicant</w:t>
      </w:r>
    </w:p>
    <w:p w:rsidR="00394067" w:rsidRDefault="00394067" w:rsidP="00394067">
      <w:pPr>
        <w:pStyle w:val="Attorneysnames"/>
      </w:pPr>
      <w:r w:rsidRPr="00214DB4">
        <w:t>(</w:t>
      </w:r>
      <w:r w:rsidR="00AE0FB8">
        <w:t xml:space="preserve">Serge Rouillon </w:t>
      </w:r>
      <w:r w:rsidRPr="00214DB4">
        <w:t>)</w:t>
      </w:r>
    </w:p>
    <w:p w:rsidR="00AE0FB8" w:rsidRPr="00AE0FB8" w:rsidRDefault="00AE0FB8" w:rsidP="00AE0FB8">
      <w:pPr>
        <w:pStyle w:val="Partynames"/>
        <w:rPr>
          <w:b w:val="0"/>
        </w:rPr>
      </w:pPr>
      <w:r w:rsidRPr="00AE0FB8">
        <w:rPr>
          <w:b w:val="0"/>
        </w:rPr>
        <w:t>and</w:t>
      </w:r>
    </w:p>
    <w:p w:rsidR="00AE0FB8" w:rsidRDefault="00AE0FB8" w:rsidP="00AE0FB8">
      <w:pPr>
        <w:pStyle w:val="Partynames"/>
      </w:pPr>
      <w:r>
        <w:t>ACT OFFSHORE LIMITED</w:t>
      </w:r>
      <w:r>
        <w:tab/>
        <w:t>Respondent</w:t>
      </w:r>
    </w:p>
    <w:p w:rsidR="00AE0FB8" w:rsidRPr="004A2599" w:rsidRDefault="00AE0FB8" w:rsidP="00AE0FB8">
      <w:pPr>
        <w:pStyle w:val="Attorneysnames"/>
      </w:pPr>
      <w:r w:rsidRPr="00214DB4">
        <w:t>(</w:t>
      </w:r>
      <w:r>
        <w:t>Bernard Georges</w:t>
      </w:r>
      <w:r w:rsidRPr="00214DB4">
        <w:t>)</w:t>
      </w:r>
    </w:p>
    <w:p w:rsidR="00AE0FB8" w:rsidRPr="004A2599" w:rsidRDefault="00AE0FB8" w:rsidP="00394067">
      <w:pPr>
        <w:pStyle w:val="Attorneysnames"/>
      </w:pPr>
    </w:p>
    <w:p w:rsidR="00BB1A3E" w:rsidRPr="00BB1A3E" w:rsidRDefault="00BB1A3E" w:rsidP="00214DB4">
      <w:pPr>
        <w:pBdr>
          <w:bottom w:val="single" w:sz="4" w:space="1" w:color="auto"/>
        </w:pBdr>
        <w:tabs>
          <w:tab w:val="left" w:pos="540"/>
          <w:tab w:val="left" w:pos="5580"/>
        </w:tabs>
        <w:spacing w:after="0" w:line="240" w:lineRule="auto"/>
        <w:rPr>
          <w:rFonts w:ascii="Times New Roman" w:hAnsi="Times New Roman" w:cs="Times New Roman"/>
          <w:i/>
          <w:sz w:val="24"/>
          <w:szCs w:val="24"/>
        </w:rPr>
      </w:pPr>
    </w:p>
    <w:p w:rsidR="00405958" w:rsidRPr="004A2599" w:rsidRDefault="00405958" w:rsidP="006A39DE">
      <w:pPr>
        <w:spacing w:before="120" w:after="0" w:line="240" w:lineRule="auto"/>
        <w:ind w:left="1886" w:hanging="1886"/>
        <w:rPr>
          <w:rFonts w:ascii="Times New Roman" w:hAnsi="Times New Roman" w:cs="Times New Roman"/>
          <w:sz w:val="24"/>
          <w:szCs w:val="24"/>
        </w:rPr>
      </w:pPr>
      <w:r w:rsidRPr="004A2599">
        <w:rPr>
          <w:rFonts w:ascii="Times New Roman" w:hAnsi="Times New Roman" w:cs="Times New Roman"/>
          <w:b/>
          <w:sz w:val="24"/>
          <w:szCs w:val="24"/>
        </w:rPr>
        <w:t>Neutral Citation:</w:t>
      </w:r>
      <w:r w:rsidR="004A2599">
        <w:rPr>
          <w:rFonts w:ascii="Times New Roman" w:hAnsi="Times New Roman" w:cs="Times New Roman"/>
          <w:sz w:val="24"/>
          <w:szCs w:val="24"/>
        </w:rPr>
        <w:t xml:space="preserve"> </w:t>
      </w:r>
      <w:r w:rsidR="00AE0FB8">
        <w:rPr>
          <w:rFonts w:ascii="Times New Roman" w:hAnsi="Times New Roman" w:cs="Times New Roman"/>
          <w:sz w:val="24"/>
          <w:szCs w:val="24"/>
        </w:rPr>
        <w:t>Bourlakova v ACT Offshore</w:t>
      </w:r>
      <w:r w:rsidR="006A39DE">
        <w:rPr>
          <w:rFonts w:ascii="Times New Roman" w:hAnsi="Times New Roman" w:cs="Times New Roman"/>
          <w:sz w:val="24"/>
          <w:szCs w:val="24"/>
        </w:rPr>
        <w:t xml:space="preserve"> </w:t>
      </w:r>
      <w:r w:rsidR="00D31F1B" w:rsidRPr="004A2599">
        <w:rPr>
          <w:rFonts w:ascii="Times New Roman" w:hAnsi="Times New Roman" w:cs="Times New Roman"/>
          <w:sz w:val="24"/>
          <w:szCs w:val="24"/>
        </w:rPr>
        <w:t>(</w:t>
      </w:r>
      <w:r w:rsidR="00DD79CC">
        <w:rPr>
          <w:rFonts w:ascii="Times New Roman" w:hAnsi="Times New Roman" w:cs="Times New Roman"/>
          <w:sz w:val="24"/>
          <w:szCs w:val="24"/>
        </w:rPr>
        <w:t>MA</w:t>
      </w:r>
      <w:r w:rsidR="00AE0FB8">
        <w:rPr>
          <w:rFonts w:ascii="Times New Roman" w:hAnsi="Times New Roman" w:cs="Times New Roman"/>
          <w:sz w:val="24"/>
          <w:szCs w:val="24"/>
        </w:rPr>
        <w:t>0</w:t>
      </w:r>
      <w:r w:rsidR="00CB19F5">
        <w:rPr>
          <w:rFonts w:ascii="Times New Roman" w:hAnsi="Times New Roman" w:cs="Times New Roman"/>
          <w:sz w:val="24"/>
          <w:szCs w:val="24"/>
        </w:rPr>
        <w:t>3</w:t>
      </w:r>
      <w:r w:rsidR="00DD79CC">
        <w:rPr>
          <w:rFonts w:ascii="Times New Roman" w:hAnsi="Times New Roman" w:cs="Times New Roman"/>
          <w:sz w:val="24"/>
          <w:szCs w:val="24"/>
        </w:rPr>
        <w:t>/20</w:t>
      </w:r>
      <w:r w:rsidR="006A39DE">
        <w:rPr>
          <w:rFonts w:ascii="Times New Roman" w:hAnsi="Times New Roman" w:cs="Times New Roman"/>
          <w:sz w:val="24"/>
          <w:szCs w:val="24"/>
        </w:rPr>
        <w:t>21</w:t>
      </w:r>
      <w:r w:rsidR="00DD79CC">
        <w:rPr>
          <w:rFonts w:ascii="Times New Roman" w:hAnsi="Times New Roman" w:cs="Times New Roman"/>
          <w:sz w:val="24"/>
          <w:szCs w:val="24"/>
        </w:rPr>
        <w:t>) [20</w:t>
      </w:r>
      <w:r w:rsidR="006A39DE">
        <w:rPr>
          <w:rFonts w:ascii="Times New Roman" w:hAnsi="Times New Roman" w:cs="Times New Roman"/>
          <w:sz w:val="24"/>
          <w:szCs w:val="24"/>
        </w:rPr>
        <w:t>2</w:t>
      </w:r>
      <w:r w:rsidR="00CB19F5">
        <w:rPr>
          <w:rFonts w:ascii="Times New Roman" w:hAnsi="Times New Roman" w:cs="Times New Roman"/>
          <w:sz w:val="24"/>
          <w:szCs w:val="24"/>
        </w:rPr>
        <w:t>2</w:t>
      </w:r>
      <w:r w:rsidR="00DD79CC">
        <w:rPr>
          <w:rFonts w:ascii="Times New Roman" w:hAnsi="Times New Roman" w:cs="Times New Roman"/>
          <w:sz w:val="24"/>
          <w:szCs w:val="24"/>
        </w:rPr>
        <w:t>] SC</w:t>
      </w:r>
      <w:r w:rsidR="00D31F1B" w:rsidRPr="004A2599">
        <w:rPr>
          <w:rFonts w:ascii="Times New Roman" w:hAnsi="Times New Roman" w:cs="Times New Roman"/>
          <w:sz w:val="24"/>
          <w:szCs w:val="24"/>
        </w:rPr>
        <w:t xml:space="preserve">SC </w:t>
      </w:r>
      <w:r w:rsidR="00DD79CC">
        <w:rPr>
          <w:rFonts w:ascii="Times New Roman" w:hAnsi="Times New Roman" w:cs="Times New Roman"/>
          <w:sz w:val="24"/>
          <w:szCs w:val="24"/>
        </w:rPr>
        <w:t>…</w:t>
      </w:r>
      <w:r w:rsidR="00ED2759">
        <w:rPr>
          <w:rFonts w:ascii="Times New Roman" w:hAnsi="Times New Roman" w:cs="Times New Roman"/>
          <w:sz w:val="24"/>
          <w:szCs w:val="24"/>
        </w:rPr>
        <w:t>..</w:t>
      </w:r>
      <w:r w:rsidR="00D31F1B" w:rsidRPr="004A2599">
        <w:rPr>
          <w:rFonts w:ascii="Times New Roman" w:hAnsi="Times New Roman" w:cs="Times New Roman"/>
          <w:sz w:val="24"/>
          <w:szCs w:val="24"/>
        </w:rPr>
        <w:t xml:space="preserve"> (</w:t>
      </w:r>
      <w:r w:rsidR="00C932A0">
        <w:rPr>
          <w:rFonts w:ascii="Times New Roman" w:hAnsi="Times New Roman" w:cs="Times New Roman"/>
          <w:sz w:val="24"/>
          <w:szCs w:val="24"/>
        </w:rPr>
        <w:t>21</w:t>
      </w:r>
      <w:r w:rsidR="00C932A0" w:rsidRPr="00C932A0">
        <w:rPr>
          <w:rFonts w:ascii="Times New Roman" w:hAnsi="Times New Roman" w:cs="Times New Roman"/>
          <w:sz w:val="24"/>
          <w:szCs w:val="24"/>
          <w:vertAlign w:val="superscript"/>
        </w:rPr>
        <w:t>st</w:t>
      </w:r>
      <w:r w:rsidR="00C932A0">
        <w:rPr>
          <w:rFonts w:ascii="Times New Roman" w:hAnsi="Times New Roman" w:cs="Times New Roman"/>
          <w:sz w:val="24"/>
          <w:szCs w:val="24"/>
        </w:rPr>
        <w:t xml:space="preserve"> March</w:t>
      </w:r>
      <w:r w:rsidR="00AE0FB8">
        <w:rPr>
          <w:rFonts w:ascii="Times New Roman" w:hAnsi="Times New Roman" w:cs="Times New Roman"/>
          <w:sz w:val="24"/>
          <w:szCs w:val="24"/>
        </w:rPr>
        <w:t xml:space="preserve"> 2022</w:t>
      </w:r>
      <w:r w:rsidR="00DD79CC">
        <w:rPr>
          <w:rFonts w:ascii="Times New Roman" w:hAnsi="Times New Roman" w:cs="Times New Roman"/>
          <w:sz w:val="24"/>
          <w:szCs w:val="24"/>
        </w:rPr>
        <w:t>)</w:t>
      </w:r>
      <w:r w:rsidR="00D31F1B" w:rsidRPr="004A2599">
        <w:rPr>
          <w:rFonts w:ascii="Times New Roman" w:hAnsi="Times New Roman" w:cs="Times New Roman"/>
          <w:sz w:val="24"/>
          <w:szCs w:val="24"/>
        </w:rPr>
        <w:t>.</w:t>
      </w:r>
    </w:p>
    <w:p w:rsidR="002E2AE3" w:rsidRDefault="009F125D" w:rsidP="00214DB4">
      <w:pPr>
        <w:spacing w:after="0" w:line="240" w:lineRule="auto"/>
        <w:ind w:left="1890" w:hanging="1890"/>
        <w:rPr>
          <w:rFonts w:ascii="Times New Roman" w:hAnsi="Times New Roman" w:cs="Times New Roman"/>
          <w:sz w:val="24"/>
          <w:szCs w:val="24"/>
        </w:rPr>
      </w:pPr>
      <w:r>
        <w:rPr>
          <w:rFonts w:ascii="Times New Roman" w:hAnsi="Times New Roman" w:cs="Times New Roman"/>
          <w:b/>
          <w:sz w:val="24"/>
          <w:szCs w:val="24"/>
        </w:rPr>
        <w:t>Before</w:t>
      </w:r>
      <w:r w:rsidR="00405958" w:rsidRPr="004A2599">
        <w:rPr>
          <w:rFonts w:ascii="Times New Roman" w:hAnsi="Times New Roman" w:cs="Times New Roman"/>
          <w:b/>
          <w:sz w:val="24"/>
          <w:szCs w:val="24"/>
        </w:rPr>
        <w:t xml:space="preserve">: </w:t>
      </w:r>
      <w:r w:rsidR="004A2599">
        <w:rPr>
          <w:rFonts w:ascii="Times New Roman" w:hAnsi="Times New Roman" w:cs="Times New Roman"/>
          <w:b/>
          <w:sz w:val="24"/>
          <w:szCs w:val="24"/>
        </w:rPr>
        <w:tab/>
      </w:r>
      <w:r w:rsidR="002422A2">
        <w:rPr>
          <w:rFonts w:ascii="Times New Roman" w:hAnsi="Times New Roman" w:cs="Times New Roman"/>
          <w:sz w:val="24"/>
          <w:szCs w:val="24"/>
        </w:rPr>
        <w:t>Carolus J</w:t>
      </w:r>
    </w:p>
    <w:p w:rsidR="00344425" w:rsidRPr="004A2599" w:rsidRDefault="00346D7F" w:rsidP="00214DB4">
      <w:pPr>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 xml:space="preserve">Summary: </w:t>
      </w:r>
      <w:r w:rsidR="00F33B83">
        <w:rPr>
          <w:rFonts w:ascii="Times New Roman" w:hAnsi="Times New Roman" w:cs="Times New Roman"/>
          <w:b/>
          <w:sz w:val="24"/>
          <w:szCs w:val="24"/>
        </w:rPr>
        <w:tab/>
      </w:r>
      <w:r w:rsidR="00AE0FB8" w:rsidRPr="00AE0FB8">
        <w:rPr>
          <w:rFonts w:ascii="Times New Roman" w:hAnsi="Times New Roman" w:cs="Times New Roman"/>
          <w:sz w:val="24"/>
          <w:szCs w:val="24"/>
        </w:rPr>
        <w:t>Application for a further Norwich Pharmacal Order</w:t>
      </w:r>
    </w:p>
    <w:p w:rsidR="00344425" w:rsidRDefault="00344425" w:rsidP="00214DB4">
      <w:pPr>
        <w:pBdr>
          <w:bottom w:val="single" w:sz="4" w:space="1" w:color="auto"/>
        </w:pBdr>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Delivered:</w:t>
      </w:r>
      <w:r w:rsidR="004A2599" w:rsidRPr="004A2599">
        <w:rPr>
          <w:rFonts w:ascii="Times New Roman" w:hAnsi="Times New Roman" w:cs="Times New Roman"/>
          <w:b/>
          <w:sz w:val="24"/>
          <w:szCs w:val="24"/>
        </w:rPr>
        <w:tab/>
      </w:r>
      <w:r w:rsidR="00C932A0">
        <w:rPr>
          <w:rFonts w:ascii="Times New Roman" w:hAnsi="Times New Roman" w:cs="Times New Roman"/>
          <w:sz w:val="24"/>
          <w:szCs w:val="24"/>
        </w:rPr>
        <w:t>21</w:t>
      </w:r>
      <w:r w:rsidR="00C932A0" w:rsidRPr="00C932A0">
        <w:rPr>
          <w:rFonts w:ascii="Times New Roman" w:hAnsi="Times New Roman" w:cs="Times New Roman"/>
          <w:sz w:val="24"/>
          <w:szCs w:val="24"/>
          <w:vertAlign w:val="superscript"/>
        </w:rPr>
        <w:t>st</w:t>
      </w:r>
      <w:r w:rsidR="00C932A0">
        <w:rPr>
          <w:rFonts w:ascii="Times New Roman" w:hAnsi="Times New Roman" w:cs="Times New Roman"/>
          <w:sz w:val="24"/>
          <w:szCs w:val="24"/>
        </w:rPr>
        <w:t xml:space="preserve"> March</w:t>
      </w:r>
      <w:r w:rsidR="00CB19F5">
        <w:rPr>
          <w:rFonts w:ascii="Times New Roman" w:hAnsi="Times New Roman" w:cs="Times New Roman"/>
          <w:sz w:val="24"/>
          <w:szCs w:val="24"/>
        </w:rPr>
        <w:t xml:space="preserve"> 2022</w:t>
      </w:r>
    </w:p>
    <w:p w:rsidR="002422A2" w:rsidRPr="00F33B83" w:rsidRDefault="002422A2" w:rsidP="00214DB4">
      <w:pPr>
        <w:pBdr>
          <w:bottom w:val="single" w:sz="4" w:space="1" w:color="auto"/>
        </w:pBdr>
        <w:spacing w:after="0" w:line="240" w:lineRule="auto"/>
        <w:ind w:left="1890" w:hanging="1890"/>
        <w:rPr>
          <w:rFonts w:ascii="Times New Roman" w:hAnsi="Times New Roman" w:cs="Times New Roman"/>
          <w:sz w:val="24"/>
          <w:szCs w:val="24"/>
        </w:rPr>
      </w:pPr>
    </w:p>
    <w:p w:rsidR="00ED0BFC" w:rsidRPr="004A2599" w:rsidRDefault="00ED0BFC" w:rsidP="00214DB4">
      <w:pPr>
        <w:tabs>
          <w:tab w:val="left" w:pos="2892"/>
        </w:tabs>
        <w:spacing w:before="120" w:after="0" w:line="240" w:lineRule="auto"/>
        <w:jc w:val="center"/>
        <w:rPr>
          <w:rFonts w:ascii="Times New Roman" w:hAnsi="Times New Roman" w:cs="Times New Roman"/>
          <w:b/>
          <w:sz w:val="24"/>
          <w:szCs w:val="24"/>
        </w:rPr>
      </w:pPr>
      <w:r w:rsidRPr="004A2599">
        <w:rPr>
          <w:rFonts w:ascii="Times New Roman" w:hAnsi="Times New Roman" w:cs="Times New Roman"/>
          <w:b/>
          <w:sz w:val="24"/>
          <w:szCs w:val="24"/>
        </w:rPr>
        <w:t xml:space="preserve">ORDER </w:t>
      </w:r>
    </w:p>
    <w:p w:rsidR="00C932A0" w:rsidRDefault="00C932A0" w:rsidP="00BB3071">
      <w:pPr>
        <w:pStyle w:val="JudgmentText"/>
        <w:numPr>
          <w:ilvl w:val="0"/>
          <w:numId w:val="18"/>
        </w:numPr>
        <w:ind w:left="540" w:hanging="540"/>
      </w:pPr>
      <w:r>
        <w:t xml:space="preserve">The respondent shall  not later than 14 days from the date of this Order disclose the following documents </w:t>
      </w:r>
      <w:r w:rsidR="00F14E3C">
        <w:t>and/</w:t>
      </w:r>
      <w:r>
        <w:t xml:space="preserve">or information in the respondent’s </w:t>
      </w:r>
      <w:r w:rsidR="00B209D6">
        <w:t xml:space="preserve">possession or </w:t>
      </w:r>
      <w:r>
        <w:t>knowledge in respect of Kirkwell Inc</w:t>
      </w:r>
      <w:r w:rsidR="00B209D6">
        <w:t>.</w:t>
      </w:r>
      <w:r>
        <w:t xml:space="preserve"> and Shanklin Holdings Ltd:</w:t>
      </w:r>
    </w:p>
    <w:p w:rsidR="00C932A0" w:rsidRPr="0018325D" w:rsidRDefault="00B209D6" w:rsidP="00BB3071">
      <w:pPr>
        <w:pStyle w:val="JudgmentText"/>
        <w:numPr>
          <w:ilvl w:val="0"/>
          <w:numId w:val="19"/>
        </w:numPr>
      </w:pPr>
      <w:r>
        <w:t>C</w:t>
      </w:r>
      <w:r w:rsidR="00C932A0" w:rsidRPr="0018325D">
        <w:t xml:space="preserve">onfirm whether </w:t>
      </w:r>
      <w:r>
        <w:t>the respondent</w:t>
      </w:r>
      <w:r w:rsidR="00C932A0" w:rsidRPr="0018325D">
        <w:t xml:space="preserve"> acts as, has provided or arranged for others to provide a nominee shareholder for Kirkwell and/or Shanklin, and if it does or has</w:t>
      </w:r>
      <w:r w:rsidR="00C932A0">
        <w:t>,</w:t>
      </w:r>
      <w:r w:rsidR="00C932A0" w:rsidRPr="0018325D">
        <w:t xml:space="preserve"> to disclose the </w:t>
      </w:r>
      <w:r>
        <w:t xml:space="preserve">relevant </w:t>
      </w:r>
      <w:r w:rsidR="00C932A0" w:rsidRPr="0018325D">
        <w:t>nominee agreement.</w:t>
      </w:r>
    </w:p>
    <w:p w:rsidR="00C932A0" w:rsidRPr="0018325D" w:rsidRDefault="00C932A0" w:rsidP="00BB3071">
      <w:pPr>
        <w:pStyle w:val="JudgmentText"/>
        <w:numPr>
          <w:ilvl w:val="0"/>
          <w:numId w:val="19"/>
        </w:numPr>
      </w:pPr>
      <w:r w:rsidRPr="0018325D">
        <w:t xml:space="preserve">If </w:t>
      </w:r>
      <w:r>
        <w:t>the respondent has not already done so,</w:t>
      </w:r>
      <w:r w:rsidRPr="0018325D">
        <w:t xml:space="preserve"> confirm the nature of the relationship between the Carey Group and ACT, if any.</w:t>
      </w:r>
    </w:p>
    <w:p w:rsidR="00C932A0" w:rsidRDefault="00C932A0" w:rsidP="00BB3071">
      <w:pPr>
        <w:pStyle w:val="JudgmentText"/>
        <w:numPr>
          <w:ilvl w:val="0"/>
          <w:numId w:val="19"/>
        </w:numPr>
      </w:pPr>
      <w:r w:rsidRPr="0018325D">
        <w:t xml:space="preserve">If the </w:t>
      </w:r>
      <w:r>
        <w:t>respondent has not already</w:t>
      </w:r>
      <w:r w:rsidRPr="0018325D">
        <w:t xml:space="preserve"> </w:t>
      </w:r>
      <w:r>
        <w:t xml:space="preserve">disclosed the </w:t>
      </w:r>
      <w:r w:rsidRPr="0018325D">
        <w:t>register of</w:t>
      </w:r>
      <w:r>
        <w:t xml:space="preserve"> beneficial owners,</w:t>
      </w:r>
      <w:r w:rsidRPr="0018325D">
        <w:t xml:space="preserve"> disclose the identity of any nominee(s) holding interest on behalf of the beneficial owner, the particulars and details of the interest held by such nominee and any relevant information regarding such nominee and interest.</w:t>
      </w:r>
    </w:p>
    <w:p w:rsidR="00C932A0" w:rsidRDefault="00B209D6" w:rsidP="00BB3071">
      <w:pPr>
        <w:pStyle w:val="JudgmentText"/>
        <w:numPr>
          <w:ilvl w:val="0"/>
          <w:numId w:val="19"/>
        </w:numPr>
      </w:pPr>
      <w:r>
        <w:lastRenderedPageBreak/>
        <w:t>C</w:t>
      </w:r>
      <w:r w:rsidR="00C932A0" w:rsidRPr="0018325D">
        <w:t>onfirm whether</w:t>
      </w:r>
      <w:r w:rsidR="00C932A0">
        <w:t xml:space="preserve"> </w:t>
      </w:r>
      <w:r>
        <w:t>the respondent</w:t>
      </w:r>
      <w:r w:rsidR="00C932A0">
        <w:t xml:space="preserve"> has provided nominee director services to </w:t>
      </w:r>
      <w:r w:rsidR="00C932A0" w:rsidRPr="0018325D">
        <w:t>Kirkwell and/or Shanklin</w:t>
      </w:r>
      <w:r w:rsidR="00C932A0">
        <w:t>, directly through one of its own directors or indirectly through an employee/professional officer, and if it has provided</w:t>
      </w:r>
      <w:r w:rsidR="00C932A0" w:rsidRPr="006931E3">
        <w:t xml:space="preserve"> </w:t>
      </w:r>
      <w:r w:rsidR="00C932A0">
        <w:t>nominee director services directly through one of its own directors, provide any powers of attorney issued by such director.</w:t>
      </w:r>
    </w:p>
    <w:p w:rsidR="00C932A0" w:rsidRDefault="00C932A0" w:rsidP="00BB3071">
      <w:pPr>
        <w:pStyle w:val="JudgmentText"/>
        <w:numPr>
          <w:ilvl w:val="0"/>
          <w:numId w:val="19"/>
        </w:numPr>
      </w:pPr>
      <w:r>
        <w:t>If it has provided</w:t>
      </w:r>
      <w:r w:rsidRPr="006931E3">
        <w:t xml:space="preserve"> </w:t>
      </w:r>
      <w:r>
        <w:t>nominee director services directly through one of its own directors</w:t>
      </w:r>
      <w:r w:rsidRPr="00CD6E88">
        <w:t xml:space="preserve"> </w:t>
      </w:r>
      <w:r>
        <w:t xml:space="preserve">to </w:t>
      </w:r>
      <w:r w:rsidRPr="0018325D">
        <w:t>Kirkwell and/or Shanklin</w:t>
      </w:r>
      <w:r>
        <w:t>, disclose</w:t>
      </w:r>
      <w:r w:rsidRPr="0018325D">
        <w:t xml:space="preserve"> </w:t>
      </w:r>
      <w:r>
        <w:t>any information that it may have regarding assets of the companies.</w:t>
      </w:r>
    </w:p>
    <w:p w:rsidR="00C932A0" w:rsidRPr="00420E39" w:rsidRDefault="00F14E3C" w:rsidP="00BB3071">
      <w:pPr>
        <w:pStyle w:val="JudgmentText"/>
        <w:numPr>
          <w:ilvl w:val="0"/>
          <w:numId w:val="19"/>
        </w:numPr>
      </w:pPr>
      <w:r>
        <w:t>D</w:t>
      </w:r>
      <w:r w:rsidR="00C932A0">
        <w:t xml:space="preserve">isclose any accounting records in its possession </w:t>
      </w:r>
      <w:r w:rsidR="00B209D6">
        <w:t>which show</w:t>
      </w:r>
      <w:r w:rsidR="00C932A0">
        <w:t xml:space="preserve"> the assets of the company.</w:t>
      </w:r>
    </w:p>
    <w:p w:rsidR="00C932A0" w:rsidRPr="0018325D" w:rsidRDefault="00F14E3C" w:rsidP="00BB3071">
      <w:pPr>
        <w:pStyle w:val="JudgmentText"/>
        <w:numPr>
          <w:ilvl w:val="0"/>
          <w:numId w:val="19"/>
        </w:numPr>
      </w:pPr>
      <w:r>
        <w:t>D</w:t>
      </w:r>
      <w:r w:rsidR="00C932A0">
        <w:t>isclose any R</w:t>
      </w:r>
      <w:r w:rsidR="00C932A0" w:rsidRPr="00420E39">
        <w:t>e</w:t>
      </w:r>
      <w:r w:rsidR="00C932A0">
        <w:t xml:space="preserve">gister of Charges created by </w:t>
      </w:r>
      <w:r w:rsidR="00C932A0" w:rsidRPr="0018325D">
        <w:t>Kirkwell and/or Shanklin</w:t>
      </w:r>
      <w:r w:rsidR="00C932A0">
        <w:t xml:space="preserve"> kept at its office.</w:t>
      </w:r>
    </w:p>
    <w:p w:rsidR="00C932A0" w:rsidRDefault="00C932A0" w:rsidP="00BB3071">
      <w:pPr>
        <w:pStyle w:val="JudgmentText"/>
        <w:numPr>
          <w:ilvl w:val="0"/>
          <w:numId w:val="18"/>
        </w:numPr>
        <w:ind w:left="540" w:hanging="540"/>
      </w:pPr>
      <w:r>
        <w:t xml:space="preserve">The respondent shall verify the disclosure made pursuant to paragraph (a) above not later than 14 days from the date of this Order by serving on the applicant’s attorney an affidavit sworn by an authorised officer of the respondent, exhibiting copies of any documents disclosed. </w:t>
      </w:r>
      <w:r w:rsidRPr="004D1EB5">
        <w:t xml:space="preserve">If the respondent is unable to provide the documents and/or information as ordered, it should explain in </w:t>
      </w:r>
      <w:r>
        <w:t>the</w:t>
      </w:r>
      <w:r w:rsidRPr="004D1EB5">
        <w:t xml:space="preserve"> affidavit the reasons for such inability</w:t>
      </w:r>
      <w:r>
        <w:t>.</w:t>
      </w:r>
    </w:p>
    <w:p w:rsidR="00C932A0" w:rsidRDefault="00C932A0" w:rsidP="00BB3071">
      <w:pPr>
        <w:pStyle w:val="JudgmentText"/>
        <w:numPr>
          <w:ilvl w:val="0"/>
          <w:numId w:val="18"/>
        </w:numPr>
        <w:ind w:left="540" w:hanging="540"/>
      </w:pPr>
      <w:r>
        <w:t xml:space="preserve">The respondent’s reasonable costs including </w:t>
      </w:r>
      <w:r w:rsidR="00B209D6">
        <w:t>its</w:t>
      </w:r>
      <w:r>
        <w:t xml:space="preserve"> costs and expenses of complying with this Order shall be borne by the applicant. </w:t>
      </w:r>
    </w:p>
    <w:p w:rsidR="00C932A0" w:rsidRPr="004D1EB5" w:rsidRDefault="00C932A0" w:rsidP="00BB3071">
      <w:pPr>
        <w:pStyle w:val="JudgmentText"/>
        <w:numPr>
          <w:ilvl w:val="0"/>
          <w:numId w:val="18"/>
        </w:numPr>
        <w:ind w:left="540" w:hanging="540"/>
      </w:pPr>
      <w:r>
        <w:t>This Order is to be served on the respondent forthwith</w:t>
      </w:r>
      <w:r w:rsidRPr="004D1EB5">
        <w:t>.</w:t>
      </w:r>
    </w:p>
    <w:p w:rsidR="00F33B83" w:rsidRDefault="00F33B83" w:rsidP="00214DB4">
      <w:pPr>
        <w:pBdr>
          <w:top w:val="single" w:sz="4" w:space="1" w:color="auto"/>
          <w:bottom w:val="single" w:sz="4" w:space="1" w:color="auto"/>
        </w:pBdr>
        <w:tabs>
          <w:tab w:val="left" w:pos="2892"/>
        </w:tabs>
        <w:spacing w:after="0" w:line="240" w:lineRule="auto"/>
        <w:rPr>
          <w:rFonts w:ascii="Times New Roman" w:hAnsi="Times New Roman" w:cs="Times New Roman"/>
          <w:b/>
          <w:sz w:val="24"/>
          <w:szCs w:val="24"/>
        </w:rPr>
      </w:pPr>
    </w:p>
    <w:p w:rsidR="00F33B83" w:rsidRDefault="00D75E6F" w:rsidP="00214DB4">
      <w:pPr>
        <w:pBdr>
          <w:top w:val="single" w:sz="4" w:space="1" w:color="auto"/>
          <w:bottom w:val="single" w:sz="4" w:space="1" w:color="auto"/>
        </w:pBdr>
        <w:spacing w:before="120" w:after="120" w:line="240" w:lineRule="auto"/>
        <w:jc w:val="center"/>
        <w:rPr>
          <w:rFonts w:ascii="Times New Roman" w:hAnsi="Times New Roman" w:cs="Times New Roman"/>
          <w:b/>
          <w:sz w:val="24"/>
          <w:szCs w:val="24"/>
        </w:rPr>
      </w:pPr>
      <w:r>
        <w:rPr>
          <w:rFonts w:ascii="Times New Roman" w:hAnsi="Times New Roman" w:cs="Times New Roman"/>
          <w:b/>
          <w:sz w:val="24"/>
          <w:szCs w:val="24"/>
        </w:rPr>
        <w:t>RULING</w:t>
      </w:r>
    </w:p>
    <w:p w:rsidR="00F33B83" w:rsidRPr="00F33B83" w:rsidRDefault="00F33B83" w:rsidP="00662CEA">
      <w:pPr>
        <w:pBdr>
          <w:top w:val="single" w:sz="4" w:space="1" w:color="auto"/>
          <w:bottom w:val="single" w:sz="4" w:space="1" w:color="auto"/>
        </w:pBdr>
        <w:tabs>
          <w:tab w:val="left" w:pos="2892"/>
        </w:tabs>
        <w:spacing w:after="0" w:line="276" w:lineRule="auto"/>
        <w:rPr>
          <w:rFonts w:ascii="Times New Roman" w:hAnsi="Times New Roman" w:cs="Times New Roman"/>
          <w:b/>
          <w:sz w:val="24"/>
          <w:szCs w:val="24"/>
        </w:rPr>
      </w:pPr>
    </w:p>
    <w:p w:rsidR="00722761" w:rsidRPr="004A2599" w:rsidRDefault="00722761" w:rsidP="00722761">
      <w:pPr>
        <w:rPr>
          <w:rFonts w:ascii="Times New Roman" w:hAnsi="Times New Roman" w:cs="Times New Roman"/>
          <w:sz w:val="24"/>
          <w:szCs w:val="24"/>
        </w:rPr>
      </w:pPr>
    </w:p>
    <w:p w:rsidR="005B12AA" w:rsidRPr="005B12AA" w:rsidRDefault="00CE09B9" w:rsidP="00CB19F5">
      <w:pPr>
        <w:pStyle w:val="JudgmentText"/>
        <w:numPr>
          <w:ilvl w:val="0"/>
          <w:numId w:val="0"/>
        </w:numPr>
        <w:tabs>
          <w:tab w:val="left" w:pos="6115"/>
        </w:tabs>
        <w:spacing w:line="480" w:lineRule="auto"/>
        <w:ind w:left="720" w:hanging="720"/>
        <w:rPr>
          <w:b/>
        </w:rPr>
      </w:pPr>
      <w:r>
        <w:rPr>
          <w:b/>
        </w:rPr>
        <w:t>E. CAROLUS, J</w:t>
      </w:r>
      <w:r w:rsidR="00CB19F5">
        <w:rPr>
          <w:b/>
        </w:rPr>
        <w:tab/>
      </w:r>
    </w:p>
    <w:p w:rsidR="00AE0FB8" w:rsidRDefault="00AE0FB8" w:rsidP="00AE0FB8">
      <w:pPr>
        <w:pStyle w:val="Jjmntheading1"/>
      </w:pPr>
      <w:r>
        <w:lastRenderedPageBreak/>
        <w:t>Background</w:t>
      </w:r>
    </w:p>
    <w:p w:rsidR="00AE0FB8" w:rsidRDefault="00AE0FB8" w:rsidP="00AE0FB8">
      <w:pPr>
        <w:pStyle w:val="JudgmentText"/>
      </w:pPr>
      <w:r w:rsidRPr="00AE0FB8">
        <w:t>The applicant, Mrs Loudmila Bourlakova has successfully obtained a Norwich Pharmacal order for disclosure of documents or information in the respondent's knowledge or possession in respect of two international business companies (the “IBCs”) namely Kirkwell Inc. (“Kirkwell”) and Shanklin Holdings Ltd (“Shanklin”) The respondent is ACT Offshore Limited (“ACT”), the r</w:t>
      </w:r>
      <w:r w:rsidR="00583D89">
        <w:t>egistered agent of Kirkwell</w:t>
      </w:r>
      <w:r w:rsidR="00845976">
        <w:t xml:space="preserve"> and Shanklin</w:t>
      </w:r>
      <w:r w:rsidR="00583D89">
        <w:t>.</w:t>
      </w:r>
      <w:r w:rsidRPr="00AE0FB8">
        <w:t xml:space="preserve"> The Order was granted by the Supreme Court on 18</w:t>
      </w:r>
      <w:r w:rsidRPr="00AE0FB8">
        <w:rPr>
          <w:vertAlign w:val="superscript"/>
        </w:rPr>
        <w:t>th</w:t>
      </w:r>
      <w:r w:rsidRPr="00AE0FB8">
        <w:t xml:space="preserve"> February 2021.</w:t>
      </w:r>
    </w:p>
    <w:p w:rsidR="00AE0FB8" w:rsidRDefault="00AE0FB8" w:rsidP="00AE0FB8">
      <w:pPr>
        <w:pStyle w:val="JudgmentText"/>
      </w:pPr>
      <w:r w:rsidRPr="00AE0FB8">
        <w:t>Mrs Bourlakova avers that she has been married to Mr Oleg Bourlakov since 1972 but petitioned for divorce in 2018 in the Monaco Courts. Mr and Mrs Bourlakov were married in Ukraine and</w:t>
      </w:r>
      <w:r w:rsidR="00583D89">
        <w:t xml:space="preserve"> it is averred that</w:t>
      </w:r>
      <w:r w:rsidRPr="00AE0FB8">
        <w:t xml:space="preserve"> under Ukrainian law, the matrimonial property of the parties is deemed to be owned in equal shares and divided equally between the parties upon divorce. Mr and Mrs Bourlakov have a family home in Monaco "La Reserve". The applicant avers that </w:t>
      </w:r>
      <w:r w:rsidR="00845976">
        <w:t xml:space="preserve">the </w:t>
      </w:r>
      <w:r w:rsidRPr="00AE0FB8">
        <w:t xml:space="preserve">property is held </w:t>
      </w:r>
      <w:r w:rsidR="00845976">
        <w:t>by</w:t>
      </w:r>
      <w:r w:rsidRPr="00AE0FB8">
        <w:t xml:space="preserve"> a number of offshore companies which are ultimately owned by Kirkwell</w:t>
      </w:r>
      <w:r w:rsidR="00714732">
        <w:t xml:space="preserve"> of which</w:t>
      </w:r>
      <w:r w:rsidRPr="00AE0FB8">
        <w:t xml:space="preserve"> Shanklin </w:t>
      </w:r>
      <w:r w:rsidR="00714732">
        <w:t>is the</w:t>
      </w:r>
      <w:r w:rsidRPr="00AE0FB8">
        <w:t xml:space="preserve"> sole shareholder as a nominee for Mr Oleg Bourlakov.</w:t>
      </w:r>
    </w:p>
    <w:p w:rsidR="00AE0FB8" w:rsidRDefault="00AE0FB8" w:rsidP="00AE0FB8">
      <w:pPr>
        <w:pStyle w:val="JudgmentText"/>
      </w:pPr>
      <w:r w:rsidRPr="00AE0FB8">
        <w:t xml:space="preserve">Mrs Bourlakova claims that her husband has been taking steps to dissipate assets in an attempt to deplete the value of the "marital pot" and to deny her the assets forming part of their matrimonial property to which she would be entitled upon their divorce. The purpose of the </w:t>
      </w:r>
      <w:r w:rsidR="003F65DE">
        <w:t xml:space="preserve">original </w:t>
      </w:r>
      <w:r w:rsidRPr="00AE0FB8">
        <w:t xml:space="preserve">application for a Norwich Pharmacal order therefore was to obtain information and documentation in relation to both IBCs to enable a claim to be made against </w:t>
      </w:r>
      <w:r w:rsidR="00714732">
        <w:t>her</w:t>
      </w:r>
      <w:r w:rsidRPr="00AE0FB8">
        <w:t xml:space="preserve"> husband and to identify any wrongdoers assisting him in his illegal acts. </w:t>
      </w:r>
    </w:p>
    <w:p w:rsidR="00AE0FB8" w:rsidRDefault="00AE0FB8" w:rsidP="00AE0FB8">
      <w:pPr>
        <w:pStyle w:val="JudgmentText"/>
      </w:pPr>
      <w:r w:rsidRPr="00AE0FB8">
        <w:t xml:space="preserve">By its </w:t>
      </w:r>
      <w:r w:rsidR="003F65DE">
        <w:t>O</w:t>
      </w:r>
      <w:r w:rsidRPr="00AE0FB8">
        <w:t>rder dated 18</w:t>
      </w:r>
      <w:r w:rsidRPr="00AE0FB8">
        <w:rPr>
          <w:vertAlign w:val="superscript"/>
        </w:rPr>
        <w:t>th</w:t>
      </w:r>
      <w:r w:rsidRPr="00AE0FB8">
        <w:t xml:space="preserve"> February 2021,</w:t>
      </w:r>
      <w:r w:rsidR="00F67168">
        <w:t xml:space="preserve"> </w:t>
      </w:r>
      <w:r w:rsidRPr="00AE0FB8">
        <w:t>the Supreme Court ordered the respondent to disclose the following documents or information in the respondent's knowledge or possession in respect of Kirkwell and Shanklin</w:t>
      </w:r>
      <w:r w:rsidR="00583D89">
        <w:t>,</w:t>
      </w:r>
      <w:r w:rsidR="00583D89" w:rsidRPr="00583D89">
        <w:t xml:space="preserve"> </w:t>
      </w:r>
      <w:r w:rsidR="00583D89" w:rsidRPr="00AE0FB8">
        <w:t>not later than 25th February 2021</w:t>
      </w:r>
      <w:r w:rsidRPr="00AE0FB8">
        <w:t xml:space="preserve">, including: </w:t>
      </w:r>
    </w:p>
    <w:p w:rsidR="00AE0FB8" w:rsidRPr="00AE0FB8" w:rsidRDefault="00AE0FB8" w:rsidP="00AE0FB8">
      <w:pPr>
        <w:spacing w:after="240" w:line="240" w:lineRule="auto"/>
        <w:ind w:left="1440"/>
        <w:jc w:val="both"/>
        <w:rPr>
          <w:rFonts w:ascii="Times New Roman" w:eastAsia="Times New Roman" w:hAnsi="Times New Roman" w:cs="Times New Roman"/>
          <w:sz w:val="24"/>
          <w:szCs w:val="24"/>
          <w:lang w:val="en-GB"/>
        </w:rPr>
      </w:pPr>
      <w:r w:rsidRPr="00AE0FB8">
        <w:rPr>
          <w:rFonts w:ascii="Times New Roman" w:eastAsia="Times New Roman" w:hAnsi="Times New Roman" w:cs="Times New Roman"/>
          <w:sz w:val="24"/>
          <w:szCs w:val="24"/>
          <w:lang w:val="en-GB"/>
        </w:rPr>
        <w:t xml:space="preserve"> (i) Memorandum and Articles of Association; </w:t>
      </w:r>
    </w:p>
    <w:p w:rsidR="00AE0FB8" w:rsidRPr="00AE0FB8" w:rsidRDefault="00AE0FB8" w:rsidP="00AE0FB8">
      <w:pPr>
        <w:spacing w:after="240" w:line="240" w:lineRule="auto"/>
        <w:ind w:left="1440"/>
        <w:jc w:val="both"/>
        <w:rPr>
          <w:rFonts w:ascii="Times New Roman" w:eastAsia="Times New Roman" w:hAnsi="Times New Roman" w:cs="Times New Roman"/>
          <w:sz w:val="24"/>
          <w:szCs w:val="24"/>
          <w:lang w:val="en-GB"/>
        </w:rPr>
      </w:pPr>
      <w:r w:rsidRPr="00AE0FB8">
        <w:rPr>
          <w:rFonts w:ascii="Times New Roman" w:eastAsia="Times New Roman" w:hAnsi="Times New Roman" w:cs="Times New Roman"/>
          <w:sz w:val="24"/>
          <w:szCs w:val="24"/>
          <w:lang w:val="en-GB"/>
        </w:rPr>
        <w:t xml:space="preserve">(ii) Registers of directors; </w:t>
      </w:r>
    </w:p>
    <w:p w:rsidR="00AE0FB8" w:rsidRPr="00AE0FB8" w:rsidRDefault="00AE0FB8" w:rsidP="00AE0FB8">
      <w:pPr>
        <w:spacing w:after="240" w:line="240" w:lineRule="auto"/>
        <w:ind w:left="1440"/>
        <w:jc w:val="both"/>
        <w:rPr>
          <w:rFonts w:ascii="Times New Roman" w:eastAsia="Times New Roman" w:hAnsi="Times New Roman" w:cs="Times New Roman"/>
          <w:sz w:val="24"/>
          <w:szCs w:val="24"/>
          <w:lang w:val="en-GB"/>
        </w:rPr>
      </w:pPr>
      <w:r w:rsidRPr="00AE0FB8">
        <w:rPr>
          <w:rFonts w:ascii="Times New Roman" w:eastAsia="Times New Roman" w:hAnsi="Times New Roman" w:cs="Times New Roman"/>
          <w:sz w:val="24"/>
          <w:szCs w:val="24"/>
          <w:lang w:val="en-GB"/>
        </w:rPr>
        <w:t xml:space="preserve">(iii) Register of members; </w:t>
      </w:r>
    </w:p>
    <w:p w:rsidR="00AE0FB8" w:rsidRPr="00AE0FB8" w:rsidRDefault="00AE0FB8" w:rsidP="00AE0FB8">
      <w:pPr>
        <w:spacing w:after="240" w:line="240" w:lineRule="auto"/>
        <w:ind w:left="1440"/>
        <w:jc w:val="both"/>
        <w:rPr>
          <w:rFonts w:ascii="Times New Roman" w:eastAsia="Times New Roman" w:hAnsi="Times New Roman" w:cs="Times New Roman"/>
          <w:sz w:val="24"/>
          <w:szCs w:val="24"/>
          <w:lang w:val="en-GB"/>
        </w:rPr>
      </w:pPr>
      <w:r w:rsidRPr="00AE0FB8">
        <w:rPr>
          <w:rFonts w:ascii="Times New Roman" w:eastAsia="Times New Roman" w:hAnsi="Times New Roman" w:cs="Times New Roman"/>
          <w:sz w:val="24"/>
          <w:szCs w:val="24"/>
          <w:lang w:val="en-GB"/>
        </w:rPr>
        <w:lastRenderedPageBreak/>
        <w:t xml:space="preserve">(iv) Any nominee or other trust documents of any kind whatsoever; </w:t>
      </w:r>
    </w:p>
    <w:p w:rsidR="00AE0FB8" w:rsidRPr="00AE0FB8" w:rsidRDefault="00AE0FB8" w:rsidP="00AE0FB8">
      <w:pPr>
        <w:spacing w:after="240" w:line="240" w:lineRule="auto"/>
        <w:ind w:left="1440"/>
        <w:jc w:val="both"/>
        <w:rPr>
          <w:rFonts w:ascii="Times New Roman" w:eastAsia="Times New Roman" w:hAnsi="Times New Roman" w:cs="Times New Roman"/>
          <w:sz w:val="24"/>
          <w:szCs w:val="24"/>
          <w:lang w:val="en-GB"/>
        </w:rPr>
      </w:pPr>
      <w:r w:rsidRPr="00AE0FB8">
        <w:rPr>
          <w:rFonts w:ascii="Times New Roman" w:eastAsia="Times New Roman" w:hAnsi="Times New Roman" w:cs="Times New Roman"/>
          <w:sz w:val="24"/>
          <w:szCs w:val="24"/>
          <w:lang w:val="en-GB"/>
        </w:rPr>
        <w:t xml:space="preserve">(v) Register of shares and pledges; </w:t>
      </w:r>
    </w:p>
    <w:p w:rsidR="00AE0FB8" w:rsidRPr="00AE0FB8" w:rsidRDefault="00AE0FB8" w:rsidP="00AE0FB8">
      <w:pPr>
        <w:spacing w:after="240" w:line="240" w:lineRule="auto"/>
        <w:ind w:left="1440"/>
        <w:jc w:val="both"/>
        <w:rPr>
          <w:rFonts w:ascii="Times New Roman" w:eastAsia="Times New Roman" w:hAnsi="Times New Roman" w:cs="Times New Roman"/>
          <w:sz w:val="24"/>
          <w:szCs w:val="24"/>
          <w:lang w:val="en-GB"/>
        </w:rPr>
      </w:pPr>
      <w:r w:rsidRPr="00AE0FB8">
        <w:rPr>
          <w:rFonts w:ascii="Times New Roman" w:eastAsia="Times New Roman" w:hAnsi="Times New Roman" w:cs="Times New Roman"/>
          <w:sz w:val="24"/>
          <w:szCs w:val="24"/>
          <w:lang w:val="en-GB"/>
        </w:rPr>
        <w:t xml:space="preserve">(vi) Board Minutes and Resolutions of members and directors; </w:t>
      </w:r>
    </w:p>
    <w:p w:rsidR="00AE0FB8" w:rsidRPr="00AE0FB8" w:rsidRDefault="00AE0FB8" w:rsidP="00AE0FB8">
      <w:pPr>
        <w:spacing w:after="240" w:line="240" w:lineRule="auto"/>
        <w:ind w:left="1440"/>
        <w:jc w:val="both"/>
        <w:rPr>
          <w:rFonts w:ascii="Times New Roman" w:eastAsia="Times New Roman" w:hAnsi="Times New Roman" w:cs="Times New Roman"/>
          <w:sz w:val="24"/>
          <w:szCs w:val="24"/>
          <w:lang w:val="en-GB"/>
        </w:rPr>
      </w:pPr>
      <w:r w:rsidRPr="00AE0FB8">
        <w:rPr>
          <w:rFonts w:ascii="Times New Roman" w:eastAsia="Times New Roman" w:hAnsi="Times New Roman" w:cs="Times New Roman"/>
          <w:sz w:val="24"/>
          <w:szCs w:val="24"/>
          <w:lang w:val="en-GB"/>
        </w:rPr>
        <w:t xml:space="preserve">(vii) Copies of any Powers of Attorney; </w:t>
      </w:r>
    </w:p>
    <w:p w:rsidR="00AE0FB8" w:rsidRPr="00AE0FB8" w:rsidRDefault="00AE0FB8" w:rsidP="00AE0FB8">
      <w:pPr>
        <w:spacing w:after="240" w:line="240" w:lineRule="auto"/>
        <w:ind w:left="1440"/>
        <w:jc w:val="both"/>
        <w:rPr>
          <w:rFonts w:ascii="Times New Roman" w:eastAsia="Times New Roman" w:hAnsi="Times New Roman" w:cs="Times New Roman"/>
          <w:sz w:val="24"/>
          <w:szCs w:val="24"/>
          <w:lang w:val="en-GB"/>
        </w:rPr>
      </w:pPr>
      <w:r w:rsidRPr="00AE0FB8">
        <w:rPr>
          <w:rFonts w:ascii="Times New Roman" w:eastAsia="Times New Roman" w:hAnsi="Times New Roman" w:cs="Times New Roman"/>
          <w:sz w:val="24"/>
          <w:szCs w:val="24"/>
          <w:lang w:val="en-GB"/>
        </w:rPr>
        <w:t xml:space="preserve">(viii) Copies of instructions relating to any transfer or pledge of assets; </w:t>
      </w:r>
    </w:p>
    <w:p w:rsidR="00AE0FB8" w:rsidRPr="00AE0FB8" w:rsidRDefault="00AE0FB8" w:rsidP="00AE0FB8">
      <w:pPr>
        <w:spacing w:after="240" w:line="240" w:lineRule="auto"/>
        <w:ind w:left="1440"/>
        <w:jc w:val="both"/>
        <w:rPr>
          <w:rFonts w:ascii="Times New Roman" w:eastAsia="Times New Roman" w:hAnsi="Times New Roman" w:cs="Times New Roman"/>
          <w:sz w:val="24"/>
          <w:szCs w:val="24"/>
          <w:lang w:val="en-GB"/>
        </w:rPr>
      </w:pPr>
      <w:r w:rsidRPr="00AE0FB8">
        <w:rPr>
          <w:rFonts w:ascii="Times New Roman" w:eastAsia="Times New Roman" w:hAnsi="Times New Roman" w:cs="Times New Roman"/>
          <w:sz w:val="24"/>
          <w:szCs w:val="24"/>
          <w:lang w:val="en-GB"/>
        </w:rPr>
        <w:t xml:space="preserve">(ix) Proof of any transfer or pledge of assets with full particulars; </w:t>
      </w:r>
    </w:p>
    <w:p w:rsidR="00AE6427" w:rsidRDefault="00AE0FB8" w:rsidP="00AE6427">
      <w:pPr>
        <w:spacing w:after="240" w:line="240" w:lineRule="auto"/>
        <w:ind w:left="1440"/>
        <w:jc w:val="both"/>
        <w:rPr>
          <w:rFonts w:ascii="Times New Roman" w:eastAsia="Times New Roman" w:hAnsi="Times New Roman" w:cs="Times New Roman"/>
          <w:sz w:val="24"/>
          <w:szCs w:val="24"/>
          <w:lang w:val="en-GB"/>
        </w:rPr>
      </w:pPr>
      <w:r w:rsidRPr="00AE0FB8">
        <w:rPr>
          <w:rFonts w:ascii="Times New Roman" w:eastAsia="Times New Roman" w:hAnsi="Times New Roman" w:cs="Times New Roman"/>
          <w:sz w:val="24"/>
          <w:szCs w:val="24"/>
          <w:lang w:val="en-GB"/>
        </w:rPr>
        <w:t xml:space="preserve">(x) A list of any assets held formally or informally by Kirkwell lnc. and Shanklin; </w:t>
      </w:r>
    </w:p>
    <w:p w:rsidR="00AE6427" w:rsidRDefault="00AE0FB8" w:rsidP="00AE6427">
      <w:pPr>
        <w:spacing w:after="240" w:line="240" w:lineRule="auto"/>
        <w:ind w:left="1440"/>
        <w:jc w:val="both"/>
        <w:rPr>
          <w:rFonts w:ascii="Times New Roman" w:eastAsia="Times New Roman" w:hAnsi="Times New Roman" w:cs="Times New Roman"/>
          <w:sz w:val="24"/>
          <w:szCs w:val="24"/>
          <w:lang w:val="en-GB"/>
        </w:rPr>
      </w:pPr>
      <w:r w:rsidRPr="00AE0FB8">
        <w:rPr>
          <w:rFonts w:ascii="Times New Roman" w:eastAsia="Times New Roman" w:hAnsi="Times New Roman" w:cs="Times New Roman"/>
          <w:sz w:val="24"/>
          <w:szCs w:val="24"/>
          <w:lang w:val="en-GB"/>
        </w:rPr>
        <w:t>(xi) The identity of the beneficial owner(s) of Kirkwell Inc. and Shankl</w:t>
      </w:r>
      <w:r w:rsidR="00AE6427">
        <w:rPr>
          <w:rFonts w:ascii="Times New Roman" w:eastAsia="Times New Roman" w:hAnsi="Times New Roman" w:cs="Times New Roman"/>
          <w:sz w:val="24"/>
          <w:szCs w:val="24"/>
          <w:lang w:val="en-GB"/>
        </w:rPr>
        <w:t xml:space="preserve">in Holdings </w:t>
      </w:r>
      <w:r w:rsidRPr="00AE0FB8">
        <w:rPr>
          <w:rFonts w:ascii="Times New Roman" w:eastAsia="Times New Roman" w:hAnsi="Times New Roman" w:cs="Times New Roman"/>
          <w:sz w:val="24"/>
          <w:szCs w:val="24"/>
          <w:lang w:val="en-GB"/>
        </w:rPr>
        <w:t xml:space="preserve">Ltd; </w:t>
      </w:r>
    </w:p>
    <w:p w:rsidR="00AE6427" w:rsidRDefault="00AE0FB8" w:rsidP="00AE6427">
      <w:pPr>
        <w:spacing w:after="240" w:line="240" w:lineRule="auto"/>
        <w:ind w:left="1440"/>
        <w:jc w:val="both"/>
        <w:rPr>
          <w:rFonts w:ascii="Times New Roman" w:eastAsia="Times New Roman" w:hAnsi="Times New Roman" w:cs="Times New Roman"/>
          <w:sz w:val="24"/>
          <w:szCs w:val="24"/>
          <w:lang w:val="en-GB"/>
        </w:rPr>
      </w:pPr>
      <w:r w:rsidRPr="00AE0FB8">
        <w:rPr>
          <w:rFonts w:ascii="Times New Roman" w:eastAsia="Times New Roman" w:hAnsi="Times New Roman" w:cs="Times New Roman"/>
          <w:sz w:val="24"/>
          <w:szCs w:val="24"/>
          <w:lang w:val="en-GB"/>
        </w:rPr>
        <w:t>(xii) The identity of any third party intermediary w</w:t>
      </w:r>
      <w:r w:rsidR="00AE6427">
        <w:rPr>
          <w:rFonts w:ascii="Times New Roman" w:eastAsia="Times New Roman" w:hAnsi="Times New Roman" w:cs="Times New Roman"/>
          <w:sz w:val="24"/>
          <w:szCs w:val="24"/>
          <w:lang w:val="en-GB"/>
        </w:rPr>
        <w:t xml:space="preserve">ho facilitated the formation of </w:t>
      </w:r>
      <w:r w:rsidRPr="00AE0FB8">
        <w:rPr>
          <w:rFonts w:ascii="Times New Roman" w:eastAsia="Times New Roman" w:hAnsi="Times New Roman" w:cs="Times New Roman"/>
          <w:sz w:val="24"/>
          <w:szCs w:val="24"/>
          <w:lang w:val="en-GB"/>
        </w:rPr>
        <w:t>the business relationship between the respondent</w:t>
      </w:r>
      <w:r w:rsidR="00AE6427">
        <w:rPr>
          <w:rFonts w:ascii="Times New Roman" w:eastAsia="Times New Roman" w:hAnsi="Times New Roman" w:cs="Times New Roman"/>
          <w:sz w:val="24"/>
          <w:szCs w:val="24"/>
          <w:lang w:val="en-GB"/>
        </w:rPr>
        <w:t xml:space="preserve"> and Kirkwell Inc. and Shanklin </w:t>
      </w:r>
      <w:r w:rsidRPr="00AE0FB8">
        <w:rPr>
          <w:rFonts w:ascii="Times New Roman" w:eastAsia="Times New Roman" w:hAnsi="Times New Roman" w:cs="Times New Roman"/>
          <w:sz w:val="24"/>
          <w:szCs w:val="24"/>
          <w:lang w:val="en-GB"/>
        </w:rPr>
        <w:t xml:space="preserve">Holdings Ltd; and </w:t>
      </w:r>
    </w:p>
    <w:p w:rsidR="00AE0FB8" w:rsidRDefault="00AE0FB8" w:rsidP="00AE6427">
      <w:pPr>
        <w:spacing w:after="240" w:line="240" w:lineRule="auto"/>
        <w:ind w:left="1440"/>
        <w:jc w:val="both"/>
        <w:rPr>
          <w:rFonts w:ascii="Times New Roman" w:eastAsia="Times New Roman" w:hAnsi="Times New Roman" w:cs="Times New Roman"/>
          <w:sz w:val="24"/>
          <w:szCs w:val="24"/>
          <w:lang w:val="en-GB"/>
        </w:rPr>
      </w:pPr>
      <w:r w:rsidRPr="00AE0FB8">
        <w:rPr>
          <w:rFonts w:ascii="Times New Roman" w:eastAsia="Times New Roman" w:hAnsi="Times New Roman" w:cs="Times New Roman"/>
          <w:sz w:val="24"/>
          <w:szCs w:val="24"/>
          <w:lang w:val="en-GB"/>
        </w:rPr>
        <w:t>(xiii) Any other relevant documentation and/or inf</w:t>
      </w:r>
      <w:r w:rsidR="00AE6427">
        <w:rPr>
          <w:rFonts w:ascii="Times New Roman" w:eastAsia="Times New Roman" w:hAnsi="Times New Roman" w:cs="Times New Roman"/>
          <w:sz w:val="24"/>
          <w:szCs w:val="24"/>
          <w:lang w:val="en-GB"/>
        </w:rPr>
        <w:t xml:space="preserve">ormation held by the respondent </w:t>
      </w:r>
      <w:r w:rsidRPr="00AE0FB8">
        <w:rPr>
          <w:rFonts w:ascii="Times New Roman" w:eastAsia="Times New Roman" w:hAnsi="Times New Roman" w:cs="Times New Roman"/>
          <w:sz w:val="24"/>
          <w:szCs w:val="24"/>
          <w:lang w:val="en-GB"/>
        </w:rPr>
        <w:t>relating to Kirkwell Inc. and Shanklin Holdings Ltd.</w:t>
      </w:r>
    </w:p>
    <w:p w:rsidR="00AE6427" w:rsidRDefault="00AE0FB8" w:rsidP="00AE6427">
      <w:pPr>
        <w:pStyle w:val="JudgmentText"/>
      </w:pPr>
      <w:r w:rsidRPr="00AE0FB8">
        <w:t>Counsel</w:t>
      </w:r>
      <w:r w:rsidR="00714732">
        <w:t xml:space="preserve"> for the applicant</w:t>
      </w:r>
      <w:r w:rsidRPr="00AE0FB8">
        <w:t xml:space="preserve"> claims</w:t>
      </w:r>
      <w:r w:rsidR="00714732">
        <w:t xml:space="preserve"> that</w:t>
      </w:r>
      <w:r w:rsidRPr="00AE0FB8">
        <w:t xml:space="preserve"> not all of the requested documents or information have been provided by the respondent and has now made an application for a further order for disclosure of the same. He submits that only </w:t>
      </w:r>
      <w:r w:rsidR="0078660A">
        <w:t xml:space="preserve">a </w:t>
      </w:r>
      <w:r w:rsidRPr="003F65DE">
        <w:rPr>
          <w:i/>
        </w:rPr>
        <w:t>“limited set of documents”</w:t>
      </w:r>
      <w:r w:rsidRPr="00AE0FB8">
        <w:t xml:space="preserve"> was provided and the following documents (as set out at paragraph 12(a) of the Order) were not:</w:t>
      </w:r>
    </w:p>
    <w:p w:rsidR="00AE0FB8" w:rsidRPr="00AE6427" w:rsidRDefault="00AE0FB8" w:rsidP="003674E9">
      <w:pPr>
        <w:pStyle w:val="Unnumberedquote"/>
      </w:pPr>
      <w:r w:rsidRPr="00AE6427">
        <w:t>(iv) Any nominee or other trust documents of any kind whatsoever;</w:t>
      </w:r>
    </w:p>
    <w:p w:rsidR="00AE0FB8" w:rsidRPr="00AE0FB8" w:rsidRDefault="00AE0FB8" w:rsidP="003674E9">
      <w:pPr>
        <w:pStyle w:val="Unnumberedquote"/>
      </w:pPr>
      <w:r w:rsidRPr="00AE0FB8">
        <w:t xml:space="preserve">[…] </w:t>
      </w:r>
    </w:p>
    <w:p w:rsidR="00AE0FB8" w:rsidRPr="00AE0FB8" w:rsidRDefault="00AE0FB8" w:rsidP="003674E9">
      <w:pPr>
        <w:pStyle w:val="Unnumberedquote"/>
      </w:pPr>
      <w:r w:rsidRPr="00AE0FB8">
        <w:t xml:space="preserve">(vii) Copies of any Powers of Attorney; </w:t>
      </w:r>
    </w:p>
    <w:p w:rsidR="00AE0FB8" w:rsidRPr="00AE0FB8" w:rsidRDefault="00AE0FB8" w:rsidP="003674E9">
      <w:pPr>
        <w:pStyle w:val="Unnumberedquote"/>
      </w:pPr>
      <w:r w:rsidRPr="00AE0FB8">
        <w:t xml:space="preserve">(viii) Copies of instructions relating to any transfer or pledge of assets; </w:t>
      </w:r>
    </w:p>
    <w:p w:rsidR="00AE0FB8" w:rsidRPr="00AE0FB8" w:rsidRDefault="00AE0FB8" w:rsidP="003674E9">
      <w:pPr>
        <w:pStyle w:val="Unnumberedquote"/>
      </w:pPr>
      <w:r w:rsidRPr="00AE0FB8">
        <w:t xml:space="preserve">(ix) Proof of any transfer or pledge of assets with full particulars; </w:t>
      </w:r>
    </w:p>
    <w:p w:rsidR="00AE0FB8" w:rsidRPr="00AE0FB8" w:rsidRDefault="00AE0FB8" w:rsidP="003674E9">
      <w:pPr>
        <w:pStyle w:val="Unnumberedquote"/>
      </w:pPr>
      <w:r w:rsidRPr="00AE0FB8">
        <w:t xml:space="preserve">(x) A list of any assets held formally or informally by Kirkwell Inc. and Shanklin Holdings Ltd; </w:t>
      </w:r>
    </w:p>
    <w:p w:rsidR="00AE0FB8" w:rsidRPr="00AE0FB8" w:rsidRDefault="00AE0FB8" w:rsidP="003674E9">
      <w:pPr>
        <w:pStyle w:val="Unnumberedquote"/>
      </w:pPr>
      <w:r w:rsidRPr="00AE0FB8">
        <w:t>[…]</w:t>
      </w:r>
    </w:p>
    <w:p w:rsidR="00AE0FB8" w:rsidRDefault="00AE0FB8" w:rsidP="003674E9">
      <w:pPr>
        <w:pStyle w:val="Unnumberedquote"/>
      </w:pPr>
      <w:r w:rsidRPr="00AE0FB8">
        <w:t>(xiii) Any other relevant documentation and/or information held by the respondent relating to Kirkwell Inc. and Shanklin Holdings Ltd.</w:t>
      </w:r>
    </w:p>
    <w:p w:rsidR="003674E9" w:rsidRDefault="003674E9" w:rsidP="003674E9">
      <w:pPr>
        <w:pStyle w:val="Unnumberedquote"/>
      </w:pPr>
    </w:p>
    <w:p w:rsidR="00AE0FB8" w:rsidRDefault="003F65DE" w:rsidP="00AE0FB8">
      <w:pPr>
        <w:pStyle w:val="JudgmentText"/>
      </w:pPr>
      <w:r>
        <w:t>Mr. Karl Pragassen, t</w:t>
      </w:r>
      <w:r w:rsidR="00AE0FB8" w:rsidRPr="00AE0FB8">
        <w:t xml:space="preserve">he Managing Director of ACT in his affidavit in response has stated that the documents or class of documents that the applicant is seeking are not in the </w:t>
      </w:r>
      <w:r w:rsidR="00AE0FB8" w:rsidRPr="00AE0FB8">
        <w:lastRenderedPageBreak/>
        <w:t>respondent’s control and have never been; that it is not within the power of the respondent to procure these documents; and that there is no obligation to produce the</w:t>
      </w:r>
      <w:r w:rsidR="00714732">
        <w:t>m</w:t>
      </w:r>
      <w:r w:rsidR="00AE0FB8" w:rsidRPr="00AE0FB8">
        <w:t xml:space="preserve"> to the court.</w:t>
      </w:r>
      <w:r w:rsidR="00583D89">
        <w:t xml:space="preserve"> </w:t>
      </w:r>
    </w:p>
    <w:p w:rsidR="0078660A" w:rsidRDefault="0078660A" w:rsidP="0078660A">
      <w:pPr>
        <w:pStyle w:val="Jjmntheading1"/>
      </w:pPr>
      <w:r>
        <w:t>Submissions of the Applicant</w:t>
      </w:r>
    </w:p>
    <w:p w:rsidR="00AE0FB8" w:rsidRDefault="00AE0FB8" w:rsidP="00AE0FB8">
      <w:pPr>
        <w:pStyle w:val="JudgmentText"/>
      </w:pPr>
      <w:r w:rsidRPr="00AE0FB8">
        <w:t xml:space="preserve">Written submissions were filed by counsel for the applicant but the respondent opted to rely solely on </w:t>
      </w:r>
      <w:r w:rsidR="003F65DE">
        <w:t xml:space="preserve">Mr. Pragassen’s </w:t>
      </w:r>
      <w:r w:rsidRPr="00AE0FB8">
        <w:t>affidavit.</w:t>
      </w:r>
    </w:p>
    <w:p w:rsidR="0078660A" w:rsidRPr="0073740C" w:rsidRDefault="00AE0FB8" w:rsidP="00F92401">
      <w:pPr>
        <w:pStyle w:val="JudgmentText"/>
      </w:pPr>
      <w:r w:rsidRPr="0073740C">
        <w:t xml:space="preserve">Counsel for the applicant </w:t>
      </w:r>
      <w:r w:rsidR="003674E9" w:rsidRPr="0073740C">
        <w:t>submitted</w:t>
      </w:r>
      <w:r w:rsidRPr="0073740C">
        <w:t xml:space="preserve"> </w:t>
      </w:r>
      <w:r w:rsidR="003674E9" w:rsidRPr="0073740C">
        <w:t xml:space="preserve">at paragraph 7 </w:t>
      </w:r>
      <w:r w:rsidRPr="0073740C">
        <w:t xml:space="preserve">that the registered agent’s response that </w:t>
      </w:r>
      <w:r w:rsidR="00F92401" w:rsidRPr="0073740C">
        <w:t xml:space="preserve">the </w:t>
      </w:r>
      <w:r w:rsidRPr="0073740C">
        <w:t xml:space="preserve">documents </w:t>
      </w:r>
      <w:r w:rsidRPr="0073740C">
        <w:rPr>
          <w:i/>
        </w:rPr>
        <w:t>“are not in our possession and I am unable to produce them”</w:t>
      </w:r>
      <w:r w:rsidRPr="0073740C">
        <w:t xml:space="preserve"> is not sufficient. </w:t>
      </w:r>
      <w:r w:rsidR="00F92401" w:rsidRPr="0073740C">
        <w:t xml:space="preserve">He states that there are two predominant reasons as to why this is so and why the respondent should be required to take further steps to provide some or all of the documents and information. Firstly he submits that the respondent has </w:t>
      </w:r>
      <w:r w:rsidRPr="0073740C">
        <w:t>adopted</w:t>
      </w:r>
      <w:r w:rsidR="00F92401" w:rsidRPr="0073740C">
        <w:t xml:space="preserve"> a</w:t>
      </w:r>
      <w:r w:rsidRPr="0073740C">
        <w:t xml:space="preserve"> restrictive approach in interpreting the </w:t>
      </w:r>
      <w:r w:rsidR="003F65DE">
        <w:t>O</w:t>
      </w:r>
      <w:r w:rsidRPr="0073740C">
        <w:t>rder to relate to only those documents which are in its physical possession or custody</w:t>
      </w:r>
      <w:r w:rsidR="003F65DE">
        <w:t>,</w:t>
      </w:r>
      <w:r w:rsidRPr="0073740C">
        <w:t xml:space="preserve"> and failing to </w:t>
      </w:r>
      <w:r w:rsidR="00F92401" w:rsidRPr="0073740C">
        <w:t>provide</w:t>
      </w:r>
      <w:r w:rsidRPr="0073740C">
        <w:t xml:space="preserve"> the documents and/or information that it can obtain from third parties or which it does not physically hold but has power to inspect.</w:t>
      </w:r>
      <w:r w:rsidR="00F92401" w:rsidRPr="0073740C">
        <w:t xml:space="preserve"> </w:t>
      </w:r>
      <w:r w:rsidRPr="0073740C">
        <w:t xml:space="preserve">Furthermore, Counsel submits that even when </w:t>
      </w:r>
      <w:r w:rsidR="003F65DE">
        <w:t>a</w:t>
      </w:r>
      <w:r w:rsidRPr="0073740C">
        <w:t xml:space="preserve"> party does not have a document in its physical possession but has the ability to provide it (by requesting it from third parties for instance), the focus should be on the ability to provide information and the question should be only what is possible (paragraph 15). </w:t>
      </w:r>
    </w:p>
    <w:p w:rsidR="009A4A0A" w:rsidRDefault="0073740C" w:rsidP="009A4A0A">
      <w:pPr>
        <w:pStyle w:val="JudgmentText"/>
      </w:pPr>
      <w:r>
        <w:t>Secondly, it is submitted that t</w:t>
      </w:r>
      <w:r w:rsidR="00AE0FB8" w:rsidRPr="0078660A">
        <w:t xml:space="preserve">he initial Order was for disclosure </w:t>
      </w:r>
      <w:r w:rsidR="00F53EF3">
        <w:t xml:space="preserve">not only of </w:t>
      </w:r>
      <w:r w:rsidR="00F53EF3" w:rsidRPr="009A4A0A">
        <w:rPr>
          <w:u w:val="single"/>
        </w:rPr>
        <w:t>do</w:t>
      </w:r>
      <w:r w:rsidR="00F53EF3" w:rsidRPr="0078660A">
        <w:rPr>
          <w:u w:val="single"/>
        </w:rPr>
        <w:t>cuments</w:t>
      </w:r>
      <w:r w:rsidR="00F53EF3" w:rsidRPr="0078660A">
        <w:t xml:space="preserve"> </w:t>
      </w:r>
      <w:r w:rsidR="00F53EF3">
        <w:t xml:space="preserve">but also </w:t>
      </w:r>
      <w:r w:rsidR="00AE0FB8" w:rsidRPr="0078660A">
        <w:t xml:space="preserve">of </w:t>
      </w:r>
      <w:r w:rsidR="009A4A0A" w:rsidRPr="0078660A">
        <w:rPr>
          <w:u w:val="single"/>
        </w:rPr>
        <w:t>information</w:t>
      </w:r>
      <w:r w:rsidR="009A4A0A" w:rsidRPr="009A4A0A">
        <w:t xml:space="preserve">, </w:t>
      </w:r>
      <w:r w:rsidR="00AE0FB8" w:rsidRPr="0078660A">
        <w:t xml:space="preserve">in the respondent's knowledge or possession in respect of </w:t>
      </w:r>
      <w:r w:rsidR="00067A78">
        <w:t xml:space="preserve">the </w:t>
      </w:r>
      <w:r w:rsidR="00AE0FB8" w:rsidRPr="0078660A">
        <w:t xml:space="preserve">two IBCs. </w:t>
      </w:r>
      <w:r w:rsidR="003F65DE">
        <w:t>T</w:t>
      </w:r>
      <w:r w:rsidR="00AE0FB8" w:rsidRPr="0078660A">
        <w:t xml:space="preserve">he present application </w:t>
      </w:r>
      <w:r w:rsidR="003F65DE">
        <w:t xml:space="preserve">seeks the further disclosure </w:t>
      </w:r>
      <w:r w:rsidR="003F65DE" w:rsidRPr="003F65DE">
        <w:t>of</w:t>
      </w:r>
      <w:r w:rsidR="00AE0FB8" w:rsidRPr="003F65DE">
        <w:t xml:space="preserve"> </w:t>
      </w:r>
      <w:r w:rsidR="00AE0FB8" w:rsidRPr="003F65DE">
        <w:rPr>
          <w:u w:val="single"/>
        </w:rPr>
        <w:t>documents</w:t>
      </w:r>
      <w:r w:rsidR="00AE0FB8" w:rsidRPr="0078660A">
        <w:t xml:space="preserve"> listed at </w:t>
      </w:r>
      <w:r>
        <w:t>p</w:t>
      </w:r>
      <w:r w:rsidR="00AE0FB8" w:rsidRPr="0078660A">
        <w:t>aragraph 22(a)</w:t>
      </w:r>
      <w:r w:rsidR="009A4A0A">
        <w:t xml:space="preserve"> and (b)</w:t>
      </w:r>
      <w:r w:rsidR="00AE0FB8" w:rsidRPr="0078660A">
        <w:t xml:space="preserve"> and </w:t>
      </w:r>
      <w:r w:rsidR="00AE0FB8" w:rsidRPr="007A2A35">
        <w:rPr>
          <w:u w:val="single"/>
        </w:rPr>
        <w:t>information</w:t>
      </w:r>
      <w:r w:rsidR="00AE0FB8" w:rsidRPr="0078660A">
        <w:t xml:space="preserve"> listed at </w:t>
      </w:r>
      <w:r>
        <w:t>paragraph 22(c)</w:t>
      </w:r>
      <w:r w:rsidRPr="0073740C">
        <w:t xml:space="preserve"> </w:t>
      </w:r>
      <w:r w:rsidRPr="0078660A">
        <w:t xml:space="preserve">of the </w:t>
      </w:r>
      <w:r>
        <w:t>s</w:t>
      </w:r>
      <w:r w:rsidRPr="0078660A">
        <w:t>ubmissions</w:t>
      </w:r>
      <w:r>
        <w:t>. In summary the a</w:t>
      </w:r>
      <w:r w:rsidR="00AE0FB8" w:rsidRPr="0078660A">
        <w:t xml:space="preserve">pplicant </w:t>
      </w:r>
      <w:r w:rsidR="009A4A0A">
        <w:t>is asking</w:t>
      </w:r>
      <w:r w:rsidR="00AE0FB8" w:rsidRPr="0078660A">
        <w:t xml:space="preserve"> the Court to </w:t>
      </w:r>
      <w:r>
        <w:t>o</w:t>
      </w:r>
      <w:r w:rsidR="00AE0FB8" w:rsidRPr="0078660A">
        <w:t xml:space="preserve">rder </w:t>
      </w:r>
      <w:r>
        <w:t>the r</w:t>
      </w:r>
      <w:r w:rsidR="00AE0FB8" w:rsidRPr="0078660A">
        <w:t>egistered Agent, ACT, to:</w:t>
      </w:r>
    </w:p>
    <w:p w:rsidR="009A4A0A" w:rsidRDefault="00AE0FB8" w:rsidP="00BB3071">
      <w:pPr>
        <w:pStyle w:val="JudgmentText"/>
        <w:numPr>
          <w:ilvl w:val="0"/>
          <w:numId w:val="6"/>
        </w:numPr>
      </w:pPr>
      <w:r w:rsidRPr="009A4A0A">
        <w:t xml:space="preserve">disclose the </w:t>
      </w:r>
      <w:r w:rsidRPr="009A4A0A">
        <w:rPr>
          <w:b/>
        </w:rPr>
        <w:t>documents</w:t>
      </w:r>
      <w:r w:rsidR="0073740C" w:rsidRPr="009A4A0A">
        <w:rPr>
          <w:b/>
        </w:rPr>
        <w:t xml:space="preserve"> </w:t>
      </w:r>
      <w:r w:rsidR="0073740C" w:rsidRPr="009A4A0A">
        <w:t>referred to at paragraph [5] above</w:t>
      </w:r>
      <w:r w:rsidRPr="009A4A0A">
        <w:t xml:space="preserve"> in its control (</w:t>
      </w:r>
      <w:r w:rsidR="00F53EF3">
        <w:t xml:space="preserve">i.e. documents </w:t>
      </w:r>
      <w:r w:rsidRPr="009A4A0A">
        <w:t>in its physical possession</w:t>
      </w:r>
      <w:r w:rsidR="00F53EF3">
        <w:t>,</w:t>
      </w:r>
      <w:r w:rsidRPr="009A4A0A">
        <w:t xml:space="preserve"> where it has a right to possession</w:t>
      </w:r>
      <w:r w:rsidR="00F53EF3">
        <w:t xml:space="preserve"> of such documents, </w:t>
      </w:r>
      <w:r w:rsidRPr="009A4A0A">
        <w:t xml:space="preserve">where it has an established practice of accessing </w:t>
      </w:r>
      <w:r w:rsidR="00F53EF3">
        <w:t>such</w:t>
      </w:r>
      <w:r w:rsidRPr="009A4A0A">
        <w:t xml:space="preserve"> documents or where it has a right to inspect or take copies of </w:t>
      </w:r>
      <w:r w:rsidR="00F53EF3">
        <w:t>such</w:t>
      </w:r>
      <w:r w:rsidRPr="009A4A0A">
        <w:t xml:space="preserve"> documents);</w:t>
      </w:r>
    </w:p>
    <w:p w:rsidR="009A4A0A" w:rsidRDefault="00AE0FB8" w:rsidP="00BB3071">
      <w:pPr>
        <w:pStyle w:val="JudgmentText"/>
        <w:numPr>
          <w:ilvl w:val="0"/>
          <w:numId w:val="6"/>
        </w:numPr>
      </w:pPr>
      <w:r w:rsidRPr="009A4A0A">
        <w:t xml:space="preserve">verify </w:t>
      </w:r>
      <w:r w:rsidR="009A4A0A" w:rsidRPr="009A4A0A">
        <w:t xml:space="preserve">the </w:t>
      </w:r>
      <w:r w:rsidRPr="009A4A0A">
        <w:t xml:space="preserve">disclosure by </w:t>
      </w:r>
      <w:r w:rsidR="009A4A0A">
        <w:t xml:space="preserve">an </w:t>
      </w:r>
      <w:r w:rsidRPr="009A4A0A">
        <w:t xml:space="preserve">affidavit </w:t>
      </w:r>
      <w:r w:rsidR="009A4A0A" w:rsidRPr="009A4A0A">
        <w:t xml:space="preserve">sworn </w:t>
      </w:r>
      <w:r w:rsidRPr="009A4A0A">
        <w:t>by its authorised officer</w:t>
      </w:r>
      <w:r w:rsidR="009A4A0A">
        <w:t xml:space="preserve"> exhibiting the documents</w:t>
      </w:r>
      <w:r w:rsidRPr="009A4A0A">
        <w:t>;</w:t>
      </w:r>
    </w:p>
    <w:p w:rsidR="009A4A0A" w:rsidRDefault="00AE0FB8" w:rsidP="00BB3071">
      <w:pPr>
        <w:pStyle w:val="JudgmentText"/>
        <w:numPr>
          <w:ilvl w:val="0"/>
          <w:numId w:val="6"/>
        </w:numPr>
      </w:pPr>
      <w:r w:rsidRPr="009A4A0A">
        <w:lastRenderedPageBreak/>
        <w:t xml:space="preserve">provide </w:t>
      </w:r>
      <w:r w:rsidRPr="009A4A0A">
        <w:rPr>
          <w:b/>
        </w:rPr>
        <w:t>information</w:t>
      </w:r>
      <w:r w:rsidRPr="009A4A0A">
        <w:t xml:space="preserve"> to the best of its knowledge and belief set out in the </w:t>
      </w:r>
      <w:r w:rsidR="009A4A0A">
        <w:t>a</w:t>
      </w:r>
      <w:r w:rsidRPr="009A4A0A">
        <w:t>ffidavit regarding:</w:t>
      </w:r>
    </w:p>
    <w:p w:rsidR="009A4A0A" w:rsidRDefault="00AE0FB8" w:rsidP="00BB3071">
      <w:pPr>
        <w:pStyle w:val="JudgmentText"/>
        <w:numPr>
          <w:ilvl w:val="0"/>
          <w:numId w:val="7"/>
        </w:numPr>
      </w:pPr>
      <w:r w:rsidRPr="009A4A0A">
        <w:t>full information as to any transfer or pledge of assets;</w:t>
      </w:r>
    </w:p>
    <w:p w:rsidR="009A4A0A" w:rsidRDefault="00AE0FB8" w:rsidP="00BB3071">
      <w:pPr>
        <w:pStyle w:val="JudgmentText"/>
        <w:numPr>
          <w:ilvl w:val="0"/>
          <w:numId w:val="7"/>
        </w:numPr>
      </w:pPr>
      <w:r w:rsidRPr="009A4A0A">
        <w:t>any assets held formally or informally by Kirkwell and Shanklin;</w:t>
      </w:r>
    </w:p>
    <w:p w:rsidR="0078660A" w:rsidRPr="009A4A0A" w:rsidRDefault="00AE0FB8" w:rsidP="00BB3071">
      <w:pPr>
        <w:pStyle w:val="JudgmentText"/>
        <w:numPr>
          <w:ilvl w:val="0"/>
          <w:numId w:val="7"/>
        </w:numPr>
      </w:pPr>
      <w:r w:rsidRPr="009A4A0A">
        <w:t xml:space="preserve">any other relevant information that it has in relation to the </w:t>
      </w:r>
      <w:r w:rsidR="007A2A35">
        <w:t>c</w:t>
      </w:r>
      <w:r w:rsidRPr="009A4A0A">
        <w:t xml:space="preserve">ompanies, including but not limited to, their direct and indirect ownership, their assets, any attempts to deal with the </w:t>
      </w:r>
      <w:r w:rsidR="007A2A35">
        <w:t>c</w:t>
      </w:r>
      <w:r w:rsidRPr="009A4A0A">
        <w:t>ompanies and their assets, and the identities of those involved in such activity.</w:t>
      </w:r>
    </w:p>
    <w:p w:rsidR="007A2A35" w:rsidRDefault="003F65DE" w:rsidP="0078660A">
      <w:pPr>
        <w:pStyle w:val="JudgmentText"/>
      </w:pPr>
      <w:r>
        <w:t>Counsel for the applicant submits</w:t>
      </w:r>
      <w:r w:rsidR="007A2A35">
        <w:t xml:space="preserve"> that </w:t>
      </w:r>
      <w:r w:rsidR="007A2A35" w:rsidRPr="007A2A35">
        <w:rPr>
          <w:i/>
        </w:rPr>
        <w:t>“[t]he information requirement is broad, and requires ACT to tell the applicant what it knows. Necessarily this must include the knowledge of ACT’s directors and employees. There is no need for this knowledge to be written down anywhere for it to be caught by the obligation”.</w:t>
      </w:r>
    </w:p>
    <w:p w:rsidR="00AE0FB8" w:rsidRDefault="007A2A35" w:rsidP="0078660A">
      <w:pPr>
        <w:pStyle w:val="JudgmentText"/>
      </w:pPr>
      <w:r>
        <w:t>I</w:t>
      </w:r>
      <w:r w:rsidRPr="0078660A">
        <w:t>n support of his submissions</w:t>
      </w:r>
      <w:r>
        <w:t xml:space="preserve"> in</w:t>
      </w:r>
      <w:r w:rsidR="009A4A0A">
        <w:t xml:space="preserve"> regards to </w:t>
      </w:r>
      <w:r w:rsidR="009A4A0A" w:rsidRPr="0078660A">
        <w:t>disclosure of information</w:t>
      </w:r>
      <w:r w:rsidR="009A4A0A">
        <w:t>,</w:t>
      </w:r>
      <w:r w:rsidR="009A4A0A" w:rsidRPr="0078660A">
        <w:t xml:space="preserve"> </w:t>
      </w:r>
      <w:r w:rsidR="00AE0FB8" w:rsidRPr="0078660A">
        <w:t xml:space="preserve">Counsel has attached an extract from </w:t>
      </w:r>
      <w:r w:rsidR="00AE0FB8" w:rsidRPr="0078660A">
        <w:rPr>
          <w:i/>
        </w:rPr>
        <w:t>“</w:t>
      </w:r>
      <w:r w:rsidR="00B40F92" w:rsidRPr="00B40F92">
        <w:rPr>
          <w:i/>
          <w:sz w:val="22"/>
        </w:rPr>
        <w:t>DISCLOSURE</w:t>
      </w:r>
      <w:r w:rsidR="00AE0FB8" w:rsidRPr="0078660A">
        <w:rPr>
          <w:i/>
        </w:rPr>
        <w:t xml:space="preserve"> (being the fifth edition of </w:t>
      </w:r>
      <w:r w:rsidR="00B40F92" w:rsidRPr="00B40F92">
        <w:rPr>
          <w:i/>
          <w:sz w:val="22"/>
        </w:rPr>
        <w:t>DISCOVERY</w:t>
      </w:r>
      <w:r w:rsidR="00AE0FB8" w:rsidRPr="0078660A">
        <w:rPr>
          <w:i/>
        </w:rPr>
        <w:t>)”</w:t>
      </w:r>
      <w:r w:rsidR="00AE0FB8" w:rsidRPr="0078660A">
        <w:t xml:space="preserve"> by Matthews and Malek Q.C. Paragraph 1.07 (page 6) discusses the meaning of disclosure of information and s</w:t>
      </w:r>
      <w:r w:rsidR="00B40F92">
        <w:t xml:space="preserve">tates </w:t>
      </w:r>
      <w:r w:rsidR="00AE0FB8" w:rsidRPr="0078660A">
        <w:t xml:space="preserve">that there are several ways in which </w:t>
      </w:r>
      <w:r w:rsidR="00B40F92">
        <w:t xml:space="preserve">such </w:t>
      </w:r>
      <w:r w:rsidR="00AE0FB8" w:rsidRPr="0078660A">
        <w:t xml:space="preserve">disclosure can be </w:t>
      </w:r>
      <w:r w:rsidR="00B40F92">
        <w:t>made,</w:t>
      </w:r>
      <w:r w:rsidR="00AE0FB8" w:rsidRPr="0078660A">
        <w:t xml:space="preserve"> namely</w:t>
      </w:r>
      <w:r w:rsidR="003F65DE">
        <w:t>:</w:t>
      </w:r>
      <w:r w:rsidR="00AE0FB8" w:rsidRPr="0078660A">
        <w:t xml:space="preserve"> (1) </w:t>
      </w:r>
      <w:r w:rsidR="00B40F92">
        <w:t xml:space="preserve">by </w:t>
      </w:r>
      <w:r w:rsidR="00AE0FB8" w:rsidRPr="0078660A">
        <w:t xml:space="preserve">information requests being written questions </w:t>
      </w:r>
      <w:r w:rsidR="00B40F92">
        <w:t xml:space="preserve">which </w:t>
      </w:r>
      <w:r w:rsidR="00AE0FB8" w:rsidRPr="0078660A">
        <w:t>must be answered in writing and verified by a statement of truth; (2) witness statements; (3) expert reports (4), depositions of witnesses and (5) letters of request.</w:t>
      </w:r>
    </w:p>
    <w:p w:rsidR="00046006" w:rsidRDefault="00046006" w:rsidP="0078660A">
      <w:pPr>
        <w:pStyle w:val="JudgmentText"/>
      </w:pPr>
      <w:r>
        <w:t xml:space="preserve">He submits that the respondent appears to have misunderstood the purpose of giving the affidavit, and that whilst it is correct that the affidavit needs to verify the disclosure, the respondent should also have set out the </w:t>
      </w:r>
      <w:r w:rsidR="00B40F92">
        <w:t xml:space="preserve">requested </w:t>
      </w:r>
      <w:r>
        <w:t>information</w:t>
      </w:r>
      <w:r w:rsidR="00B40F92">
        <w:t xml:space="preserve"> therein</w:t>
      </w:r>
      <w:r>
        <w:t xml:space="preserve">. </w:t>
      </w:r>
      <w:r w:rsidR="003F65DE">
        <w:t xml:space="preserve">He </w:t>
      </w:r>
      <w:r>
        <w:t>expresses the view that the respondent has not sought to provide the necessary information and should therefore be required to provide a further affidavit setting out this information</w:t>
      </w:r>
    </w:p>
    <w:p w:rsidR="00260D76" w:rsidRDefault="0078660A" w:rsidP="00260D76">
      <w:pPr>
        <w:pStyle w:val="JudgmentText"/>
      </w:pPr>
      <w:r w:rsidRPr="009A4A0A">
        <w:t>Counsel for the applicant has also indicated (proceedings of 25</w:t>
      </w:r>
      <w:r w:rsidRPr="00260D76">
        <w:rPr>
          <w:vertAlign w:val="superscript"/>
        </w:rPr>
        <w:t>th</w:t>
      </w:r>
      <w:r w:rsidRPr="009A4A0A">
        <w:t xml:space="preserve"> March 2021) that it is an accepted practice in the Supreme Court</w:t>
      </w:r>
      <w:r w:rsidR="003F65DE">
        <w:t>,</w:t>
      </w:r>
      <w:r w:rsidRPr="009A4A0A">
        <w:t xml:space="preserve"> where </w:t>
      </w:r>
      <w:r w:rsidR="00C44392" w:rsidRPr="009A4A0A">
        <w:t xml:space="preserve">a Norwich Pharmacal Order is not fully complied with in that complete information is not provided, </w:t>
      </w:r>
      <w:r w:rsidR="008102B2">
        <w:t>for</w:t>
      </w:r>
      <w:r w:rsidR="003F65DE">
        <w:t xml:space="preserve"> </w:t>
      </w:r>
      <w:r w:rsidR="00C44392" w:rsidRPr="009A4A0A">
        <w:t xml:space="preserve">the Court </w:t>
      </w:r>
      <w:r w:rsidR="008102B2">
        <w:t>to</w:t>
      </w:r>
      <w:r w:rsidR="00C44392" w:rsidRPr="009A4A0A">
        <w:t xml:space="preserve"> make a further </w:t>
      </w:r>
      <w:r w:rsidR="00C44392" w:rsidRPr="00A9515D">
        <w:lastRenderedPageBreak/>
        <w:t xml:space="preserve">Order for compliance. </w:t>
      </w:r>
      <w:r w:rsidR="009A4A0A" w:rsidRPr="00A9515D">
        <w:t>I</w:t>
      </w:r>
      <w:r w:rsidRPr="00A9515D">
        <w:t xml:space="preserve">n </w:t>
      </w:r>
      <w:r w:rsidRPr="00A9515D">
        <w:rPr>
          <w:i/>
        </w:rPr>
        <w:t>Ex parte Chen Seng Kuei</w:t>
      </w:r>
      <w:r w:rsidRPr="00A9515D">
        <w:t xml:space="preserve"> (MC 62/2019) [2019] SCSC 793 (18 September 2019)</w:t>
      </w:r>
      <w:r w:rsidR="00A31B41" w:rsidRPr="00A9515D">
        <w:t xml:space="preserve"> </w:t>
      </w:r>
      <w:r w:rsidR="0085762B" w:rsidRPr="00A9515D">
        <w:t xml:space="preserve">the Court </w:t>
      </w:r>
      <w:r w:rsidR="00260D76" w:rsidRPr="00A9515D">
        <w:t>had granted</w:t>
      </w:r>
      <w:r w:rsidRPr="00A9515D">
        <w:t xml:space="preserve"> a Norwich Pharmacal Order</w:t>
      </w:r>
      <w:r w:rsidR="00260D76" w:rsidRPr="00A9515D">
        <w:t xml:space="preserve"> on 5 September 2018 </w:t>
      </w:r>
      <w:r w:rsidR="002F4AD0" w:rsidRPr="00A9515D">
        <w:t>(</w:t>
      </w:r>
      <w:r w:rsidR="0085762B" w:rsidRPr="00A9515D">
        <w:t xml:space="preserve">in </w:t>
      </w:r>
      <w:r w:rsidR="0085762B" w:rsidRPr="00A9515D">
        <w:rPr>
          <w:i/>
        </w:rPr>
        <w:t>Ex parte Chen Sheng Kuei</w:t>
      </w:r>
      <w:r w:rsidR="0085762B" w:rsidRPr="00A9515D">
        <w:t xml:space="preserve"> (MC 44/2018) [2018] SCSC 794 (5 September 2018)</w:t>
      </w:r>
      <w:r w:rsidR="002F4AD0" w:rsidRPr="00A9515D">
        <w:t>)</w:t>
      </w:r>
      <w:r w:rsidR="0085762B" w:rsidRPr="00A9515D">
        <w:t xml:space="preserve"> </w:t>
      </w:r>
      <w:r w:rsidR="00260D76" w:rsidRPr="00A9515D">
        <w:t>for</w:t>
      </w:r>
      <w:r w:rsidR="00260D76" w:rsidRPr="009A4A0A">
        <w:t xml:space="preserve"> disclosure of documents against the registered agent of an IBC</w:t>
      </w:r>
      <w:r w:rsidR="00260D76" w:rsidRPr="00260D76">
        <w:t xml:space="preserve"> and</w:t>
      </w:r>
      <w:r w:rsidR="00260D76">
        <w:t xml:space="preserve"> later</w:t>
      </w:r>
      <w:r w:rsidR="0085762B">
        <w:t>,</w:t>
      </w:r>
      <w:r w:rsidR="00260D76">
        <w:t xml:space="preserve"> on 28</w:t>
      </w:r>
      <w:r w:rsidR="00260D76" w:rsidRPr="00260D76">
        <w:rPr>
          <w:vertAlign w:val="superscript"/>
        </w:rPr>
        <w:t>th</w:t>
      </w:r>
      <w:r w:rsidR="00260D76">
        <w:t xml:space="preserve"> May 2019</w:t>
      </w:r>
      <w:r w:rsidRPr="009A4A0A">
        <w:t xml:space="preserve"> granted </w:t>
      </w:r>
      <w:r w:rsidR="00260D76">
        <w:t>a further</w:t>
      </w:r>
      <w:r w:rsidRPr="009A4A0A">
        <w:t xml:space="preserve"> order </w:t>
      </w:r>
      <w:r w:rsidR="00260D76" w:rsidRPr="009A4A0A">
        <w:t>for the enforcement of the original order.</w:t>
      </w:r>
      <w:r w:rsidR="00260D76">
        <w:t xml:space="preserve"> </w:t>
      </w:r>
      <w:r w:rsidR="00A31B41">
        <w:t xml:space="preserve">After examining the documents provided, the applicant </w:t>
      </w:r>
      <w:r w:rsidR="00A9515D">
        <w:t xml:space="preserve">filed MC62/2019 </w:t>
      </w:r>
      <w:r w:rsidR="0085762B">
        <w:t>claim</w:t>
      </w:r>
      <w:r w:rsidR="00A9515D">
        <w:t>ing</w:t>
      </w:r>
      <w:r w:rsidR="00A31B41">
        <w:t xml:space="preserve"> that a signature on </w:t>
      </w:r>
      <w:r w:rsidR="008102B2">
        <w:t xml:space="preserve">one of the </w:t>
      </w:r>
      <w:r w:rsidR="00A31B41">
        <w:t>document</w:t>
      </w:r>
      <w:r w:rsidR="008102B2">
        <w:t>s</w:t>
      </w:r>
      <w:r w:rsidR="0085762B">
        <w:t xml:space="preserve"> was a forgery and that the contents of </w:t>
      </w:r>
      <w:r w:rsidR="008102B2">
        <w:t>another</w:t>
      </w:r>
      <w:r w:rsidR="0085762B">
        <w:t xml:space="preserve"> document concerning his personal details were false. He also claimed that a copy of a passport purporting to be his and provided to the registered agent was false. </w:t>
      </w:r>
      <w:r w:rsidR="00A31B41">
        <w:t xml:space="preserve"> </w:t>
      </w:r>
      <w:r w:rsidR="002F4AD0">
        <w:t>On 18</w:t>
      </w:r>
      <w:r w:rsidR="002F4AD0" w:rsidRPr="002F4AD0">
        <w:rPr>
          <w:vertAlign w:val="superscript"/>
        </w:rPr>
        <w:t>th</w:t>
      </w:r>
      <w:r w:rsidR="002F4AD0">
        <w:t xml:space="preserve"> September 2019, the Court granted an Order for the disclosure of the identity of the person or entity who disclosed and/or provided the aforementioned information and documents. </w:t>
      </w:r>
    </w:p>
    <w:p w:rsidR="000E3AB1" w:rsidRPr="009A4A0A" w:rsidRDefault="000E3AB1" w:rsidP="000E3AB1">
      <w:pPr>
        <w:pStyle w:val="Jjmntheading1"/>
      </w:pPr>
      <w:r>
        <w:t>Issues for Determination</w:t>
      </w:r>
    </w:p>
    <w:p w:rsidR="0078660A" w:rsidRPr="00E96BC1" w:rsidRDefault="0078660A" w:rsidP="00BB3071">
      <w:pPr>
        <w:pStyle w:val="JudgmentText"/>
        <w:numPr>
          <w:ilvl w:val="0"/>
          <w:numId w:val="5"/>
        </w:numPr>
      </w:pPr>
      <w:r w:rsidRPr="00E96BC1">
        <w:t>In light of the above,</w:t>
      </w:r>
      <w:r w:rsidR="008102B2" w:rsidRPr="00E96BC1">
        <w:t xml:space="preserve"> and in particular the respondent’s response as set out at paragraph [6] hereof that the documents and information which were not disclosed are not and have never been in its control, that it is not within its power to procure them and that there is no obligation to produce them, </w:t>
      </w:r>
      <w:r w:rsidRPr="00E96BC1">
        <w:t>I have identified t</w:t>
      </w:r>
      <w:r w:rsidR="00AE0FB8" w:rsidRPr="00E96BC1">
        <w:t xml:space="preserve">he issues for determination in the present application </w:t>
      </w:r>
      <w:r w:rsidRPr="00E96BC1">
        <w:t>as</w:t>
      </w:r>
      <w:r w:rsidR="00AE0FB8" w:rsidRPr="00E96BC1">
        <w:t xml:space="preserve"> whether the requested documents and information are required to be kept by the registered agent and/or whether such registered agent has an obligation or the ability to request such documents and/or information from third parties</w:t>
      </w:r>
      <w:r w:rsidR="00067A78" w:rsidRPr="00E96BC1">
        <w:t>, under the applicable law</w:t>
      </w:r>
      <w:r w:rsidR="00AE0FB8" w:rsidRPr="00E96BC1">
        <w:t>.</w:t>
      </w:r>
    </w:p>
    <w:p w:rsidR="00A46982" w:rsidRPr="00E96BC1" w:rsidRDefault="00A46982" w:rsidP="00A46982">
      <w:pPr>
        <w:pStyle w:val="Jjmntheading1"/>
      </w:pPr>
      <w:r w:rsidRPr="00E96BC1">
        <w:t>Analysis of relevant legal provisions</w:t>
      </w:r>
    </w:p>
    <w:p w:rsidR="0078660A" w:rsidRPr="00E96BC1" w:rsidRDefault="00AE0FB8" w:rsidP="00BB3071">
      <w:pPr>
        <w:numPr>
          <w:ilvl w:val="0"/>
          <w:numId w:val="5"/>
        </w:numPr>
        <w:spacing w:after="240" w:line="360" w:lineRule="auto"/>
        <w:jc w:val="both"/>
        <w:rPr>
          <w:rFonts w:ascii="Times New Roman" w:eastAsia="Times New Roman" w:hAnsi="Times New Roman" w:cs="Times New Roman"/>
          <w:sz w:val="24"/>
          <w:szCs w:val="24"/>
          <w:lang w:val="en-GB"/>
        </w:rPr>
      </w:pPr>
      <w:r w:rsidRPr="00E96BC1">
        <w:rPr>
          <w:rFonts w:ascii="Times New Roman" w:eastAsia="Times New Roman" w:hAnsi="Times New Roman" w:cs="Times New Roman"/>
          <w:sz w:val="24"/>
          <w:szCs w:val="24"/>
          <w:lang w:val="en-GB"/>
        </w:rPr>
        <w:t xml:space="preserve"> In order</w:t>
      </w:r>
      <w:r w:rsidR="0078660A" w:rsidRPr="00E96BC1">
        <w:rPr>
          <w:rFonts w:ascii="Times New Roman" w:eastAsia="Times New Roman" w:hAnsi="Times New Roman" w:cs="Times New Roman"/>
          <w:sz w:val="24"/>
          <w:szCs w:val="24"/>
          <w:lang w:val="en-GB"/>
        </w:rPr>
        <w:t xml:space="preserve"> to make </w:t>
      </w:r>
      <w:r w:rsidR="00A46982" w:rsidRPr="00E96BC1">
        <w:rPr>
          <w:rFonts w:ascii="Times New Roman" w:eastAsia="Times New Roman" w:hAnsi="Times New Roman" w:cs="Times New Roman"/>
          <w:sz w:val="24"/>
          <w:szCs w:val="24"/>
          <w:lang w:val="en-GB"/>
        </w:rPr>
        <w:t>a</w:t>
      </w:r>
      <w:r w:rsidR="0078660A" w:rsidRPr="00E96BC1">
        <w:rPr>
          <w:rFonts w:ascii="Times New Roman" w:eastAsia="Times New Roman" w:hAnsi="Times New Roman" w:cs="Times New Roman"/>
          <w:sz w:val="24"/>
          <w:szCs w:val="24"/>
          <w:lang w:val="en-GB"/>
        </w:rPr>
        <w:t xml:space="preserve"> determination</w:t>
      </w:r>
      <w:r w:rsidR="00A46982" w:rsidRPr="00E96BC1">
        <w:rPr>
          <w:rFonts w:ascii="Times New Roman" w:eastAsia="Times New Roman" w:hAnsi="Times New Roman" w:cs="Times New Roman"/>
          <w:sz w:val="24"/>
          <w:szCs w:val="24"/>
          <w:lang w:val="en-GB"/>
        </w:rPr>
        <w:t xml:space="preserve"> of the issues identified at paragraph </w:t>
      </w:r>
      <w:r w:rsidR="000E3AB1" w:rsidRPr="00E96BC1">
        <w:rPr>
          <w:rFonts w:ascii="Times New Roman" w:eastAsia="Times New Roman" w:hAnsi="Times New Roman" w:cs="Times New Roman"/>
          <w:sz w:val="24"/>
          <w:szCs w:val="24"/>
          <w:lang w:val="en-GB"/>
        </w:rPr>
        <w:t>[</w:t>
      </w:r>
      <w:r w:rsidR="00A46982" w:rsidRPr="00E96BC1">
        <w:rPr>
          <w:rFonts w:ascii="Times New Roman" w:eastAsia="Times New Roman" w:hAnsi="Times New Roman" w:cs="Times New Roman"/>
          <w:sz w:val="24"/>
          <w:szCs w:val="24"/>
          <w:lang w:val="en-GB"/>
        </w:rPr>
        <w:t>14</w:t>
      </w:r>
      <w:r w:rsidR="000E3AB1" w:rsidRPr="00E96BC1">
        <w:rPr>
          <w:rFonts w:ascii="Times New Roman" w:eastAsia="Times New Roman" w:hAnsi="Times New Roman" w:cs="Times New Roman"/>
          <w:sz w:val="24"/>
          <w:szCs w:val="24"/>
          <w:lang w:val="en-GB"/>
        </w:rPr>
        <w:t>]</w:t>
      </w:r>
      <w:r w:rsidR="00A46982" w:rsidRPr="00E96BC1">
        <w:rPr>
          <w:rFonts w:ascii="Times New Roman" w:eastAsia="Times New Roman" w:hAnsi="Times New Roman" w:cs="Times New Roman"/>
          <w:sz w:val="24"/>
          <w:szCs w:val="24"/>
          <w:lang w:val="en-GB"/>
        </w:rPr>
        <w:t xml:space="preserve"> above,</w:t>
      </w:r>
      <w:r w:rsidRPr="00E96BC1">
        <w:rPr>
          <w:rFonts w:ascii="Times New Roman" w:eastAsia="Times New Roman" w:hAnsi="Times New Roman" w:cs="Times New Roman"/>
          <w:sz w:val="24"/>
          <w:szCs w:val="24"/>
          <w:lang w:val="en-GB"/>
        </w:rPr>
        <w:t xml:space="preserve"> the </w:t>
      </w:r>
      <w:r w:rsidR="00067A78" w:rsidRPr="00E96BC1">
        <w:rPr>
          <w:rFonts w:ascii="Times New Roman" w:eastAsia="Times New Roman" w:hAnsi="Times New Roman" w:cs="Times New Roman"/>
          <w:sz w:val="24"/>
          <w:szCs w:val="24"/>
          <w:lang w:val="en-GB"/>
        </w:rPr>
        <w:t>C</w:t>
      </w:r>
      <w:r w:rsidRPr="00E96BC1">
        <w:rPr>
          <w:rFonts w:ascii="Times New Roman" w:eastAsia="Times New Roman" w:hAnsi="Times New Roman" w:cs="Times New Roman"/>
          <w:sz w:val="24"/>
          <w:szCs w:val="24"/>
          <w:lang w:val="en-GB"/>
        </w:rPr>
        <w:t xml:space="preserve">ourt is required to carry out an analysis of relevant legal provisions relating to IBCs </w:t>
      </w:r>
      <w:r w:rsidR="00A46982" w:rsidRPr="00E96BC1">
        <w:rPr>
          <w:rFonts w:ascii="Times New Roman" w:eastAsia="Times New Roman" w:hAnsi="Times New Roman" w:cs="Times New Roman"/>
          <w:sz w:val="24"/>
          <w:szCs w:val="24"/>
          <w:lang w:val="en-GB"/>
        </w:rPr>
        <w:t xml:space="preserve">and </w:t>
      </w:r>
      <w:r w:rsidR="00421205" w:rsidRPr="00E96BC1">
        <w:rPr>
          <w:rFonts w:ascii="Times New Roman" w:eastAsia="Times New Roman" w:hAnsi="Times New Roman" w:cs="Times New Roman"/>
          <w:sz w:val="24"/>
          <w:szCs w:val="24"/>
          <w:lang w:val="en-GB"/>
        </w:rPr>
        <w:t xml:space="preserve">the </w:t>
      </w:r>
      <w:r w:rsidR="008102B2" w:rsidRPr="00E96BC1">
        <w:rPr>
          <w:rFonts w:ascii="Times New Roman" w:eastAsia="Times New Roman" w:hAnsi="Times New Roman" w:cs="Times New Roman"/>
          <w:sz w:val="24"/>
          <w:szCs w:val="24"/>
          <w:lang w:val="en-GB"/>
        </w:rPr>
        <w:t xml:space="preserve">obligations and </w:t>
      </w:r>
      <w:r w:rsidRPr="00E96BC1">
        <w:rPr>
          <w:rFonts w:ascii="Times New Roman" w:eastAsia="Times New Roman" w:hAnsi="Times New Roman" w:cs="Times New Roman"/>
          <w:sz w:val="24"/>
          <w:szCs w:val="24"/>
          <w:lang w:val="en-GB"/>
        </w:rPr>
        <w:t xml:space="preserve">duties of registered agents. In doing </w:t>
      </w:r>
      <w:r w:rsidR="00A9515D" w:rsidRPr="00E96BC1">
        <w:rPr>
          <w:rFonts w:ascii="Times New Roman" w:eastAsia="Times New Roman" w:hAnsi="Times New Roman" w:cs="Times New Roman"/>
          <w:sz w:val="24"/>
          <w:szCs w:val="24"/>
          <w:lang w:val="en-GB"/>
        </w:rPr>
        <w:t>s</w:t>
      </w:r>
      <w:r w:rsidR="00067A78" w:rsidRPr="00E96BC1">
        <w:rPr>
          <w:rFonts w:ascii="Times New Roman" w:eastAsia="Times New Roman" w:hAnsi="Times New Roman" w:cs="Times New Roman"/>
          <w:sz w:val="24"/>
          <w:szCs w:val="24"/>
          <w:lang w:val="en-GB"/>
        </w:rPr>
        <w:t>o,</w:t>
      </w:r>
      <w:r w:rsidRPr="00E96BC1">
        <w:rPr>
          <w:rFonts w:ascii="Times New Roman" w:eastAsia="Times New Roman" w:hAnsi="Times New Roman" w:cs="Times New Roman"/>
          <w:sz w:val="24"/>
          <w:szCs w:val="24"/>
          <w:lang w:val="en-GB"/>
        </w:rPr>
        <w:t xml:space="preserve"> the Court will proceed on the assumption that documents or information ordered to be </w:t>
      </w:r>
      <w:r w:rsidR="00067A78" w:rsidRPr="00E96BC1">
        <w:rPr>
          <w:rFonts w:ascii="Times New Roman" w:eastAsia="Times New Roman" w:hAnsi="Times New Roman" w:cs="Times New Roman"/>
          <w:sz w:val="24"/>
          <w:szCs w:val="24"/>
          <w:lang w:val="en-GB"/>
        </w:rPr>
        <w:t xml:space="preserve">disclosed </w:t>
      </w:r>
      <w:r w:rsidRPr="00E96BC1">
        <w:rPr>
          <w:rFonts w:ascii="Times New Roman" w:eastAsia="Times New Roman" w:hAnsi="Times New Roman" w:cs="Times New Roman"/>
          <w:sz w:val="24"/>
          <w:szCs w:val="24"/>
          <w:lang w:val="en-GB"/>
        </w:rPr>
        <w:t>by the Order of 18</w:t>
      </w:r>
      <w:r w:rsidRPr="00E96BC1">
        <w:rPr>
          <w:rFonts w:ascii="Times New Roman" w:eastAsia="Times New Roman" w:hAnsi="Times New Roman" w:cs="Times New Roman"/>
          <w:sz w:val="24"/>
          <w:szCs w:val="24"/>
          <w:vertAlign w:val="superscript"/>
          <w:lang w:val="en-GB"/>
        </w:rPr>
        <w:t>th</w:t>
      </w:r>
      <w:r w:rsidRPr="00E96BC1">
        <w:rPr>
          <w:rFonts w:ascii="Times New Roman" w:eastAsia="Times New Roman" w:hAnsi="Times New Roman" w:cs="Times New Roman"/>
          <w:sz w:val="24"/>
          <w:szCs w:val="24"/>
          <w:lang w:val="en-GB"/>
        </w:rPr>
        <w:t xml:space="preserve"> February 2021 which </w:t>
      </w:r>
      <w:r w:rsidR="00421205" w:rsidRPr="00E96BC1">
        <w:rPr>
          <w:rFonts w:ascii="Times New Roman" w:eastAsia="Times New Roman" w:hAnsi="Times New Roman" w:cs="Times New Roman"/>
          <w:sz w:val="24"/>
          <w:szCs w:val="24"/>
          <w:lang w:val="en-GB"/>
        </w:rPr>
        <w:t>have not been</w:t>
      </w:r>
      <w:r w:rsidRPr="00E96BC1">
        <w:rPr>
          <w:rFonts w:ascii="Times New Roman" w:eastAsia="Times New Roman" w:hAnsi="Times New Roman" w:cs="Times New Roman"/>
          <w:sz w:val="24"/>
          <w:szCs w:val="24"/>
          <w:lang w:val="en-GB"/>
        </w:rPr>
        <w:t xml:space="preserve"> requested in the present application have been </w:t>
      </w:r>
      <w:r w:rsidR="00292957" w:rsidRPr="00E96BC1">
        <w:rPr>
          <w:rFonts w:ascii="Times New Roman" w:eastAsia="Times New Roman" w:hAnsi="Times New Roman" w:cs="Times New Roman"/>
          <w:sz w:val="24"/>
          <w:szCs w:val="24"/>
          <w:lang w:val="en-GB"/>
        </w:rPr>
        <w:t>disclosed by the respondent</w:t>
      </w:r>
      <w:r w:rsidRPr="00E96BC1">
        <w:rPr>
          <w:rFonts w:ascii="Times New Roman" w:eastAsia="Times New Roman" w:hAnsi="Times New Roman" w:cs="Times New Roman"/>
          <w:sz w:val="24"/>
          <w:szCs w:val="24"/>
          <w:lang w:val="en-GB"/>
        </w:rPr>
        <w:t xml:space="preserve">. It is </w:t>
      </w:r>
      <w:r w:rsidR="00292957" w:rsidRPr="00E96BC1">
        <w:rPr>
          <w:rFonts w:ascii="Times New Roman" w:eastAsia="Times New Roman" w:hAnsi="Times New Roman" w:cs="Times New Roman"/>
          <w:sz w:val="24"/>
          <w:szCs w:val="24"/>
          <w:lang w:val="en-GB"/>
        </w:rPr>
        <w:t>important to note</w:t>
      </w:r>
      <w:r w:rsidRPr="00E96BC1">
        <w:rPr>
          <w:rFonts w:ascii="Times New Roman" w:eastAsia="Times New Roman" w:hAnsi="Times New Roman" w:cs="Times New Roman"/>
          <w:sz w:val="24"/>
          <w:szCs w:val="24"/>
          <w:lang w:val="en-GB"/>
        </w:rPr>
        <w:t xml:space="preserve"> that these documents or information have not been provided in support of the pr</w:t>
      </w:r>
      <w:r w:rsidR="0078660A" w:rsidRPr="00E96BC1">
        <w:rPr>
          <w:rFonts w:ascii="Times New Roman" w:eastAsia="Times New Roman" w:hAnsi="Times New Roman" w:cs="Times New Roman"/>
          <w:sz w:val="24"/>
          <w:szCs w:val="24"/>
          <w:lang w:val="en-GB"/>
        </w:rPr>
        <w:t>esent application.</w:t>
      </w:r>
    </w:p>
    <w:p w:rsidR="00AE0FB8" w:rsidRPr="00E96BC1" w:rsidRDefault="00AE0FB8" w:rsidP="00A46982">
      <w:pPr>
        <w:pStyle w:val="Jjmntheading2"/>
        <w:rPr>
          <w:rFonts w:eastAsia="Times New Roman"/>
          <w:lang w:val="en-GB"/>
        </w:rPr>
      </w:pPr>
      <w:r w:rsidRPr="00E96BC1">
        <w:rPr>
          <w:lang w:val="en-GB"/>
        </w:rPr>
        <w:lastRenderedPageBreak/>
        <w:t>Record-keeping duties of a Registered Agent and an International Business Company</w:t>
      </w:r>
    </w:p>
    <w:p w:rsidR="00AE0FB8" w:rsidRPr="00E96BC1" w:rsidRDefault="00AE0FB8" w:rsidP="0078660A">
      <w:pPr>
        <w:pStyle w:val="JudgmentText"/>
      </w:pPr>
      <w:r w:rsidRPr="00E96BC1">
        <w:t>As submitted by counsel for the applicant (paragraph 11</w:t>
      </w:r>
      <w:r w:rsidR="00B521DD" w:rsidRPr="00E96BC1">
        <w:t xml:space="preserve"> of his submissions</w:t>
      </w:r>
      <w:r w:rsidRPr="00E96BC1">
        <w:t>), a registered agent has certain record keeping duties with regards to its clients. Section 8 of the International Corporate Services Providers Act, 2003 (the “ICSP Act”) provides:</w:t>
      </w:r>
    </w:p>
    <w:p w:rsidR="00AE0FB8" w:rsidRPr="00E96BC1" w:rsidRDefault="00AE0FB8" w:rsidP="00A13379">
      <w:pPr>
        <w:pStyle w:val="NumberedQuotationindent1"/>
        <w:numPr>
          <w:ilvl w:val="0"/>
          <w:numId w:val="0"/>
        </w:numPr>
        <w:ind w:left="1080" w:hanging="360"/>
        <w:rPr>
          <w:lang w:val="en-GB"/>
        </w:rPr>
      </w:pPr>
      <w:r w:rsidRPr="00E96BC1">
        <w:rPr>
          <w:lang w:val="en-GB"/>
        </w:rPr>
        <w:t>Duties of Licensees</w:t>
      </w:r>
    </w:p>
    <w:p w:rsidR="00AE0FB8" w:rsidRPr="00E96BC1" w:rsidRDefault="00854160" w:rsidP="00146E35">
      <w:pPr>
        <w:pStyle w:val="NumberedQuotationindent1"/>
        <w:numPr>
          <w:ilvl w:val="0"/>
          <w:numId w:val="0"/>
        </w:numPr>
        <w:tabs>
          <w:tab w:val="left" w:pos="1440"/>
        </w:tabs>
        <w:ind w:left="2160" w:hanging="1080"/>
        <w:rPr>
          <w:rFonts w:eastAsia="Times New Roman"/>
          <w:lang w:val="en-GB"/>
        </w:rPr>
      </w:pPr>
      <w:r w:rsidRPr="00E96BC1">
        <w:rPr>
          <w:rFonts w:eastAsia="Times New Roman"/>
          <w:lang w:val="en-GB"/>
        </w:rPr>
        <w:t xml:space="preserve"> </w:t>
      </w:r>
      <w:r w:rsidR="00146E35" w:rsidRPr="00E96BC1">
        <w:rPr>
          <w:rFonts w:eastAsia="Times New Roman"/>
          <w:lang w:val="en-GB"/>
        </w:rPr>
        <w:t xml:space="preserve">8. </w:t>
      </w:r>
      <w:r w:rsidR="00AE0FB8" w:rsidRPr="00E96BC1">
        <w:rPr>
          <w:rFonts w:eastAsia="Times New Roman"/>
          <w:lang w:val="en-GB"/>
        </w:rPr>
        <w:t>(1) A licensee shall —</w:t>
      </w:r>
    </w:p>
    <w:p w:rsidR="00AE0FB8" w:rsidRPr="00E96BC1" w:rsidRDefault="00A13379" w:rsidP="00146E35">
      <w:pPr>
        <w:pStyle w:val="NumberedQuotationindent1"/>
        <w:numPr>
          <w:ilvl w:val="0"/>
          <w:numId w:val="0"/>
        </w:numPr>
        <w:ind w:left="1800"/>
        <w:rPr>
          <w:rFonts w:eastAsia="Times New Roman"/>
          <w:lang w:val="en-GB"/>
        </w:rPr>
      </w:pPr>
      <w:r w:rsidRPr="00E96BC1">
        <w:rPr>
          <w:rFonts w:eastAsia="Times New Roman"/>
          <w:lang w:val="en-GB"/>
        </w:rPr>
        <w:t>[…]</w:t>
      </w:r>
    </w:p>
    <w:p w:rsidR="00AE0FB8" w:rsidRPr="00E96BC1" w:rsidRDefault="00AE0FB8" w:rsidP="00146E35">
      <w:pPr>
        <w:pStyle w:val="NumberedQuotationindent1"/>
        <w:numPr>
          <w:ilvl w:val="0"/>
          <w:numId w:val="0"/>
        </w:numPr>
        <w:ind w:left="1800"/>
        <w:rPr>
          <w:rFonts w:eastAsia="Times New Roman"/>
          <w:lang w:val="en-GB"/>
        </w:rPr>
      </w:pPr>
      <w:r w:rsidRPr="00E96BC1">
        <w:rPr>
          <w:rFonts w:eastAsia="Times New Roman"/>
          <w:lang w:val="en-GB"/>
        </w:rPr>
        <w:t xml:space="preserve">(c) maintain such </w:t>
      </w:r>
      <w:r w:rsidRPr="00E96BC1">
        <w:rPr>
          <w:rFonts w:eastAsia="Times New Roman"/>
          <w:b/>
          <w:lang w:val="en-GB"/>
        </w:rPr>
        <w:t>records</w:t>
      </w:r>
      <w:r w:rsidRPr="00E96BC1">
        <w:rPr>
          <w:rFonts w:eastAsia="Times New Roman"/>
          <w:lang w:val="en-GB"/>
        </w:rPr>
        <w:t xml:space="preserve"> and </w:t>
      </w:r>
      <w:r w:rsidRPr="00E96BC1">
        <w:rPr>
          <w:rFonts w:eastAsia="Times New Roman"/>
          <w:b/>
          <w:lang w:val="en-GB"/>
        </w:rPr>
        <w:t>documents</w:t>
      </w:r>
      <w:r w:rsidRPr="00E96BC1">
        <w:rPr>
          <w:rFonts w:eastAsia="Times New Roman"/>
          <w:lang w:val="en-GB"/>
        </w:rPr>
        <w:t xml:space="preserve"> relating to its business or clients as may be required by or under this Act or any other law of Seychelles;</w:t>
      </w:r>
    </w:p>
    <w:p w:rsidR="00AE0FB8" w:rsidRPr="00E96BC1" w:rsidRDefault="00AE0FB8" w:rsidP="00AE0FB8">
      <w:pPr>
        <w:spacing w:after="240" w:line="240" w:lineRule="auto"/>
        <w:ind w:left="1440"/>
        <w:jc w:val="both"/>
        <w:rPr>
          <w:rFonts w:ascii="Times New Roman" w:eastAsia="Times New Roman" w:hAnsi="Times New Roman" w:cs="Times New Roman"/>
          <w:i/>
          <w:szCs w:val="24"/>
          <w:lang w:val="en-GB"/>
        </w:rPr>
      </w:pPr>
    </w:p>
    <w:p w:rsidR="00AE0FB8" w:rsidRPr="00E96BC1" w:rsidRDefault="00AE0FB8" w:rsidP="00C44392">
      <w:pPr>
        <w:pStyle w:val="JudgmentText"/>
      </w:pPr>
      <w:r w:rsidRPr="00E96BC1">
        <w:t xml:space="preserve">The word </w:t>
      </w:r>
      <w:r w:rsidR="00A13379" w:rsidRPr="00E96BC1">
        <w:t>‘</w:t>
      </w:r>
      <w:r w:rsidRPr="00E96BC1">
        <w:t>document’ is defin</w:t>
      </w:r>
      <w:r w:rsidR="00A13379" w:rsidRPr="00E96BC1">
        <w:t>ed in section 2 of the ICSP Act. It has the</w:t>
      </w:r>
      <w:r w:rsidRPr="00E96BC1">
        <w:t xml:space="preserve"> </w:t>
      </w:r>
      <w:r w:rsidR="00A13379" w:rsidRPr="00E96BC1">
        <w:t xml:space="preserve">same definition given </w:t>
      </w:r>
      <w:r w:rsidRPr="00E96BC1">
        <w:t xml:space="preserve">under section 2 of the International Business Companies Act, 2016 as amended (the “IBC Act”). The IBC Act also defines ‘records’. The relevant provisions </w:t>
      </w:r>
      <w:r w:rsidR="00A13379" w:rsidRPr="00E96BC1">
        <w:t xml:space="preserve">under those Acts </w:t>
      </w:r>
      <w:r w:rsidRPr="00E96BC1">
        <w:t>are</w:t>
      </w:r>
      <w:r w:rsidR="009C740E" w:rsidRPr="00E96BC1">
        <w:t xml:space="preserve"> as follows</w:t>
      </w:r>
      <w:r w:rsidRPr="00E96BC1">
        <w:t>:</w:t>
      </w:r>
    </w:p>
    <w:p w:rsidR="00AE0FB8" w:rsidRPr="00E96BC1" w:rsidRDefault="00AE0FB8" w:rsidP="00C06C75">
      <w:pPr>
        <w:pStyle w:val="Unnumberedquote"/>
        <w:ind w:hanging="360"/>
        <w:rPr>
          <w:i w:val="0"/>
          <w:u w:val="single"/>
          <w:lang w:val="en-GB"/>
        </w:rPr>
      </w:pPr>
      <w:r w:rsidRPr="00E96BC1">
        <w:rPr>
          <w:i w:val="0"/>
          <w:u w:val="single"/>
          <w:lang w:val="en-GB"/>
        </w:rPr>
        <w:t>ICSP Act</w:t>
      </w:r>
    </w:p>
    <w:p w:rsidR="00AE0FB8" w:rsidRPr="00E96BC1" w:rsidRDefault="00AE0FB8" w:rsidP="00C06C75">
      <w:pPr>
        <w:pStyle w:val="Unnumberedquote"/>
        <w:ind w:hanging="360"/>
        <w:rPr>
          <w:color w:val="000000"/>
          <w:lang w:val="en-GB"/>
        </w:rPr>
      </w:pPr>
      <w:r w:rsidRPr="00E96BC1">
        <w:rPr>
          <w:color w:val="000000"/>
          <w:lang w:val="en-GB"/>
        </w:rPr>
        <w:t>“document” means —</w:t>
      </w:r>
    </w:p>
    <w:p w:rsidR="00AE0FB8" w:rsidRPr="00E96BC1" w:rsidRDefault="00AE0FB8" w:rsidP="00C06C75">
      <w:pPr>
        <w:pStyle w:val="Unnumberedquote"/>
        <w:ind w:hanging="360"/>
        <w:rPr>
          <w:color w:val="000000"/>
          <w:lang w:val="en-GB"/>
        </w:rPr>
      </w:pPr>
      <w:r w:rsidRPr="00E96BC1">
        <w:rPr>
          <w:color w:val="000000"/>
          <w:lang w:val="en-GB"/>
        </w:rPr>
        <w:t>(a) any writing on any material;</w:t>
      </w:r>
    </w:p>
    <w:p w:rsidR="00AE0FB8" w:rsidRPr="00E96BC1" w:rsidRDefault="00AE0FB8" w:rsidP="00C06C75">
      <w:pPr>
        <w:pStyle w:val="Unnumberedquote"/>
        <w:ind w:hanging="360"/>
        <w:rPr>
          <w:color w:val="000000"/>
          <w:lang w:val="en-GB"/>
        </w:rPr>
      </w:pPr>
      <w:r w:rsidRPr="00E96BC1">
        <w:rPr>
          <w:color w:val="000000"/>
          <w:lang w:val="en-GB"/>
        </w:rPr>
        <w:t>(b) a book, graph, drawing or other pictorial representation or image;</w:t>
      </w:r>
    </w:p>
    <w:p w:rsidR="00AE0FB8" w:rsidRPr="00E96BC1" w:rsidRDefault="00AE0FB8" w:rsidP="00C06C75">
      <w:pPr>
        <w:pStyle w:val="Unnumberedquote"/>
        <w:ind w:hanging="360"/>
        <w:rPr>
          <w:color w:val="000000"/>
          <w:lang w:val="en-GB"/>
        </w:rPr>
      </w:pPr>
      <w:r w:rsidRPr="00E96BC1">
        <w:rPr>
          <w:color w:val="000000"/>
          <w:lang w:val="en-GB"/>
        </w:rPr>
        <w:t>(c) information recorded or stored by any electronic or other technological means and capable, with or without the aid of any equipment, of being reproduced;</w:t>
      </w:r>
    </w:p>
    <w:p w:rsidR="00AE0FB8" w:rsidRPr="00E96BC1" w:rsidRDefault="00AE0FB8" w:rsidP="00C06C75">
      <w:pPr>
        <w:pStyle w:val="Unnumberedquote"/>
        <w:ind w:hanging="360"/>
        <w:rPr>
          <w:lang w:val="en-GB"/>
        </w:rPr>
      </w:pPr>
    </w:p>
    <w:p w:rsidR="00AE0FB8" w:rsidRPr="00E96BC1" w:rsidRDefault="00AE0FB8" w:rsidP="00C06C75">
      <w:pPr>
        <w:pStyle w:val="Unnumberedquote"/>
        <w:ind w:hanging="360"/>
        <w:rPr>
          <w:i w:val="0"/>
          <w:u w:val="single"/>
          <w:lang w:val="en-GB"/>
        </w:rPr>
      </w:pPr>
      <w:r w:rsidRPr="00E96BC1">
        <w:rPr>
          <w:i w:val="0"/>
          <w:u w:val="single"/>
          <w:lang w:val="en-GB"/>
        </w:rPr>
        <w:t>IBC Act</w:t>
      </w:r>
    </w:p>
    <w:p w:rsidR="00AE0FB8" w:rsidRDefault="00AE0FB8" w:rsidP="00C06C75">
      <w:pPr>
        <w:pStyle w:val="Unnumberedquote"/>
        <w:ind w:left="1080"/>
      </w:pPr>
      <w:r w:rsidRPr="00E96BC1">
        <w:t>“electronic form” with reference to information means a</w:t>
      </w:r>
      <w:r w:rsidR="00DA1EE7" w:rsidRPr="00E96BC1">
        <w:t xml:space="preserve">ny information generated, sent, </w:t>
      </w:r>
      <w:r w:rsidRPr="00E96BC1">
        <w:t>received or stored in any computer storage media such as magnetic, optical,</w:t>
      </w:r>
      <w:r w:rsidRPr="00AE0FB8">
        <w:t xml:space="preserve"> computer memory or other similar devices;</w:t>
      </w:r>
    </w:p>
    <w:p w:rsidR="00DA1EE7" w:rsidRPr="00AE0FB8" w:rsidRDefault="00DA1EE7" w:rsidP="00C06C75">
      <w:pPr>
        <w:pStyle w:val="Unnumberedquote"/>
        <w:ind w:hanging="360"/>
      </w:pPr>
    </w:p>
    <w:p w:rsidR="00AE0FB8" w:rsidRPr="00AE0FB8" w:rsidRDefault="00AE0FB8" w:rsidP="00C06C75">
      <w:pPr>
        <w:pStyle w:val="Unnumberedquote"/>
        <w:ind w:left="1080"/>
      </w:pPr>
      <w:r w:rsidRPr="00AE0FB8">
        <w:t>“electronic record” means data, record or data generated, image or sound stored, received or sent in an electronic form and includes any electronic code or device necessary to decrypt or interpret the electronic record;</w:t>
      </w:r>
    </w:p>
    <w:p w:rsidR="00AE0FB8" w:rsidRPr="00AE0FB8" w:rsidRDefault="00AE0FB8" w:rsidP="00C06C75">
      <w:pPr>
        <w:pStyle w:val="Unnumberedquote"/>
        <w:ind w:hanging="360"/>
        <w:rPr>
          <w:lang w:val="en-GB"/>
        </w:rPr>
      </w:pPr>
    </w:p>
    <w:p w:rsidR="00AE0FB8" w:rsidRDefault="00AE0FB8" w:rsidP="00C06C75">
      <w:pPr>
        <w:pStyle w:val="Unnumberedquote"/>
        <w:ind w:hanging="360"/>
        <w:rPr>
          <w:lang w:val="en-GB"/>
        </w:rPr>
      </w:pPr>
      <w:r w:rsidRPr="00AE0FB8">
        <w:rPr>
          <w:lang w:val="en-GB"/>
        </w:rPr>
        <w:t>“records” means documents and other records however stored</w:t>
      </w:r>
      <w:r w:rsidR="009C740E">
        <w:rPr>
          <w:lang w:val="en-GB"/>
        </w:rPr>
        <w:t>;</w:t>
      </w:r>
    </w:p>
    <w:p w:rsidR="00DA1EE7" w:rsidRDefault="00DA1EE7" w:rsidP="00C06C75">
      <w:pPr>
        <w:pStyle w:val="Unnumberedquote"/>
        <w:ind w:hanging="360"/>
        <w:rPr>
          <w:lang w:val="en-GB"/>
        </w:rPr>
      </w:pPr>
    </w:p>
    <w:p w:rsidR="00AE0FB8" w:rsidRPr="00DA1EE7" w:rsidRDefault="00AE0FB8" w:rsidP="00DA1EE7">
      <w:pPr>
        <w:pStyle w:val="JudgmentText"/>
      </w:pPr>
      <w:r w:rsidRPr="00DA1EE7">
        <w:t>Paragraph 13.2 of the Code for International Corporate Service Providers</w:t>
      </w:r>
      <w:r w:rsidR="009C740E">
        <w:t>,</w:t>
      </w:r>
      <w:r w:rsidRPr="00DA1EE7">
        <w:t xml:space="preserve"> 1st October 2020</w:t>
      </w:r>
      <w:r w:rsidR="009C740E">
        <w:t xml:space="preserve"> version</w:t>
      </w:r>
      <w:r w:rsidRPr="00DA1EE7">
        <w:t xml:space="preserve"> (the “Code</w:t>
      </w:r>
      <w:r w:rsidR="00292957" w:rsidRPr="00292957">
        <w:t xml:space="preserve"> </w:t>
      </w:r>
      <w:r w:rsidR="00292957">
        <w:t>for ICSPs</w:t>
      </w:r>
      <w:r w:rsidRPr="00DA1EE7">
        <w:t xml:space="preserve">”) </w:t>
      </w:r>
      <w:r w:rsidR="00856A87">
        <w:t>provides</w:t>
      </w:r>
      <w:r w:rsidRPr="00DA1EE7">
        <w:t xml:space="preserve"> that the licensee needs to monitor compliance by specified entities (</w:t>
      </w:r>
      <w:r w:rsidR="00857453">
        <w:t>defined by section 2 of the ICSP Act as including</w:t>
      </w:r>
      <w:r w:rsidRPr="00DA1EE7">
        <w:t xml:space="preserve"> IBCs) with</w:t>
      </w:r>
      <w:r w:rsidR="00F9130C">
        <w:t xml:space="preserve"> their</w:t>
      </w:r>
      <w:r w:rsidRPr="00DA1EE7">
        <w:t xml:space="preserve"> </w:t>
      </w:r>
      <w:r w:rsidRPr="00DA1EE7">
        <w:lastRenderedPageBreak/>
        <w:t>“record</w:t>
      </w:r>
      <w:r w:rsidRPr="00DA1EE7">
        <w:rPr>
          <w:rFonts w:ascii="Cambria Math" w:hAnsi="Cambria Math" w:cs="Cambria Math"/>
        </w:rPr>
        <w:t>‐</w:t>
      </w:r>
      <w:r w:rsidRPr="00DA1EE7">
        <w:t xml:space="preserve">keeping requirements”, notify the entity if </w:t>
      </w:r>
      <w:r w:rsidR="00F9130C">
        <w:t>it is</w:t>
      </w:r>
      <w:r w:rsidRPr="00DA1EE7">
        <w:t xml:space="preserve"> non-compliant and where the </w:t>
      </w:r>
      <w:r w:rsidR="00F9130C">
        <w:t>entity</w:t>
      </w:r>
      <w:r w:rsidRPr="00DA1EE7">
        <w:t xml:space="preserve"> does not comply, report the entity to the Financial Services Authority</w:t>
      </w:r>
      <w:r w:rsidR="006C042F">
        <w:t xml:space="preserve"> (the “FSA”)</w:t>
      </w:r>
      <w:r w:rsidRPr="00DA1EE7">
        <w:t xml:space="preserve"> or the Registrar. Paragraph 13.2 </w:t>
      </w:r>
      <w:r w:rsidR="00857453">
        <w:t xml:space="preserve">of the Code </w:t>
      </w:r>
      <w:r w:rsidRPr="00DA1EE7">
        <w:t>specifies that the “record</w:t>
      </w:r>
      <w:r w:rsidRPr="00DA1EE7">
        <w:rPr>
          <w:rFonts w:ascii="Cambria Math" w:hAnsi="Cambria Math" w:cs="Cambria Math"/>
        </w:rPr>
        <w:t>‐</w:t>
      </w:r>
      <w:r w:rsidRPr="00DA1EE7">
        <w:t xml:space="preserve">keeping requirements” </w:t>
      </w:r>
      <w:r w:rsidR="00B521DD">
        <w:t>for</w:t>
      </w:r>
      <w:r w:rsidRPr="00DA1EE7">
        <w:t xml:space="preserve"> international business compan</w:t>
      </w:r>
      <w:r w:rsidR="00B521DD">
        <w:t>ies</w:t>
      </w:r>
      <w:r w:rsidRPr="00DA1EE7">
        <w:t xml:space="preserve"> include:</w:t>
      </w:r>
    </w:p>
    <w:p w:rsidR="00DA1EE7" w:rsidRDefault="00AE0FB8" w:rsidP="00C06C75">
      <w:pPr>
        <w:pStyle w:val="NumberedQuotationindent1"/>
        <w:ind w:left="1440"/>
        <w:rPr>
          <w:lang w:val="en-GB"/>
        </w:rPr>
      </w:pPr>
      <w:r w:rsidRPr="00AE0FB8">
        <w:rPr>
          <w:lang w:val="en-GB"/>
        </w:rPr>
        <w:t>the register of members;</w:t>
      </w:r>
    </w:p>
    <w:p w:rsidR="00AE0FB8" w:rsidRPr="00DA1EE7" w:rsidRDefault="00AE0FB8" w:rsidP="00C06C75">
      <w:pPr>
        <w:pStyle w:val="NumberedQuotationindent1"/>
        <w:tabs>
          <w:tab w:val="left" w:pos="1440"/>
        </w:tabs>
        <w:ind w:firstLine="0"/>
        <w:rPr>
          <w:lang w:val="en-GB"/>
        </w:rPr>
      </w:pPr>
      <w:r w:rsidRPr="00DA1EE7">
        <w:rPr>
          <w:lang w:val="en-GB"/>
        </w:rPr>
        <w:t>the register of directors;</w:t>
      </w:r>
    </w:p>
    <w:p w:rsidR="00AE0FB8" w:rsidRPr="00AE0FB8" w:rsidRDefault="00AE0FB8" w:rsidP="00C06C75">
      <w:pPr>
        <w:pStyle w:val="NumberedQuotationindent1"/>
        <w:ind w:firstLine="0"/>
        <w:rPr>
          <w:lang w:val="en-GB"/>
        </w:rPr>
      </w:pPr>
      <w:r w:rsidRPr="00AE0FB8">
        <w:rPr>
          <w:lang w:val="en-GB"/>
        </w:rPr>
        <w:t>the register of beneficial owners;</w:t>
      </w:r>
    </w:p>
    <w:p w:rsidR="00AE0FB8" w:rsidRPr="00AE0FB8" w:rsidRDefault="00AE0FB8" w:rsidP="00C06C75">
      <w:pPr>
        <w:pStyle w:val="NumberedQuotationindent1"/>
        <w:ind w:left="1440"/>
        <w:rPr>
          <w:lang w:val="en-GB"/>
        </w:rPr>
      </w:pPr>
      <w:r w:rsidRPr="00AE0FB8">
        <w:rPr>
          <w:lang w:val="en-GB"/>
        </w:rPr>
        <w:t>the accounting records (or where the accounting records are kept at a place other than its registered office, a written notification of the physical address of that place); and</w:t>
      </w:r>
    </w:p>
    <w:p w:rsidR="00AE0FB8" w:rsidRDefault="00AE0FB8" w:rsidP="00C06C75">
      <w:pPr>
        <w:pStyle w:val="NumberedQuotationindent1"/>
        <w:tabs>
          <w:tab w:val="left" w:pos="1440"/>
        </w:tabs>
        <w:ind w:firstLine="0"/>
        <w:rPr>
          <w:lang w:val="en-GB"/>
        </w:rPr>
      </w:pPr>
      <w:r w:rsidRPr="00AE0FB8">
        <w:rPr>
          <w:lang w:val="en-GB"/>
        </w:rPr>
        <w:t>the annual return pursuant to section 171 of the IBC Act.</w:t>
      </w:r>
    </w:p>
    <w:p w:rsidR="00DA1EE7" w:rsidRDefault="00DA1EE7" w:rsidP="00DA1EE7">
      <w:pPr>
        <w:pStyle w:val="NumberedQuotationindent1"/>
        <w:numPr>
          <w:ilvl w:val="0"/>
          <w:numId w:val="0"/>
        </w:numPr>
        <w:rPr>
          <w:lang w:val="en-GB"/>
        </w:rPr>
      </w:pPr>
    </w:p>
    <w:p w:rsidR="00496F9E" w:rsidRDefault="00AE0FB8" w:rsidP="00496F9E">
      <w:pPr>
        <w:pStyle w:val="JudgmentText"/>
      </w:pPr>
      <w:r w:rsidRPr="00DA1EE7">
        <w:t>Section 173</w:t>
      </w:r>
      <w:r w:rsidR="007A37F1">
        <w:t>(2)</w:t>
      </w:r>
      <w:r w:rsidRPr="00DA1EE7">
        <w:t xml:space="preserve"> of the IBC Act provides</w:t>
      </w:r>
      <w:r w:rsidR="00652E85">
        <w:t xml:space="preserve"> for the furnishing of records by IBCs. Under that provision</w:t>
      </w:r>
      <w:r w:rsidRPr="00DA1EE7">
        <w:t xml:space="preserve"> where a</w:t>
      </w:r>
      <w:r w:rsidR="007A37F1">
        <w:t xml:space="preserve"> company </w:t>
      </w:r>
      <w:r w:rsidRPr="00DA1EE7">
        <w:t xml:space="preserve">is requested pursuant to a written law of Seychelles to furnish all or any of its records, including </w:t>
      </w:r>
      <w:r w:rsidRPr="00DA1EE7">
        <w:rPr>
          <w:u w:val="single"/>
        </w:rPr>
        <w:t>(without limitation)</w:t>
      </w:r>
      <w:r w:rsidRPr="00DA1EE7">
        <w:t xml:space="preserve"> a request from the Seychelles Revenue Commission </w:t>
      </w:r>
      <w:r w:rsidR="0016490E">
        <w:t xml:space="preserve">(“SRC”) </w:t>
      </w:r>
      <w:r w:rsidRPr="00DA1EE7">
        <w:t>(request for information under a tax treaty); the Financial Intelligence Unit (“FIU”) under the Anti-Money Laundering Act; or the Registrar for the purpose of monitoring and assessing compliance with th</w:t>
      </w:r>
      <w:r w:rsidR="00DA1EE7">
        <w:t>e</w:t>
      </w:r>
      <w:r w:rsidRPr="00DA1EE7">
        <w:t xml:space="preserve"> Act, the company shall cause the requested records to be furnished within the time period specified in the request. A company and/or its director(s) who fail to furnish such records </w:t>
      </w:r>
      <w:r w:rsidR="00496F9E">
        <w:t>is</w:t>
      </w:r>
      <w:r w:rsidRPr="00DA1EE7">
        <w:t xml:space="preserve"> be liable to </w:t>
      </w:r>
      <w:r w:rsidR="00BA5A9C">
        <w:t>a</w:t>
      </w:r>
      <w:r w:rsidR="00BA5A9C" w:rsidRPr="00DA1EE7">
        <w:t xml:space="preserve"> </w:t>
      </w:r>
      <w:r w:rsidRPr="00DA1EE7">
        <w:t xml:space="preserve">fine under section 173(3) and (4). </w:t>
      </w:r>
    </w:p>
    <w:p w:rsidR="00C06C75" w:rsidRDefault="007A37F1" w:rsidP="001903A8">
      <w:pPr>
        <w:pStyle w:val="JudgmentText"/>
        <w:tabs>
          <w:tab w:val="left" w:pos="1440"/>
          <w:tab w:val="left" w:pos="1800"/>
        </w:tabs>
      </w:pPr>
      <w:r>
        <w:t xml:space="preserve">Section </w:t>
      </w:r>
      <w:r w:rsidR="00AE0FB8" w:rsidRPr="00DA1EE7">
        <w:t>173(1)</w:t>
      </w:r>
      <w:r w:rsidR="00496F9E">
        <w:t xml:space="preserve"> of the IBC Act</w:t>
      </w:r>
      <w:r w:rsidR="00AE0FB8" w:rsidRPr="00DA1EE7">
        <w:t xml:space="preserve"> provides that for the purpose of </w:t>
      </w:r>
      <w:r w:rsidR="00496F9E">
        <w:t xml:space="preserve">that </w:t>
      </w:r>
      <w:r w:rsidR="00AE0FB8" w:rsidRPr="00DA1EE7">
        <w:t xml:space="preserve">section </w:t>
      </w:r>
      <w:r w:rsidR="00496F9E">
        <w:t>‘</w:t>
      </w:r>
      <w:r w:rsidR="00AE0FB8" w:rsidRPr="00DA1EE7">
        <w:t>records</w:t>
      </w:r>
      <w:r w:rsidR="00496F9E">
        <w:t>’</w:t>
      </w:r>
      <w:r w:rsidR="00AE0FB8" w:rsidRPr="00DA1EE7">
        <w:t xml:space="preserve"> include: </w:t>
      </w:r>
      <w:r w:rsidR="00496F9E">
        <w:t xml:space="preserve">(a) </w:t>
      </w:r>
      <w:r w:rsidR="00AE0FB8" w:rsidRPr="00DA1EE7">
        <w:t xml:space="preserve">accounting records; </w:t>
      </w:r>
      <w:r w:rsidR="00496F9E">
        <w:t xml:space="preserve">(b) </w:t>
      </w:r>
      <w:r w:rsidR="00AE0FB8" w:rsidRPr="00DA1EE7">
        <w:t xml:space="preserve">minutes and resolutions of members kept pursuant to section 125; </w:t>
      </w:r>
      <w:r w:rsidR="00496F9E">
        <w:t xml:space="preserve">(c) </w:t>
      </w:r>
      <w:r w:rsidR="00AE0FB8" w:rsidRPr="00DA1EE7">
        <w:t xml:space="preserve">minutes and resolutions of directors kept pursuant to section </w:t>
      </w:r>
      <w:r w:rsidR="00AE0FB8" w:rsidRPr="000604CF">
        <w:t xml:space="preserve">156; </w:t>
      </w:r>
      <w:r w:rsidR="00496F9E">
        <w:t xml:space="preserve">(d) </w:t>
      </w:r>
      <w:r w:rsidR="00AE0FB8" w:rsidRPr="000604CF">
        <w:t xml:space="preserve">annual returns made pursuant to section 171; </w:t>
      </w:r>
      <w:r w:rsidR="00496F9E">
        <w:t xml:space="preserve">(e) </w:t>
      </w:r>
      <w:r w:rsidR="00AE0FB8" w:rsidRPr="000604CF">
        <w:t xml:space="preserve">register of members; </w:t>
      </w:r>
      <w:r w:rsidR="00496F9E">
        <w:t xml:space="preserve">(f) </w:t>
      </w:r>
      <w:r w:rsidR="00AE0FB8" w:rsidRPr="000604CF">
        <w:t>register of</w:t>
      </w:r>
      <w:r w:rsidR="00AE0FB8" w:rsidRPr="00DA1EE7">
        <w:t xml:space="preserve"> directors; </w:t>
      </w:r>
      <w:r w:rsidR="00496F9E">
        <w:t>(g) repealed</w:t>
      </w:r>
      <w:r w:rsidR="00AE0FB8" w:rsidRPr="00DA1EE7">
        <w:t xml:space="preserve">; and </w:t>
      </w:r>
      <w:r w:rsidR="00496F9E">
        <w:t xml:space="preserve">(h) </w:t>
      </w:r>
      <w:r w:rsidR="00AE0FB8" w:rsidRPr="00DA1EE7">
        <w:t xml:space="preserve">register of charges (if any). </w:t>
      </w:r>
      <w:r w:rsidR="003F505C">
        <w:t xml:space="preserve">It is to be noted that subparagraph (g) of </w:t>
      </w:r>
      <w:r w:rsidR="000C3740">
        <w:t>section 173</w:t>
      </w:r>
      <w:r w:rsidR="003F505C">
        <w:t xml:space="preserve">(1) </w:t>
      </w:r>
      <w:r w:rsidR="00FB23FC">
        <w:t xml:space="preserve"> </w:t>
      </w:r>
      <w:r w:rsidR="003F505C">
        <w:t xml:space="preserve">which included </w:t>
      </w:r>
      <w:r w:rsidR="00AE0FB8" w:rsidRPr="00DA1EE7">
        <w:t xml:space="preserve">the register of beneficial owners </w:t>
      </w:r>
      <w:r w:rsidR="003F505C">
        <w:t>in the definition of ‘records’ was</w:t>
      </w:r>
      <w:r w:rsidR="00AE0FB8" w:rsidRPr="00DA1EE7">
        <w:t xml:space="preserve"> repealed by section 2 of the IBC (Amendment) Act, 2020</w:t>
      </w:r>
      <w:r w:rsidR="003F505C">
        <w:t xml:space="preserve"> (Act 8/2020)</w:t>
      </w:r>
      <w:r w:rsidR="00AE0FB8" w:rsidRPr="00DA1EE7">
        <w:t xml:space="preserve"> due to the enactment of the Beneficial Ownership Act, 2020</w:t>
      </w:r>
      <w:r w:rsidR="003F505C">
        <w:t xml:space="preserve"> </w:t>
      </w:r>
      <w:r w:rsidR="00AE0FB8" w:rsidRPr="00DA1EE7">
        <w:t xml:space="preserve">(the “BO Act”) </w:t>
      </w:r>
      <w:r w:rsidR="003F505C">
        <w:t>which c</w:t>
      </w:r>
      <w:r w:rsidR="003F505C" w:rsidRPr="00B91908">
        <w:t>ame into force on 28th August 2020</w:t>
      </w:r>
      <w:r w:rsidR="003F505C">
        <w:t>. The BO Act</w:t>
      </w:r>
      <w:r w:rsidR="00AE0FB8" w:rsidRPr="00DA1EE7">
        <w:t xml:space="preserve"> has its own provision regarding access to information </w:t>
      </w:r>
      <w:r w:rsidR="003F505C">
        <w:t>regarding</w:t>
      </w:r>
      <w:r w:rsidR="00AE0FB8" w:rsidRPr="00DA1EE7">
        <w:t xml:space="preserve"> beneficial owners by competent authorities or by way of Court </w:t>
      </w:r>
      <w:r w:rsidR="00AE0FB8" w:rsidRPr="00DA1EE7">
        <w:lastRenderedPageBreak/>
        <w:t>Order</w:t>
      </w:r>
      <w:r w:rsidR="00652E85">
        <w:t xml:space="preserve"> but here the obligation to provide such information is on the resident agent. </w:t>
      </w:r>
      <w:r w:rsidR="003F505C">
        <w:t>In that regard</w:t>
      </w:r>
      <w:r w:rsidR="00AE0FB8" w:rsidRPr="00DA1EE7">
        <w:t xml:space="preserve"> </w:t>
      </w:r>
      <w:r w:rsidR="003F505C" w:rsidRPr="00DA1EE7">
        <w:t xml:space="preserve">section 14 of the BO Act </w:t>
      </w:r>
      <w:r w:rsidR="00D7165E">
        <w:t>provides as follows:</w:t>
      </w:r>
      <w:r w:rsidR="003F505C" w:rsidRPr="003F505C">
        <w:t xml:space="preserve"> </w:t>
      </w:r>
    </w:p>
    <w:p w:rsidR="00D7165E" w:rsidRDefault="00D7165E" w:rsidP="00BB3071">
      <w:pPr>
        <w:pStyle w:val="NumberedQuotationindent1"/>
        <w:numPr>
          <w:ilvl w:val="3"/>
          <w:numId w:val="8"/>
        </w:numPr>
        <w:tabs>
          <w:tab w:val="left" w:pos="1800"/>
        </w:tabs>
        <w:ind w:left="1440" w:hanging="360"/>
      </w:pPr>
      <w:r w:rsidRPr="00B91908">
        <w:t xml:space="preserve">(1) Where </w:t>
      </w:r>
      <w:r w:rsidRPr="00B521DD">
        <w:rPr>
          <w:b/>
        </w:rPr>
        <w:t>a resident agent</w:t>
      </w:r>
      <w:r w:rsidRPr="00B91908">
        <w:t xml:space="preserve"> is requested by a written notice or Order, as the case may be,—</w:t>
      </w:r>
      <w:r>
        <w:t xml:space="preserve"> </w:t>
      </w:r>
    </w:p>
    <w:p w:rsidR="00C06C75" w:rsidRDefault="00D7165E" w:rsidP="00C06C75">
      <w:pPr>
        <w:pStyle w:val="NumberedQuotationindent1"/>
        <w:numPr>
          <w:ilvl w:val="0"/>
          <w:numId w:val="0"/>
        </w:numPr>
        <w:ind w:left="1080" w:firstLine="720"/>
      </w:pPr>
      <w:r w:rsidRPr="00B91908">
        <w:t>(a) by any competent authority;</w:t>
      </w:r>
      <w:r>
        <w:t xml:space="preserve"> </w:t>
      </w:r>
    </w:p>
    <w:p w:rsidR="00C06C75" w:rsidRDefault="00D7165E" w:rsidP="00C06C75">
      <w:pPr>
        <w:pStyle w:val="NumberedQuotationindent1"/>
        <w:numPr>
          <w:ilvl w:val="0"/>
          <w:numId w:val="0"/>
        </w:numPr>
        <w:ind w:left="1080" w:firstLine="720"/>
      </w:pPr>
      <w:r w:rsidRPr="00B91908">
        <w:t>(b) by any law enforcement authority;</w:t>
      </w:r>
      <w:r>
        <w:t xml:space="preserve"> </w:t>
      </w:r>
    </w:p>
    <w:p w:rsidR="00C06C75" w:rsidRDefault="00D7165E" w:rsidP="00C06C75">
      <w:pPr>
        <w:pStyle w:val="NumberedQuotationindent1"/>
        <w:numPr>
          <w:ilvl w:val="0"/>
          <w:numId w:val="0"/>
        </w:numPr>
        <w:ind w:left="1080" w:firstLine="720"/>
      </w:pPr>
      <w:r w:rsidRPr="00B91908">
        <w:t>(c) by the Registrar of Companies;</w:t>
      </w:r>
      <w:r>
        <w:t xml:space="preserve">  </w:t>
      </w:r>
    </w:p>
    <w:p w:rsidR="00C06C75" w:rsidRDefault="00D7165E" w:rsidP="00C06C75">
      <w:pPr>
        <w:pStyle w:val="NumberedQuotationindent1"/>
        <w:numPr>
          <w:ilvl w:val="0"/>
          <w:numId w:val="0"/>
        </w:numPr>
        <w:ind w:left="1080" w:firstLine="720"/>
      </w:pPr>
      <w:r w:rsidRPr="00B91908">
        <w:t>(d) by the Registrar of Associations;</w:t>
      </w:r>
      <w:r>
        <w:t xml:space="preserve"> </w:t>
      </w:r>
    </w:p>
    <w:p w:rsidR="00C06C75" w:rsidRDefault="00D7165E" w:rsidP="00C06C75">
      <w:pPr>
        <w:pStyle w:val="NumberedQuotationindent1"/>
        <w:numPr>
          <w:ilvl w:val="0"/>
          <w:numId w:val="0"/>
        </w:numPr>
        <w:ind w:left="2160" w:hanging="360"/>
      </w:pPr>
      <w:r w:rsidRPr="00B91908">
        <w:t>(e) by the Seychelles Licensing Authority in respect of the legal person or legal arrangement licensed under the Licences Act or a legal person or legal arrangement applying for a licence under the</w:t>
      </w:r>
      <w:r w:rsidR="00C06C75">
        <w:t xml:space="preserve"> Licences Act or any other Act;</w:t>
      </w:r>
    </w:p>
    <w:p w:rsidR="00C06C75" w:rsidRDefault="00D7165E" w:rsidP="00C06C75">
      <w:pPr>
        <w:pStyle w:val="NumberedQuotationindent1"/>
        <w:numPr>
          <w:ilvl w:val="0"/>
          <w:numId w:val="0"/>
        </w:numPr>
        <w:ind w:left="2160" w:hanging="360"/>
      </w:pPr>
      <w:r w:rsidRPr="00B91908">
        <w:t>(f) by the Central Bank of Seychelles in respect of institutions under its regulatory control or a legal person or legal arrangement applying for a licence under the Financial Institutions Act or any other Act;</w:t>
      </w:r>
      <w:r>
        <w:t xml:space="preserve"> </w:t>
      </w:r>
    </w:p>
    <w:p w:rsidR="00C06C75" w:rsidRPr="00460CCE" w:rsidRDefault="00D7165E" w:rsidP="00C06C75">
      <w:pPr>
        <w:pStyle w:val="NumberedQuotationindent1"/>
        <w:numPr>
          <w:ilvl w:val="0"/>
          <w:numId w:val="0"/>
        </w:numPr>
        <w:ind w:left="2160" w:hanging="360"/>
        <w:rPr>
          <w:b/>
        </w:rPr>
      </w:pPr>
      <w:r w:rsidRPr="00460CCE">
        <w:rPr>
          <w:b/>
        </w:rPr>
        <w:t>(g) by Order of a Court</w:t>
      </w:r>
      <w:r w:rsidR="00C06C75" w:rsidRPr="00460CCE">
        <w:rPr>
          <w:b/>
        </w:rPr>
        <w:t xml:space="preserve"> –</w:t>
      </w:r>
      <w:r w:rsidRPr="00460CCE">
        <w:rPr>
          <w:b/>
        </w:rPr>
        <w:t xml:space="preserve"> </w:t>
      </w:r>
    </w:p>
    <w:p w:rsidR="00C06C75" w:rsidRPr="00460CCE" w:rsidRDefault="00C06C75" w:rsidP="00C06C75">
      <w:pPr>
        <w:pStyle w:val="NumberedQuotationindent1"/>
        <w:numPr>
          <w:ilvl w:val="0"/>
          <w:numId w:val="0"/>
        </w:numPr>
        <w:tabs>
          <w:tab w:val="left" w:pos="2520"/>
        </w:tabs>
        <w:ind w:left="2520" w:hanging="360"/>
        <w:rPr>
          <w:b/>
        </w:rPr>
      </w:pPr>
      <w:r w:rsidRPr="00460CCE">
        <w:rPr>
          <w:b/>
        </w:rPr>
        <w:t>(i)</w:t>
      </w:r>
      <w:r w:rsidRPr="00460CCE">
        <w:rPr>
          <w:b/>
        </w:rPr>
        <w:tab/>
      </w:r>
      <w:r w:rsidR="00D7165E" w:rsidRPr="00460CCE">
        <w:rPr>
          <w:b/>
        </w:rPr>
        <w:t xml:space="preserve">to provide any information maintained in the register of beneficial owners; or </w:t>
      </w:r>
    </w:p>
    <w:p w:rsidR="00C06C75" w:rsidRPr="00460CCE" w:rsidRDefault="00D7165E" w:rsidP="00C06C75">
      <w:pPr>
        <w:pStyle w:val="NumberedQuotationindent1"/>
        <w:numPr>
          <w:ilvl w:val="0"/>
          <w:numId w:val="0"/>
        </w:numPr>
        <w:ind w:left="2520" w:hanging="360"/>
        <w:rPr>
          <w:b/>
        </w:rPr>
      </w:pPr>
      <w:r w:rsidRPr="00460CCE">
        <w:rPr>
          <w:b/>
        </w:rPr>
        <w:t xml:space="preserve">(ii) to inspect the register so maintained under section 5, </w:t>
      </w:r>
    </w:p>
    <w:p w:rsidR="00C06C75" w:rsidRDefault="00D7165E" w:rsidP="00C06C75">
      <w:pPr>
        <w:pStyle w:val="NumberedQuotationindent1"/>
        <w:numPr>
          <w:ilvl w:val="0"/>
          <w:numId w:val="0"/>
        </w:numPr>
        <w:ind w:left="1800"/>
      </w:pPr>
      <w:r w:rsidRPr="00B91908">
        <w:t>the resident agent shall provide the information or make available for inspection the register of beneficial owners within the time specified in the written notice or Order.</w:t>
      </w:r>
    </w:p>
    <w:p w:rsidR="00C06C75" w:rsidRDefault="00C06C75" w:rsidP="00C06C75">
      <w:pPr>
        <w:pStyle w:val="NumberedQuotationindent1"/>
        <w:numPr>
          <w:ilvl w:val="0"/>
          <w:numId w:val="0"/>
        </w:numPr>
        <w:ind w:left="1800"/>
      </w:pPr>
    </w:p>
    <w:p w:rsidR="00C06C75" w:rsidRDefault="00D7165E" w:rsidP="00C06C75">
      <w:pPr>
        <w:pStyle w:val="NumberedQuotationindent1"/>
        <w:numPr>
          <w:ilvl w:val="0"/>
          <w:numId w:val="0"/>
        </w:numPr>
        <w:ind w:left="1800" w:hanging="360"/>
      </w:pPr>
      <w:r w:rsidRPr="00B91908">
        <w:t>(2) A resident agent, who or which fails to comply with subsection (1) shall be liable to a penalty not exceeding SCR50,000 for each such failure.</w:t>
      </w:r>
    </w:p>
    <w:p w:rsidR="00C06C75" w:rsidRDefault="00C06C75" w:rsidP="00C06C75">
      <w:pPr>
        <w:pStyle w:val="NumberedQuotationindent1"/>
        <w:numPr>
          <w:ilvl w:val="0"/>
          <w:numId w:val="0"/>
        </w:numPr>
        <w:ind w:left="1800" w:hanging="360"/>
      </w:pPr>
    </w:p>
    <w:p w:rsidR="00D7165E" w:rsidRDefault="00D7165E" w:rsidP="00C06C75">
      <w:pPr>
        <w:pStyle w:val="NumberedQuotationindent1"/>
        <w:numPr>
          <w:ilvl w:val="0"/>
          <w:numId w:val="0"/>
        </w:numPr>
        <w:ind w:left="1800" w:hanging="360"/>
      </w:pPr>
      <w:r w:rsidRPr="00B91908">
        <w:t>(3) A resident agent, who or which intentionally provides false or misleading information as requested under subsection (1) commits an offence and shall be liable on conviction to imprisonment for a term not exceeding 2 years or to a fine not exceeding SCR50,000 or to both.</w:t>
      </w:r>
    </w:p>
    <w:p w:rsidR="00C06C75" w:rsidRPr="00B91908" w:rsidRDefault="00C06C75" w:rsidP="00C06C75">
      <w:pPr>
        <w:pStyle w:val="NumberedQuotationindent1"/>
        <w:numPr>
          <w:ilvl w:val="0"/>
          <w:numId w:val="0"/>
        </w:numPr>
        <w:ind w:left="1800" w:hanging="360"/>
      </w:pPr>
    </w:p>
    <w:p w:rsidR="00935845" w:rsidRPr="00652E85" w:rsidRDefault="00AE0FB8" w:rsidP="00935845">
      <w:pPr>
        <w:pStyle w:val="JudgmentText"/>
      </w:pPr>
      <w:r w:rsidRPr="00DA1EE7">
        <w:t>Although section 173</w:t>
      </w:r>
      <w:r w:rsidR="009F10EF">
        <w:t>(2)</w:t>
      </w:r>
      <w:r w:rsidR="0016490E">
        <w:t xml:space="preserve"> of the IBC Act</w:t>
      </w:r>
      <w:r w:rsidRPr="00DA1EE7">
        <w:t xml:space="preserve"> does not expressly provide for furnishing </w:t>
      </w:r>
      <w:r w:rsidR="00460CCE">
        <w:t>of</w:t>
      </w:r>
      <w:r w:rsidRPr="00DA1EE7">
        <w:t xml:space="preserve"> records </w:t>
      </w:r>
      <w:r w:rsidR="00652E85">
        <w:t xml:space="preserve">by an IBC </w:t>
      </w:r>
      <w:r w:rsidR="00460CCE">
        <w:t xml:space="preserve">pursuant to </w:t>
      </w:r>
      <w:r w:rsidRPr="00DA1EE7">
        <w:t xml:space="preserve">a court order it does not limit the </w:t>
      </w:r>
      <w:r w:rsidR="00935845">
        <w:t xml:space="preserve">furnishing of such records only </w:t>
      </w:r>
      <w:r w:rsidR="00652E85">
        <w:t xml:space="preserve">upon request of </w:t>
      </w:r>
      <w:r w:rsidR="00460CCE">
        <w:t xml:space="preserve">the </w:t>
      </w:r>
      <w:r w:rsidR="0016490E">
        <w:t>SRC</w:t>
      </w:r>
      <w:r w:rsidRPr="00DA1EE7">
        <w:t>, the FIU and the Registrar</w:t>
      </w:r>
      <w:r w:rsidR="00460CCE">
        <w:t xml:space="preserve">. The wording of section 173(2) suggests that </w:t>
      </w:r>
      <w:r w:rsidR="00460CCE" w:rsidRPr="00652E85">
        <w:t xml:space="preserve">records </w:t>
      </w:r>
      <w:r w:rsidR="009F10EF" w:rsidRPr="00652E85">
        <w:t xml:space="preserve">must </w:t>
      </w:r>
      <w:r w:rsidR="00460CCE" w:rsidRPr="00652E85">
        <w:t xml:space="preserve">be furnished when ordered by a </w:t>
      </w:r>
      <w:r w:rsidR="00B521DD">
        <w:t>C</w:t>
      </w:r>
      <w:r w:rsidR="00460CCE" w:rsidRPr="00652E85">
        <w:t xml:space="preserve">ourt </w:t>
      </w:r>
      <w:r w:rsidR="006F7D9C" w:rsidRPr="00652E85">
        <w:t xml:space="preserve">provided that </w:t>
      </w:r>
      <w:r w:rsidR="00460CCE" w:rsidRPr="00652E85">
        <w:t>a</w:t>
      </w:r>
      <w:r w:rsidR="006F7D9C" w:rsidRPr="00652E85">
        <w:t xml:space="preserve"> request for </w:t>
      </w:r>
      <w:r w:rsidR="00460CCE" w:rsidRPr="00652E85">
        <w:t>the same</w:t>
      </w:r>
      <w:r w:rsidR="006F7D9C" w:rsidRPr="00652E85">
        <w:t xml:space="preserve"> is made pursuant to a written law. </w:t>
      </w:r>
      <w:r w:rsidR="00652E85" w:rsidRPr="00652E85">
        <w:t>U</w:t>
      </w:r>
      <w:r w:rsidR="004613B6" w:rsidRPr="00652E85">
        <w:t xml:space="preserve">nder the BO Act, </w:t>
      </w:r>
      <w:r w:rsidR="00B521DD" w:rsidRPr="00652E85">
        <w:t>resident agents must provide</w:t>
      </w:r>
      <w:r w:rsidR="00B521DD">
        <w:t xml:space="preserve"> </w:t>
      </w:r>
      <w:r w:rsidR="004613B6" w:rsidRPr="00652E85">
        <w:t xml:space="preserve">information maintained in the </w:t>
      </w:r>
      <w:r w:rsidR="006F7D9C" w:rsidRPr="00652E85">
        <w:t>register of Beneficial Owners</w:t>
      </w:r>
      <w:r w:rsidR="004613B6" w:rsidRPr="00652E85">
        <w:t xml:space="preserve"> when requested by a C</w:t>
      </w:r>
      <w:r w:rsidR="000D728C" w:rsidRPr="00652E85">
        <w:t>ourt order</w:t>
      </w:r>
      <w:r w:rsidR="006F7D9C" w:rsidRPr="00652E85">
        <w:t>.</w:t>
      </w:r>
    </w:p>
    <w:p w:rsidR="00935845" w:rsidRDefault="00AE0FB8" w:rsidP="00935845">
      <w:pPr>
        <w:pStyle w:val="JudgmentText"/>
      </w:pPr>
      <w:r w:rsidRPr="00935845">
        <w:lastRenderedPageBreak/>
        <w:t xml:space="preserve">Section 129 of the IBC Act </w:t>
      </w:r>
      <w:r w:rsidR="00460CCE">
        <w:t xml:space="preserve">further </w:t>
      </w:r>
      <w:r w:rsidRPr="00935845">
        <w:t>provides that wherever an obligation or duty is placed on a company</w:t>
      </w:r>
      <w:r w:rsidR="0016490E" w:rsidRPr="0016490E">
        <w:t xml:space="preserve"> </w:t>
      </w:r>
      <w:r w:rsidR="0016490E">
        <w:t>in that Act</w:t>
      </w:r>
      <w:r w:rsidRPr="00935845">
        <w:t xml:space="preserve">, </w:t>
      </w:r>
      <w:r w:rsidR="0016490E">
        <w:t xml:space="preserve">unless otherwise provided </w:t>
      </w:r>
      <w:r w:rsidR="00935845">
        <w:t xml:space="preserve">such </w:t>
      </w:r>
      <w:r w:rsidR="0016490E" w:rsidRPr="00935845">
        <w:t xml:space="preserve">obligation or duty </w:t>
      </w:r>
      <w:r w:rsidRPr="00935845">
        <w:t xml:space="preserve">shall be carried </w:t>
      </w:r>
      <w:r w:rsidRPr="00242BDE">
        <w:t xml:space="preserve">out by the directors of the company. </w:t>
      </w:r>
      <w:r w:rsidR="00460CCE" w:rsidRPr="00242BDE">
        <w:t>According to that provision t</w:t>
      </w:r>
      <w:r w:rsidRPr="00242BDE">
        <w:t xml:space="preserve">herefore, the duty to furnish the records under section 173 </w:t>
      </w:r>
      <w:r w:rsidR="003034D2" w:rsidRPr="00242BDE">
        <w:t xml:space="preserve">of the IBC Act </w:t>
      </w:r>
      <w:r w:rsidRPr="00242BDE">
        <w:t xml:space="preserve">is </w:t>
      </w:r>
      <w:r w:rsidR="00460CCE" w:rsidRPr="00242BDE">
        <w:t xml:space="preserve">placed </w:t>
      </w:r>
      <w:r w:rsidRPr="00242BDE">
        <w:t xml:space="preserve">upon </w:t>
      </w:r>
      <w:r w:rsidR="00935845" w:rsidRPr="00242BDE">
        <w:t xml:space="preserve">the </w:t>
      </w:r>
      <w:r w:rsidRPr="00242BDE">
        <w:t>directors of an IBC</w:t>
      </w:r>
      <w:r w:rsidR="00935845" w:rsidRPr="00242BDE">
        <w:t xml:space="preserve"> and</w:t>
      </w:r>
      <w:r w:rsidRPr="00242BDE">
        <w:t xml:space="preserve"> not the </w:t>
      </w:r>
      <w:r w:rsidR="00935845" w:rsidRPr="00242BDE">
        <w:t>registered a</w:t>
      </w:r>
      <w:r w:rsidRPr="00242BDE">
        <w:t xml:space="preserve">gent. The </w:t>
      </w:r>
      <w:r w:rsidR="00935845" w:rsidRPr="00242BDE">
        <w:t xml:space="preserve">registered agent only </w:t>
      </w:r>
      <w:r w:rsidRPr="00242BDE">
        <w:t xml:space="preserve">needs to </w:t>
      </w:r>
      <w:r w:rsidR="00935845" w:rsidRPr="00242BDE">
        <w:t>en</w:t>
      </w:r>
      <w:r w:rsidRPr="00242BDE">
        <w:t>sure that an IBC is in</w:t>
      </w:r>
      <w:r w:rsidRPr="00935845">
        <w:t xml:space="preserve"> compliance with </w:t>
      </w:r>
      <w:r w:rsidR="0016490E">
        <w:t>its</w:t>
      </w:r>
      <w:r w:rsidRPr="00935845">
        <w:t xml:space="preserve"> “record keeping requirements”. The </w:t>
      </w:r>
      <w:r w:rsidR="00935845" w:rsidRPr="00935845">
        <w:t xml:space="preserve">registered agent </w:t>
      </w:r>
      <w:r w:rsidRPr="00935845">
        <w:t xml:space="preserve">can </w:t>
      </w:r>
      <w:r w:rsidR="00935845" w:rsidRPr="00935845">
        <w:t xml:space="preserve">therefore </w:t>
      </w:r>
      <w:r w:rsidRPr="00935845">
        <w:t xml:space="preserve">request the documents and information from the company’s directors, </w:t>
      </w:r>
      <w:r w:rsidR="003034D2">
        <w:t>but</w:t>
      </w:r>
      <w:r w:rsidRPr="00935845">
        <w:t xml:space="preserve"> if the directors refuse to provide such information</w:t>
      </w:r>
      <w:r w:rsidR="00935845">
        <w:t>,</w:t>
      </w:r>
      <w:r w:rsidR="00831FE2">
        <w:t xml:space="preserve"> </w:t>
      </w:r>
      <w:r w:rsidRPr="00935845">
        <w:t xml:space="preserve">the </w:t>
      </w:r>
      <w:r w:rsidR="00935845" w:rsidRPr="00935845">
        <w:t>registered agent</w:t>
      </w:r>
      <w:r w:rsidRPr="00935845">
        <w:t xml:space="preserve"> can </w:t>
      </w:r>
      <w:r w:rsidR="00460CCE">
        <w:t>only</w:t>
      </w:r>
      <w:r w:rsidRPr="00935845">
        <w:t xml:space="preserve"> report the non-compliance to the F</w:t>
      </w:r>
      <w:r w:rsidR="006C042F">
        <w:t>SA</w:t>
      </w:r>
      <w:r w:rsidRPr="00935845">
        <w:t xml:space="preserve"> or the Registrar, which can </w:t>
      </w:r>
      <w:r w:rsidR="00935845" w:rsidRPr="00935845">
        <w:t>then</w:t>
      </w:r>
      <w:r w:rsidR="00652E85">
        <w:t xml:space="preserve"> sanction the offending company and/or director. Such sanction may be a</w:t>
      </w:r>
      <w:r w:rsidRPr="00935845">
        <w:t xml:space="preserve"> fine upon </w:t>
      </w:r>
      <w:r w:rsidR="00935845">
        <w:t xml:space="preserve">the </w:t>
      </w:r>
      <w:r w:rsidRPr="00935845">
        <w:t xml:space="preserve">company and/or </w:t>
      </w:r>
      <w:r w:rsidR="00935845">
        <w:t xml:space="preserve">the </w:t>
      </w:r>
      <w:r w:rsidRPr="00935845">
        <w:t xml:space="preserve">director. </w:t>
      </w:r>
      <w:r w:rsidR="00652E85">
        <w:t>An IBC may also be</w:t>
      </w:r>
      <w:r w:rsidRPr="00935845">
        <w:t xml:space="preserve"> struck off from the Registrar</w:t>
      </w:r>
      <w:r w:rsidR="00935845">
        <w:t>’s</w:t>
      </w:r>
      <w:r w:rsidR="006C042F">
        <w:t xml:space="preserve"> list of IBCs </w:t>
      </w:r>
      <w:r w:rsidRPr="00935845">
        <w:t>under section 272(1)(b)(iii) and (iv)</w:t>
      </w:r>
      <w:r w:rsidR="00242BDE">
        <w:t xml:space="preserve"> respectively,</w:t>
      </w:r>
      <w:r w:rsidRPr="00935845">
        <w:t xml:space="preserve"> if the company fails to comply with a request made pursuant to </w:t>
      </w:r>
      <w:r w:rsidR="00935845">
        <w:t>the IBC</w:t>
      </w:r>
      <w:r w:rsidRPr="00935845">
        <w:t xml:space="preserve"> Act or other written law of Seychelles by the S</w:t>
      </w:r>
      <w:r w:rsidR="00242BDE">
        <w:t>RC,</w:t>
      </w:r>
      <w:r w:rsidRPr="00935845">
        <w:t xml:space="preserve"> the F</w:t>
      </w:r>
      <w:r w:rsidR="00242BDE">
        <w:t>IU</w:t>
      </w:r>
      <w:r w:rsidRPr="00935845">
        <w:t xml:space="preserve"> or the Registrar</w:t>
      </w:r>
      <w:r w:rsidR="00652E85" w:rsidRPr="00652E85">
        <w:t xml:space="preserve"> </w:t>
      </w:r>
      <w:r w:rsidR="00652E85" w:rsidRPr="00935845">
        <w:t>for a document or information</w:t>
      </w:r>
      <w:r w:rsidRPr="00935845">
        <w:t xml:space="preserve">; </w:t>
      </w:r>
      <w:r w:rsidR="00242BDE">
        <w:t xml:space="preserve">or </w:t>
      </w:r>
      <w:r w:rsidRPr="00935845">
        <w:t>fails to keep a register of directors, register of members, register of charges</w:t>
      </w:r>
      <w:r w:rsidR="00C448A6">
        <w:t xml:space="preserve">, </w:t>
      </w:r>
      <w:r w:rsidRPr="00935845">
        <w:t xml:space="preserve">accounting records </w:t>
      </w:r>
      <w:r w:rsidR="00C448A6" w:rsidRPr="00935845">
        <w:t xml:space="preserve">or any other records </w:t>
      </w:r>
      <w:r w:rsidRPr="00935845">
        <w:t>required to be kept by it under the IBC Act.</w:t>
      </w:r>
    </w:p>
    <w:p w:rsidR="00A46982" w:rsidRDefault="00C448A6" w:rsidP="001903A8">
      <w:pPr>
        <w:pStyle w:val="JudgmentText"/>
      </w:pPr>
      <w:r>
        <w:t>Although t</w:t>
      </w:r>
      <w:r w:rsidR="00AE0FB8" w:rsidRPr="00935845">
        <w:t xml:space="preserve">he list of ‘records’ </w:t>
      </w:r>
      <w:r w:rsidR="006C042F">
        <w:t>enumerated under se</w:t>
      </w:r>
      <w:r w:rsidR="00AE0FB8" w:rsidRPr="00935845">
        <w:t>ction 173</w:t>
      </w:r>
      <w:r w:rsidR="006C042F">
        <w:t>(1)</w:t>
      </w:r>
      <w:r w:rsidR="00AE0FB8" w:rsidRPr="00935845">
        <w:t xml:space="preserve"> seem exhaustive</w:t>
      </w:r>
      <w:r w:rsidR="00935845">
        <w:t xml:space="preserve">, </w:t>
      </w:r>
      <w:r w:rsidR="00A46982">
        <w:t>it is</w:t>
      </w:r>
      <w:r w:rsidR="00AE0FB8" w:rsidRPr="00935845">
        <w:t xml:space="preserve"> doubtful that where information</w:t>
      </w:r>
      <w:r>
        <w:t xml:space="preserve"> other than those listed</w:t>
      </w:r>
      <w:r w:rsidR="00AE0FB8" w:rsidRPr="00935845">
        <w:t xml:space="preserve"> is requested by the authorities, </w:t>
      </w:r>
      <w:r>
        <w:t xml:space="preserve">an </w:t>
      </w:r>
      <w:r w:rsidR="00AE0FB8" w:rsidRPr="00935845">
        <w:t xml:space="preserve">IBC may simply refuse to provide such information simply because it is not </w:t>
      </w:r>
      <w:r>
        <w:t>specified in that provision. I</w:t>
      </w:r>
      <w:r w:rsidR="00AE0FB8" w:rsidRPr="00935845">
        <w:t xml:space="preserve">t </w:t>
      </w:r>
      <w:r w:rsidR="00A46982">
        <w:t>is important to note, as previously stated</w:t>
      </w:r>
      <w:r w:rsidR="00D06B53">
        <w:t>,</w:t>
      </w:r>
      <w:r w:rsidR="00A46982">
        <w:t xml:space="preserve"> </w:t>
      </w:r>
      <w:r w:rsidR="00AE0FB8" w:rsidRPr="00935845">
        <w:t xml:space="preserve">that the duty </w:t>
      </w:r>
      <w:r w:rsidR="00A46982" w:rsidRPr="00935845">
        <w:t>to provide information</w:t>
      </w:r>
      <w:r>
        <w:t xml:space="preserve"> under section 173</w:t>
      </w:r>
      <w:r w:rsidR="00A46982" w:rsidRPr="00935845">
        <w:t xml:space="preserve"> </w:t>
      </w:r>
      <w:r w:rsidR="00AE0FB8" w:rsidRPr="00935845">
        <w:t>is on the IBC</w:t>
      </w:r>
      <w:r w:rsidR="00D06B53">
        <w:t xml:space="preserve"> and its directors</w:t>
      </w:r>
      <w:r w:rsidR="00AE0FB8" w:rsidRPr="00935845">
        <w:t xml:space="preserve"> </w:t>
      </w:r>
      <w:r w:rsidR="00A46982">
        <w:t xml:space="preserve">and </w:t>
      </w:r>
      <w:r w:rsidR="00AE0FB8" w:rsidRPr="00935845">
        <w:t xml:space="preserve">not on the </w:t>
      </w:r>
      <w:r w:rsidR="006C042F">
        <w:t>r</w:t>
      </w:r>
      <w:r w:rsidR="00AE0FB8" w:rsidRPr="00935845">
        <w:t>egistered</w:t>
      </w:r>
      <w:r w:rsidR="006C042F">
        <w:t xml:space="preserve"> a</w:t>
      </w:r>
      <w:r w:rsidR="00AE0FB8" w:rsidRPr="00935845">
        <w:t>gent.</w:t>
      </w:r>
    </w:p>
    <w:p w:rsidR="00A46982" w:rsidRPr="00867257" w:rsidRDefault="00AE0FB8" w:rsidP="00A46982">
      <w:pPr>
        <w:pStyle w:val="JudgmentText"/>
      </w:pPr>
      <w:r w:rsidRPr="00867257">
        <w:t xml:space="preserve">ACT has provided some of the documents </w:t>
      </w:r>
      <w:r w:rsidR="00242BDE">
        <w:t>as required</w:t>
      </w:r>
      <w:r w:rsidRPr="00867257">
        <w:t xml:space="preserve"> by the Court Order</w:t>
      </w:r>
      <w:r w:rsidR="006C042F" w:rsidRPr="00867257">
        <w:t xml:space="preserve"> of 18</w:t>
      </w:r>
      <w:r w:rsidR="006C042F" w:rsidRPr="00867257">
        <w:rPr>
          <w:vertAlign w:val="superscript"/>
        </w:rPr>
        <w:t>th</w:t>
      </w:r>
      <w:r w:rsidR="006C042F" w:rsidRPr="00867257">
        <w:t xml:space="preserve"> February 2021</w:t>
      </w:r>
      <w:r w:rsidR="00242BDE">
        <w:t>,</w:t>
      </w:r>
      <w:r w:rsidR="006B727A">
        <w:t xml:space="preserve"> as </w:t>
      </w:r>
      <w:r w:rsidR="006C042F" w:rsidRPr="00867257">
        <w:t xml:space="preserve">stated at </w:t>
      </w:r>
      <w:r w:rsidRPr="00867257">
        <w:t xml:space="preserve">paragraph 4 of </w:t>
      </w:r>
      <w:r w:rsidR="00242BDE">
        <w:t>C</w:t>
      </w:r>
      <w:r w:rsidR="006C042F" w:rsidRPr="00867257">
        <w:t>ounsel for the applicant’s submissions</w:t>
      </w:r>
      <w:r w:rsidR="006B727A">
        <w:t>, but he does not specify which documents have been provided</w:t>
      </w:r>
      <w:r w:rsidRPr="00867257">
        <w:t xml:space="preserve">. </w:t>
      </w:r>
      <w:r w:rsidR="006B727A">
        <w:t>Since th</w:t>
      </w:r>
      <w:r w:rsidRPr="00867257">
        <w:t xml:space="preserve">e following documents are no longer being requested by the </w:t>
      </w:r>
      <w:r w:rsidR="00A46982" w:rsidRPr="00867257">
        <w:t>a</w:t>
      </w:r>
      <w:r w:rsidRPr="00867257">
        <w:t xml:space="preserve">pplicant, it </w:t>
      </w:r>
      <w:r w:rsidR="00A46982" w:rsidRPr="00867257">
        <w:t>would appear that</w:t>
      </w:r>
      <w:r w:rsidR="006B727A">
        <w:t xml:space="preserve"> it is those documents which have been provided namely</w:t>
      </w:r>
      <w:r w:rsidRPr="00867257">
        <w:t xml:space="preserve">: (i) Memorandum and Articles of Association; (ii) Registers of directors; (iii) Register of members; (v) Register of shares and pledges; (vi) Board Minutes and Resolutions of members and directors; (xi) The identity of the beneficial owner(s) of Kirkwell Inc. and Shanklin Holdings Ltd; </w:t>
      </w:r>
      <w:r w:rsidR="00A46982" w:rsidRPr="00867257">
        <w:t xml:space="preserve">and </w:t>
      </w:r>
      <w:r w:rsidRPr="00867257">
        <w:t xml:space="preserve">(xii) The identity of any third party </w:t>
      </w:r>
      <w:r w:rsidRPr="00867257">
        <w:lastRenderedPageBreak/>
        <w:t>intermediary who facilitated the formation of the business relationship between the respondent and Kirkwell Inc. and Shanklin Holdings Ltd</w:t>
      </w:r>
      <w:r w:rsidR="00A46982" w:rsidRPr="00867257">
        <w:t>.</w:t>
      </w:r>
      <w:r w:rsidRPr="00867257">
        <w:t xml:space="preserve"> </w:t>
      </w:r>
    </w:p>
    <w:p w:rsidR="00A46982" w:rsidRPr="00C365BC" w:rsidRDefault="00AE0FB8" w:rsidP="00A46982">
      <w:pPr>
        <w:pStyle w:val="JudgmentText"/>
      </w:pPr>
      <w:r w:rsidRPr="00C365BC">
        <w:t xml:space="preserve">The documents </w:t>
      </w:r>
      <w:r w:rsidR="00E50DD9" w:rsidRPr="00C365BC">
        <w:t xml:space="preserve">provided </w:t>
      </w:r>
      <w:r w:rsidR="00490541" w:rsidRPr="00C365BC">
        <w:t>are</w:t>
      </w:r>
      <w:r w:rsidRPr="00C365BC">
        <w:t xml:space="preserve"> th</w:t>
      </w:r>
      <w:r w:rsidR="00490541" w:rsidRPr="00C365BC">
        <w:t>ose re</w:t>
      </w:r>
      <w:r w:rsidRPr="00C365BC">
        <w:t xml:space="preserve">quired </w:t>
      </w:r>
      <w:r w:rsidR="00490541" w:rsidRPr="00C365BC">
        <w:t>to be kept by a</w:t>
      </w:r>
      <w:r w:rsidR="002C6D1D" w:rsidRPr="00C365BC">
        <w:t xml:space="preserve">n IBC </w:t>
      </w:r>
      <w:r w:rsidR="00490541" w:rsidRPr="00C365BC">
        <w:t>pursuant to its</w:t>
      </w:r>
      <w:r w:rsidRPr="00C365BC">
        <w:t xml:space="preserve"> “record keeping requirements”</w:t>
      </w:r>
      <w:r w:rsidR="00867257" w:rsidRPr="00C365BC">
        <w:t xml:space="preserve"> which its registered agent has a duty to ensure </w:t>
      </w:r>
      <w:r w:rsidR="00C365BC" w:rsidRPr="00C365BC">
        <w:t xml:space="preserve">the IBC </w:t>
      </w:r>
      <w:r w:rsidR="00867257" w:rsidRPr="00C365BC">
        <w:t>complies with</w:t>
      </w:r>
      <w:r w:rsidRPr="00C365BC">
        <w:t xml:space="preserve">. </w:t>
      </w:r>
      <w:r w:rsidR="00E50DD9" w:rsidRPr="00C365BC">
        <w:t xml:space="preserve">Provided that these are indeed the documents which have been disclosed, which the Court </w:t>
      </w:r>
      <w:r w:rsidR="00A44851" w:rsidRPr="00C365BC">
        <w:t xml:space="preserve">does not know for certain </w:t>
      </w:r>
      <w:r w:rsidR="00E50DD9" w:rsidRPr="00C365BC">
        <w:t>given that t</w:t>
      </w:r>
      <w:r w:rsidR="00867257" w:rsidRPr="00C365BC">
        <w:t>he</w:t>
      </w:r>
      <w:r w:rsidR="00A44851" w:rsidRPr="00C365BC">
        <w:t xml:space="preserve"> documents</w:t>
      </w:r>
      <w:r w:rsidR="00867257" w:rsidRPr="00C365BC">
        <w:t xml:space="preserve"> have not been </w:t>
      </w:r>
      <w:r w:rsidR="00A4599D" w:rsidRPr="00C365BC">
        <w:t>exhibited in support of the present application</w:t>
      </w:r>
      <w:r w:rsidRPr="00C365BC">
        <w:t xml:space="preserve">, it </w:t>
      </w:r>
      <w:r w:rsidR="00C365BC" w:rsidRPr="00C365BC">
        <w:t>would</w:t>
      </w:r>
      <w:r w:rsidR="00A44851" w:rsidRPr="00C365BC">
        <w:t xml:space="preserve"> appear</w:t>
      </w:r>
      <w:r w:rsidRPr="00C365BC">
        <w:t xml:space="preserve"> that the registered agent has </w:t>
      </w:r>
      <w:r w:rsidR="00C365BC" w:rsidRPr="00C365BC">
        <w:t xml:space="preserve">not </w:t>
      </w:r>
      <w:r w:rsidRPr="00C365BC">
        <w:t>contravened its duty to maintain records and documents relating to its clients</w:t>
      </w:r>
      <w:r w:rsidR="00242BDE" w:rsidRPr="00C365BC">
        <w:t xml:space="preserve"> under section 8 of the ICSP Act</w:t>
      </w:r>
      <w:r w:rsidR="00A44851" w:rsidRPr="00C365BC">
        <w:t xml:space="preserve"> and </w:t>
      </w:r>
      <w:r w:rsidRPr="00C365BC">
        <w:t>ha</w:t>
      </w:r>
      <w:r w:rsidR="00146E35" w:rsidRPr="00C365BC">
        <w:t xml:space="preserve">s </w:t>
      </w:r>
      <w:r w:rsidRPr="00C365BC">
        <w:t xml:space="preserve">furnished the records that </w:t>
      </w:r>
      <w:r w:rsidR="00146E35" w:rsidRPr="00C365BC">
        <w:t>it has</w:t>
      </w:r>
      <w:r w:rsidR="00D87C44" w:rsidRPr="00C365BC">
        <w:t xml:space="preserve"> in its possession</w:t>
      </w:r>
      <w:r w:rsidR="00146E35" w:rsidRPr="00C365BC">
        <w:t>.</w:t>
      </w:r>
      <w:r w:rsidRPr="00C365BC">
        <w:t xml:space="preserve"> </w:t>
      </w:r>
    </w:p>
    <w:p w:rsidR="00AE0FB8" w:rsidRDefault="00C365BC" w:rsidP="00A46982">
      <w:pPr>
        <w:pStyle w:val="JudgmentText"/>
      </w:pPr>
      <w:r>
        <w:t>I</w:t>
      </w:r>
      <w:r w:rsidR="00AE0FB8" w:rsidRPr="00A46982">
        <w:t xml:space="preserve">t is now necessary to examine whether the </w:t>
      </w:r>
      <w:r w:rsidR="00D87C44">
        <w:t xml:space="preserve">registered agent is </w:t>
      </w:r>
      <w:r w:rsidR="00D87C44" w:rsidRPr="00A46982">
        <w:t xml:space="preserve">required </w:t>
      </w:r>
      <w:r w:rsidR="00D87C44">
        <w:t xml:space="preserve">to keep the </w:t>
      </w:r>
      <w:r w:rsidR="00D87C44" w:rsidRPr="00A46982">
        <w:t>re</w:t>
      </w:r>
      <w:r w:rsidR="00D87C44">
        <w:t>mainder</w:t>
      </w:r>
      <w:r w:rsidR="00D87C44" w:rsidRPr="00A46982">
        <w:t xml:space="preserve"> of the requested documents and information</w:t>
      </w:r>
      <w:r w:rsidR="00D87C44">
        <w:t xml:space="preserve"> or </w:t>
      </w:r>
      <w:r w:rsidR="00D87C44" w:rsidRPr="00A46982">
        <w:t>obtain</w:t>
      </w:r>
      <w:r w:rsidR="00D87C44">
        <w:t xml:space="preserve"> them</w:t>
      </w:r>
      <w:r w:rsidR="00D87C44" w:rsidRPr="00A46982">
        <w:t xml:space="preserve"> from the third parties</w:t>
      </w:r>
      <w:r w:rsidR="00AE0FB8" w:rsidRPr="00A46982">
        <w:t>.</w:t>
      </w:r>
    </w:p>
    <w:p w:rsidR="00AE0FB8" w:rsidRPr="0018325D" w:rsidRDefault="00AE0FB8" w:rsidP="00A13379">
      <w:pPr>
        <w:pStyle w:val="Attorneysnames"/>
        <w:rPr>
          <w:lang w:val="en-GB"/>
        </w:rPr>
      </w:pPr>
      <w:r w:rsidRPr="0018325D">
        <w:rPr>
          <w:lang w:val="en-GB"/>
        </w:rPr>
        <w:t>Any nominee or other trust documents of any kind whatsoever</w:t>
      </w:r>
    </w:p>
    <w:p w:rsidR="00420E39" w:rsidRPr="0018325D" w:rsidRDefault="00AE0FB8" w:rsidP="00420E39">
      <w:pPr>
        <w:pStyle w:val="JudgmentText"/>
      </w:pPr>
      <w:r w:rsidRPr="0018325D">
        <w:t xml:space="preserve">Section 2 of the ICSP Act provides that “international corporate services” </w:t>
      </w:r>
      <w:r w:rsidR="006F2475" w:rsidRPr="0018325D">
        <w:t xml:space="preserve">means, among other services provided in or from Seychelles “serving as a nominee shareholder </w:t>
      </w:r>
      <w:r w:rsidRPr="0018325D">
        <w:t>in a specified entity</w:t>
      </w:r>
      <w:r w:rsidR="006F2475" w:rsidRPr="0018325D">
        <w:t>”.</w:t>
      </w:r>
      <w:r w:rsidRPr="0018325D">
        <w:t xml:space="preserve"> Paragraph 24.2 of the Code </w:t>
      </w:r>
      <w:r w:rsidR="006F2475" w:rsidRPr="0018325D">
        <w:t xml:space="preserve">for ICSPs </w:t>
      </w:r>
      <w:r w:rsidRPr="0018325D">
        <w:t xml:space="preserve">states that, </w:t>
      </w:r>
      <w:r w:rsidRPr="0018325D">
        <w:rPr>
          <w:i/>
        </w:rPr>
        <w:t>“where a licensee acts as, provides or arranges for others to provide, a nominee shareholder (whether as a registered shareholder or as a registered bearer or otherwise to hold shares on behalf of another) of a client company, the licensee must ensure that it has in place a written nominee agreement or such other nominee agreement”</w:t>
      </w:r>
      <w:r w:rsidRPr="0018325D">
        <w:t xml:space="preserve">. </w:t>
      </w:r>
    </w:p>
    <w:p w:rsidR="00420E39" w:rsidRPr="0018325D" w:rsidRDefault="00F57321" w:rsidP="00420E39">
      <w:pPr>
        <w:pStyle w:val="JudgmentText"/>
      </w:pPr>
      <w:r w:rsidRPr="0018325D">
        <w:t>When</w:t>
      </w:r>
      <w:r w:rsidR="006F2475" w:rsidRPr="0018325D">
        <w:t xml:space="preserve"> such a service is provided by the registered agent, </w:t>
      </w:r>
      <w:r w:rsidR="00AE0FB8" w:rsidRPr="0018325D">
        <w:t>the nominee agreement and/or trust documents should be kept</w:t>
      </w:r>
      <w:r w:rsidR="006F2475" w:rsidRPr="0018325D">
        <w:t xml:space="preserve"> by </w:t>
      </w:r>
      <w:r w:rsidRPr="0018325D">
        <w:t>that</w:t>
      </w:r>
      <w:r w:rsidR="006F2475" w:rsidRPr="0018325D">
        <w:t xml:space="preserve"> </w:t>
      </w:r>
      <w:r w:rsidRPr="0018325D">
        <w:t xml:space="preserve">registered </w:t>
      </w:r>
      <w:r w:rsidR="006F2475" w:rsidRPr="0018325D">
        <w:t>agent</w:t>
      </w:r>
      <w:r w:rsidR="00AE0FB8" w:rsidRPr="0018325D">
        <w:t xml:space="preserve">. </w:t>
      </w:r>
      <w:r w:rsidR="000604CF" w:rsidRPr="0018325D">
        <w:t>However w</w:t>
      </w:r>
      <w:r w:rsidR="00AE0FB8" w:rsidRPr="0018325D">
        <w:t xml:space="preserve">here the </w:t>
      </w:r>
      <w:r w:rsidRPr="0018325D">
        <w:t xml:space="preserve">registered agent’s </w:t>
      </w:r>
      <w:r w:rsidR="00AE0FB8" w:rsidRPr="0018325D">
        <w:t>client</w:t>
      </w:r>
      <w:r w:rsidR="004F24CF" w:rsidRPr="0018325D">
        <w:t xml:space="preserve"> i.e. an IBC</w:t>
      </w:r>
      <w:r w:rsidR="006F2475" w:rsidRPr="0018325D">
        <w:t xml:space="preserve"> </w:t>
      </w:r>
      <w:r w:rsidR="00AE0FB8" w:rsidRPr="0018325D">
        <w:t xml:space="preserve">is </w:t>
      </w:r>
      <w:r w:rsidR="000604CF" w:rsidRPr="0018325D">
        <w:t xml:space="preserve">a </w:t>
      </w:r>
      <w:r w:rsidR="00AE0FB8" w:rsidRPr="0018325D">
        <w:t>direct shareholder or ultimate beneficial owner</w:t>
      </w:r>
      <w:r w:rsidRPr="0018325D">
        <w:t xml:space="preserve"> of another company</w:t>
      </w:r>
      <w:r w:rsidR="00AE0FB8" w:rsidRPr="0018325D">
        <w:t xml:space="preserve"> </w:t>
      </w:r>
      <w:r w:rsidR="000604CF" w:rsidRPr="0018325D">
        <w:t xml:space="preserve">by </w:t>
      </w:r>
      <w:r w:rsidR="006C262A" w:rsidRPr="0018325D">
        <w:t>the use of</w:t>
      </w:r>
      <w:r w:rsidR="004F24CF" w:rsidRPr="0018325D">
        <w:t xml:space="preserve"> </w:t>
      </w:r>
      <w:r w:rsidR="00AE0FB8" w:rsidRPr="0018325D">
        <w:t xml:space="preserve">other </w:t>
      </w:r>
      <w:r w:rsidRPr="0018325D">
        <w:t xml:space="preserve">corporate </w:t>
      </w:r>
      <w:r w:rsidR="00AE0FB8" w:rsidRPr="0018325D">
        <w:t>structur</w:t>
      </w:r>
      <w:r w:rsidR="000604CF" w:rsidRPr="0018325D">
        <w:t>es</w:t>
      </w:r>
      <w:r w:rsidR="00AE0FB8" w:rsidRPr="0018325D">
        <w:t xml:space="preserve"> (e</w:t>
      </w:r>
      <w:r w:rsidR="000604CF" w:rsidRPr="0018325D">
        <w:t>.</w:t>
      </w:r>
      <w:r w:rsidR="00AE0FB8" w:rsidRPr="0018325D">
        <w:t>g</w:t>
      </w:r>
      <w:r w:rsidR="000604CF" w:rsidRPr="0018325D">
        <w:t>.</w:t>
      </w:r>
      <w:r w:rsidR="00AE0FB8" w:rsidRPr="0018325D">
        <w:t xml:space="preserve"> </w:t>
      </w:r>
      <w:r w:rsidRPr="0018325D">
        <w:t>it is</w:t>
      </w:r>
      <w:r w:rsidR="00AE0FB8" w:rsidRPr="0018325D">
        <w:t xml:space="preserve"> </w:t>
      </w:r>
      <w:r w:rsidR="000604CF" w:rsidRPr="0018325D">
        <w:t xml:space="preserve">a </w:t>
      </w:r>
      <w:r w:rsidR="00AE0FB8" w:rsidRPr="0018325D">
        <w:t>direct shareholder of another company B which holds shares in the main company A)</w:t>
      </w:r>
      <w:r w:rsidRPr="0018325D">
        <w:t>,</w:t>
      </w:r>
      <w:r w:rsidR="00AE0FB8" w:rsidRPr="0018325D">
        <w:t xml:space="preserve"> there might not be any nominee agreement and/or trust declaration</w:t>
      </w:r>
      <w:r w:rsidR="004F24CF" w:rsidRPr="0018325D">
        <w:t xml:space="preserve"> between the registered agent and </w:t>
      </w:r>
      <w:r w:rsidR="007F5079" w:rsidRPr="0018325D">
        <w:t>IBC</w:t>
      </w:r>
      <w:r w:rsidR="00AE0FB8" w:rsidRPr="0018325D">
        <w:t>.</w:t>
      </w:r>
    </w:p>
    <w:p w:rsidR="00420E39" w:rsidRPr="0018325D" w:rsidRDefault="00AE0FB8" w:rsidP="00420E39">
      <w:pPr>
        <w:pStyle w:val="JudgmentText"/>
      </w:pPr>
      <w:r w:rsidRPr="0018325D">
        <w:t>In the b</w:t>
      </w:r>
      <w:r w:rsidR="00946D68" w:rsidRPr="0018325D">
        <w:t>undle</w:t>
      </w:r>
      <w:r w:rsidR="00420E39" w:rsidRPr="0018325D">
        <w:t xml:space="preserve"> of</w:t>
      </w:r>
      <w:r w:rsidRPr="0018325D">
        <w:t xml:space="preserve"> documents attached </w:t>
      </w:r>
      <w:r w:rsidR="00760C2A" w:rsidRPr="0018325D">
        <w:t>to</w:t>
      </w:r>
      <w:r w:rsidRPr="0018325D">
        <w:t xml:space="preserve"> the Order </w:t>
      </w:r>
      <w:r w:rsidR="00760C2A" w:rsidRPr="0018325D">
        <w:t>of</w:t>
      </w:r>
      <w:r w:rsidRPr="0018325D">
        <w:t xml:space="preserve"> Dismissal </w:t>
      </w:r>
      <w:r w:rsidR="00760C2A" w:rsidRPr="0018325D">
        <w:t>of</w:t>
      </w:r>
      <w:r w:rsidRPr="0018325D">
        <w:t xml:space="preserve"> the complaint against Mrs Bourlakova and her daughter</w:t>
      </w:r>
      <w:r w:rsidR="00760C2A" w:rsidRPr="0018325D">
        <w:t xml:space="preserve"> in Switzerland</w:t>
      </w:r>
      <w:r w:rsidRPr="0018325D">
        <w:t xml:space="preserve">, </w:t>
      </w:r>
      <w:r w:rsidR="007B4C4A" w:rsidRPr="0018325D">
        <w:t>is</w:t>
      </w:r>
      <w:r w:rsidR="00760C2A" w:rsidRPr="0018325D">
        <w:t xml:space="preserve"> </w:t>
      </w:r>
      <w:r w:rsidR="003D137C" w:rsidRPr="0018325D">
        <w:t xml:space="preserve">a document showing </w:t>
      </w:r>
      <w:r w:rsidR="000604CF" w:rsidRPr="0018325D">
        <w:t xml:space="preserve">the </w:t>
      </w:r>
      <w:r w:rsidRPr="0018325D">
        <w:t>structure of the holding companies</w:t>
      </w:r>
      <w:r w:rsidR="00760C2A" w:rsidRPr="0018325D">
        <w:t xml:space="preserve"> owning shares in “La Reserve” (p</w:t>
      </w:r>
      <w:r w:rsidR="003D137C" w:rsidRPr="0018325D">
        <w:t>a</w:t>
      </w:r>
      <w:r w:rsidR="00760C2A" w:rsidRPr="0018325D">
        <w:t>g</w:t>
      </w:r>
      <w:r w:rsidR="003D137C" w:rsidRPr="0018325D">
        <w:t>e</w:t>
      </w:r>
      <w:r w:rsidR="00760C2A" w:rsidRPr="0018325D">
        <w:t xml:space="preserve"> 46)</w:t>
      </w:r>
      <w:r w:rsidRPr="0018325D">
        <w:t xml:space="preserve">, </w:t>
      </w:r>
      <w:r w:rsidR="00760C2A" w:rsidRPr="0018325D">
        <w:t xml:space="preserve">a </w:t>
      </w:r>
      <w:r w:rsidRPr="0018325D">
        <w:t xml:space="preserve">Declaration of Trust </w:t>
      </w:r>
      <w:r w:rsidR="00760C2A" w:rsidRPr="0018325D">
        <w:t xml:space="preserve">by </w:t>
      </w:r>
      <w:r w:rsidR="00760C2A" w:rsidRPr="0018325D">
        <w:lastRenderedPageBreak/>
        <w:t xml:space="preserve">Shanklin </w:t>
      </w:r>
      <w:r w:rsidRPr="0018325D">
        <w:t>in Kirkwell</w:t>
      </w:r>
      <w:r w:rsidR="00760C2A" w:rsidRPr="0018325D">
        <w:t xml:space="preserve"> (</w:t>
      </w:r>
      <w:r w:rsidR="003D137C" w:rsidRPr="0018325D">
        <w:t xml:space="preserve">page </w:t>
      </w:r>
      <w:r w:rsidR="00760C2A" w:rsidRPr="0018325D">
        <w:t>47),</w:t>
      </w:r>
      <w:r w:rsidRPr="0018325D">
        <w:t xml:space="preserve"> </w:t>
      </w:r>
      <w:r w:rsidR="003D137C" w:rsidRPr="0018325D">
        <w:t xml:space="preserve">a copy of </w:t>
      </w:r>
      <w:r w:rsidR="00760C2A" w:rsidRPr="0018325D">
        <w:t xml:space="preserve">the </w:t>
      </w:r>
      <w:r w:rsidRPr="0018325D">
        <w:t xml:space="preserve">share register </w:t>
      </w:r>
      <w:r w:rsidR="00760C2A" w:rsidRPr="0018325D">
        <w:t>(</w:t>
      </w:r>
      <w:r w:rsidR="003D137C" w:rsidRPr="0018325D">
        <w:t>page</w:t>
      </w:r>
      <w:r w:rsidR="00760C2A" w:rsidRPr="0018325D">
        <w:t xml:space="preserve"> 51) </w:t>
      </w:r>
      <w:r w:rsidRPr="0018325D">
        <w:t xml:space="preserve">and </w:t>
      </w:r>
      <w:r w:rsidR="003D137C" w:rsidRPr="0018325D">
        <w:t xml:space="preserve">a copy of the </w:t>
      </w:r>
      <w:r w:rsidRPr="0018325D">
        <w:t xml:space="preserve">share certificate </w:t>
      </w:r>
      <w:r w:rsidR="00760C2A" w:rsidRPr="0018325D">
        <w:t>(</w:t>
      </w:r>
      <w:r w:rsidR="003D137C" w:rsidRPr="0018325D">
        <w:t>page</w:t>
      </w:r>
      <w:r w:rsidR="00760C2A" w:rsidRPr="0018325D">
        <w:t xml:space="preserve"> 52) </w:t>
      </w:r>
      <w:r w:rsidR="003D137C" w:rsidRPr="0018325D">
        <w:t>of Kirkwell Inc. T</w:t>
      </w:r>
      <w:r w:rsidRPr="0018325D">
        <w:t>hese documents</w:t>
      </w:r>
      <w:r w:rsidR="003D137C" w:rsidRPr="0018325D">
        <w:t xml:space="preserve"> show that</w:t>
      </w:r>
      <w:r w:rsidRPr="0018325D">
        <w:t xml:space="preserve"> Shanklin holds 100% shares in Kirkwell (or at least</w:t>
      </w:r>
      <w:r w:rsidR="000604CF" w:rsidRPr="0018325D">
        <w:t xml:space="preserve"> did so</w:t>
      </w:r>
      <w:r w:rsidRPr="0018325D">
        <w:t xml:space="preserve"> on 05/02/2019 as per </w:t>
      </w:r>
      <w:r w:rsidR="000604CF" w:rsidRPr="0018325D">
        <w:t xml:space="preserve">the </w:t>
      </w:r>
      <w:r w:rsidRPr="0018325D">
        <w:t>share register) as Nominee and Trustee for Mr B</w:t>
      </w:r>
      <w:r w:rsidR="00CD6860" w:rsidRPr="0018325D">
        <w:t>o</w:t>
      </w:r>
      <w:r w:rsidRPr="0018325D">
        <w:t xml:space="preserve">urlakov since 30 March 2007. </w:t>
      </w:r>
      <w:r w:rsidR="003D137C" w:rsidRPr="0018325D">
        <w:t xml:space="preserve">Kirkwell </w:t>
      </w:r>
      <w:r w:rsidR="007B4C4A" w:rsidRPr="0018325D">
        <w:t xml:space="preserve">for its part </w:t>
      </w:r>
      <w:r w:rsidR="003D137C" w:rsidRPr="0018325D">
        <w:t>owned all the other companies which held shares in La Reserve.</w:t>
      </w:r>
    </w:p>
    <w:p w:rsidR="00420E39" w:rsidRPr="0018325D" w:rsidRDefault="0047046F" w:rsidP="007B4C4A">
      <w:pPr>
        <w:pStyle w:val="JudgmentText"/>
      </w:pPr>
      <w:r w:rsidRPr="0018325D">
        <w:t xml:space="preserve">The bundle of documents </w:t>
      </w:r>
      <w:r w:rsidR="00CD6860" w:rsidRPr="0018325D">
        <w:t xml:space="preserve">also </w:t>
      </w:r>
      <w:r w:rsidRPr="0018325D">
        <w:t>contain a Company Formation Questionnaire (pages 54-59) and Company Management Agreement (pages 60-65) between Mr B</w:t>
      </w:r>
      <w:r w:rsidR="00CD6860" w:rsidRPr="0018325D">
        <w:t>o</w:t>
      </w:r>
      <w:r w:rsidRPr="0018325D">
        <w:t>urlakov and the Carey Group (“Carey”) executed on the 6</w:t>
      </w:r>
      <w:r w:rsidRPr="0018325D">
        <w:rPr>
          <w:vertAlign w:val="superscript"/>
        </w:rPr>
        <w:t>th</w:t>
      </w:r>
      <w:r w:rsidRPr="0018325D">
        <w:t xml:space="preserve"> day of April 2007. </w:t>
      </w:r>
      <w:r w:rsidR="007B4C4A" w:rsidRPr="0018325D">
        <w:t xml:space="preserve">Carey is a trust administration company in Monaco, providing either directly or through associated persons or companies, Registered Office, Secretarial, Director, Trust and Company administration services (page 54 of </w:t>
      </w:r>
      <w:r w:rsidRPr="0018325D">
        <w:t xml:space="preserve">the </w:t>
      </w:r>
      <w:r w:rsidR="007B4C4A" w:rsidRPr="0018325D">
        <w:t xml:space="preserve">Questionnaire). </w:t>
      </w:r>
      <w:r w:rsidR="003D137C" w:rsidRPr="0018325D">
        <w:t xml:space="preserve">The </w:t>
      </w:r>
      <w:r w:rsidR="00AE0FB8" w:rsidRPr="0018325D">
        <w:t>Questionnaire and Company Management Agreement indicate that Mr B</w:t>
      </w:r>
      <w:r w:rsidR="00CD6860" w:rsidRPr="0018325D">
        <w:t>o</w:t>
      </w:r>
      <w:r w:rsidR="00AE0FB8" w:rsidRPr="0018325D">
        <w:t xml:space="preserve">urlakov requested </w:t>
      </w:r>
      <w:r w:rsidR="00A70994" w:rsidRPr="0018325D">
        <w:t xml:space="preserve">from Carey, the </w:t>
      </w:r>
      <w:r w:rsidR="00AE0FB8" w:rsidRPr="0018325D">
        <w:t xml:space="preserve">formation of </w:t>
      </w:r>
      <w:r w:rsidR="00A70994" w:rsidRPr="0018325D">
        <w:t xml:space="preserve">the </w:t>
      </w:r>
      <w:r w:rsidR="00AE0FB8" w:rsidRPr="0018325D">
        <w:t>Seychelles</w:t>
      </w:r>
      <w:r w:rsidR="007B4C4A" w:rsidRPr="0018325D">
        <w:t xml:space="preserve"> </w:t>
      </w:r>
      <w:r w:rsidR="00AE0FB8" w:rsidRPr="0018325D">
        <w:t xml:space="preserve">company Kirkwell (page 55) for the purpose of purchasing 4 offshore companies situated in Panama and the BVI </w:t>
      </w:r>
      <w:r w:rsidR="00A70994" w:rsidRPr="0018325D">
        <w:t xml:space="preserve">which in turn </w:t>
      </w:r>
      <w:r w:rsidR="00AE0FB8" w:rsidRPr="0018325D">
        <w:t>own the property situated in Monaco (Clause 2 of the Questionnaire)</w:t>
      </w:r>
      <w:r w:rsidR="00A70994" w:rsidRPr="0018325D">
        <w:t>,</w:t>
      </w:r>
      <w:r w:rsidR="00AE0FB8" w:rsidRPr="0018325D">
        <w:t xml:space="preserve"> with the requirement that Carey provides corporate/personal directors to administer the Company (Clause 9 (b)</w:t>
      </w:r>
      <w:r w:rsidR="00A70994" w:rsidRPr="0018325D">
        <w:t xml:space="preserve"> of the Questionnaire</w:t>
      </w:r>
      <w:r w:rsidR="00AE0FB8" w:rsidRPr="0018325D">
        <w:t xml:space="preserve">) </w:t>
      </w:r>
      <w:r w:rsidRPr="0018325D">
        <w:t>and for</w:t>
      </w:r>
      <w:r w:rsidR="00AE0FB8" w:rsidRPr="0018325D">
        <w:t xml:space="preserve"> the company’s accounts to be prepared by Carey (Clause 11</w:t>
      </w:r>
      <w:r w:rsidR="00A70994" w:rsidRPr="0018325D">
        <w:t xml:space="preserve"> of the Questionnaire</w:t>
      </w:r>
      <w:r w:rsidR="00AE0FB8" w:rsidRPr="0018325D">
        <w:t xml:space="preserve">). Clause IV of </w:t>
      </w:r>
      <w:r w:rsidR="00A70994" w:rsidRPr="0018325D">
        <w:t xml:space="preserve">the </w:t>
      </w:r>
      <w:r w:rsidR="00AE0FB8" w:rsidRPr="0018325D">
        <w:t xml:space="preserve">Company Management Agreement (page 61) indicates that </w:t>
      </w:r>
      <w:r w:rsidR="00A44861" w:rsidRPr="0018325D">
        <w:t>n</w:t>
      </w:r>
      <w:r w:rsidR="00AE0FB8" w:rsidRPr="0018325D">
        <w:t>ominee shareholder</w:t>
      </w:r>
      <w:r w:rsidR="00A44861" w:rsidRPr="0018325D">
        <w:t xml:space="preserve"> facilities (for shares issued in registered form)</w:t>
      </w:r>
      <w:r w:rsidR="00AE0FB8" w:rsidRPr="0018325D">
        <w:t xml:space="preserve"> and </w:t>
      </w:r>
      <w:r w:rsidR="00A44861" w:rsidRPr="0018325D">
        <w:t xml:space="preserve">the provision of </w:t>
      </w:r>
      <w:r w:rsidR="00AE0FB8" w:rsidRPr="0018325D">
        <w:t xml:space="preserve">corporate and/or individual director services were also </w:t>
      </w:r>
      <w:r w:rsidR="00A44861" w:rsidRPr="0018325D">
        <w:t>agreed by Mr B</w:t>
      </w:r>
      <w:r w:rsidR="00CD6860" w:rsidRPr="0018325D">
        <w:t>o</w:t>
      </w:r>
      <w:r w:rsidR="00A44861" w:rsidRPr="0018325D">
        <w:t>urlakov and Carey to be provided</w:t>
      </w:r>
      <w:r w:rsidR="00AE0FB8" w:rsidRPr="0018325D">
        <w:t xml:space="preserve"> </w:t>
      </w:r>
      <w:r w:rsidR="00A44861" w:rsidRPr="0018325D">
        <w:t>by the latter.</w:t>
      </w:r>
    </w:p>
    <w:p w:rsidR="00420E39" w:rsidRPr="0018325D" w:rsidRDefault="00AE0FB8" w:rsidP="00420E39">
      <w:pPr>
        <w:pStyle w:val="JudgmentText"/>
      </w:pPr>
      <w:r w:rsidRPr="0018325D">
        <w:t>The nature of the relationship between ACT and Carey</w:t>
      </w:r>
      <w:r w:rsidR="002B3AE2" w:rsidRPr="0018325D">
        <w:t xml:space="preserve">, if any, </w:t>
      </w:r>
      <w:r w:rsidRPr="0018325D">
        <w:t>is not known. It is possible that Carey is the intermediary between Mr B</w:t>
      </w:r>
      <w:r w:rsidR="006C262A" w:rsidRPr="0018325D">
        <w:t>o</w:t>
      </w:r>
      <w:r w:rsidRPr="0018325D">
        <w:t xml:space="preserve">urlakov and ACT. This information can be verified by the </w:t>
      </w:r>
      <w:r w:rsidR="00A44861" w:rsidRPr="0018325D">
        <w:t>a</w:t>
      </w:r>
      <w:r w:rsidRPr="0018325D">
        <w:t xml:space="preserve">pplicant through documents relating to (xii) the identity of any third party intermediary who facilitated the formation of the business relationship between </w:t>
      </w:r>
      <w:r w:rsidR="0047046F" w:rsidRPr="0018325D">
        <w:t>ACT</w:t>
      </w:r>
      <w:r w:rsidRPr="0018325D">
        <w:t xml:space="preserve"> and Kirkwell Inc. and Shanklin Holdings Ltd, which were requested and </w:t>
      </w:r>
      <w:r w:rsidR="00A44861" w:rsidRPr="0018325D">
        <w:t xml:space="preserve">appear to have been </w:t>
      </w:r>
      <w:r w:rsidRPr="0018325D">
        <w:t xml:space="preserve">provided to the </w:t>
      </w:r>
      <w:r w:rsidR="00A44861" w:rsidRPr="0018325D">
        <w:t>a</w:t>
      </w:r>
      <w:r w:rsidRPr="0018325D">
        <w:t>pplicant</w:t>
      </w:r>
      <w:r w:rsidR="0047046F" w:rsidRPr="0018325D">
        <w:t xml:space="preserve"> as they were not requested in</w:t>
      </w:r>
      <w:r w:rsidR="004B3107" w:rsidRPr="0018325D">
        <w:t xml:space="preserve"> the present application</w:t>
      </w:r>
      <w:r w:rsidRPr="0018325D">
        <w:t xml:space="preserve">. </w:t>
      </w:r>
    </w:p>
    <w:p w:rsidR="00420E39" w:rsidRPr="0018325D" w:rsidRDefault="00AE0FB8" w:rsidP="00420E39">
      <w:pPr>
        <w:pStyle w:val="JudgmentText"/>
      </w:pPr>
      <w:r w:rsidRPr="0018325D">
        <w:t xml:space="preserve">It is also not known whether ACT actually </w:t>
      </w:r>
      <w:r w:rsidR="006C6225" w:rsidRPr="0018325D">
        <w:t>provided any nominee services</w:t>
      </w:r>
      <w:r w:rsidR="00946D68" w:rsidRPr="0018325D">
        <w:t xml:space="preserve"> to the IBCs</w:t>
      </w:r>
      <w:r w:rsidR="006C6225" w:rsidRPr="0018325D">
        <w:t xml:space="preserve">. If </w:t>
      </w:r>
      <w:r w:rsidRPr="0018325D">
        <w:t xml:space="preserve">not, it is possible that </w:t>
      </w:r>
      <w:r w:rsidR="00A44861" w:rsidRPr="0018325D">
        <w:t xml:space="preserve">the </w:t>
      </w:r>
      <w:r w:rsidRPr="0018325D">
        <w:t>authorised signator</w:t>
      </w:r>
      <w:r w:rsidR="006C6225" w:rsidRPr="0018325D">
        <w:t>ies</w:t>
      </w:r>
      <w:r w:rsidRPr="0018325D">
        <w:t xml:space="preserve"> who signed the Declaration of Trust </w:t>
      </w:r>
      <w:r w:rsidR="00946D68" w:rsidRPr="0018325D">
        <w:lastRenderedPageBreak/>
        <w:t>(</w:t>
      </w:r>
      <w:r w:rsidR="006C6225" w:rsidRPr="0018325D">
        <w:t>attached to the bundle of documents</w:t>
      </w:r>
      <w:r w:rsidR="00946D68" w:rsidRPr="0018325D">
        <w:t xml:space="preserve"> referred to in paragraph [29]</w:t>
      </w:r>
      <w:r w:rsidR="007C0CFA" w:rsidRPr="0018325D">
        <w:t xml:space="preserve"> hereof</w:t>
      </w:r>
      <w:r w:rsidR="00946D68" w:rsidRPr="0018325D">
        <w:t>)</w:t>
      </w:r>
      <w:r w:rsidR="006C6225" w:rsidRPr="0018325D">
        <w:t xml:space="preserve"> on behalf of Shanklin, </w:t>
      </w:r>
      <w:r w:rsidRPr="0018325D">
        <w:t xml:space="preserve">are persons </w:t>
      </w:r>
      <w:r w:rsidR="00AA4647" w:rsidRPr="0018325D">
        <w:t xml:space="preserve">either </w:t>
      </w:r>
      <w:r w:rsidRPr="0018325D">
        <w:t>from Carey or other person</w:t>
      </w:r>
      <w:r w:rsidR="006C6225" w:rsidRPr="0018325D">
        <w:t>s</w:t>
      </w:r>
      <w:r w:rsidRPr="0018325D">
        <w:t xml:space="preserve"> who ha</w:t>
      </w:r>
      <w:r w:rsidR="006C6225" w:rsidRPr="0018325D">
        <w:t>ve</w:t>
      </w:r>
      <w:r w:rsidR="00AA4647" w:rsidRPr="0018325D">
        <w:t xml:space="preserve"> no connection to ACT. </w:t>
      </w:r>
      <w:r w:rsidR="00D42287" w:rsidRPr="0018325D">
        <w:t>It</w:t>
      </w:r>
      <w:r w:rsidR="00AA4647" w:rsidRPr="0018325D">
        <w:t xml:space="preserve"> is to be noted that </w:t>
      </w:r>
      <w:r w:rsidR="006C6225" w:rsidRPr="0018325D">
        <w:t xml:space="preserve">the </w:t>
      </w:r>
      <w:r w:rsidR="006914B6" w:rsidRPr="0018325D">
        <w:t xml:space="preserve">shareholders and </w:t>
      </w:r>
      <w:r w:rsidRPr="0018325D">
        <w:t xml:space="preserve">directors of both IBCs can be verified in the Registers of Directors and Shareholders which </w:t>
      </w:r>
      <w:r w:rsidR="007C0CFA" w:rsidRPr="0018325D">
        <w:t xml:space="preserve">also </w:t>
      </w:r>
      <w:r w:rsidR="006C6225" w:rsidRPr="0018325D">
        <w:t xml:space="preserve">appear to have </w:t>
      </w:r>
      <w:r w:rsidR="007C0CFA" w:rsidRPr="0018325D">
        <w:t xml:space="preserve">already </w:t>
      </w:r>
      <w:r w:rsidR="006C6225" w:rsidRPr="0018325D">
        <w:t>been</w:t>
      </w:r>
      <w:r w:rsidRPr="0018325D">
        <w:t xml:space="preserve"> provided to the </w:t>
      </w:r>
      <w:r w:rsidR="006C6225" w:rsidRPr="0018325D">
        <w:t>a</w:t>
      </w:r>
      <w:r w:rsidRPr="0018325D">
        <w:t xml:space="preserve">pplicant. In such </w:t>
      </w:r>
      <w:r w:rsidR="006C6225" w:rsidRPr="0018325D">
        <w:t xml:space="preserve">a </w:t>
      </w:r>
      <w:r w:rsidRPr="0018325D">
        <w:t xml:space="preserve">case </w:t>
      </w:r>
      <w:r w:rsidR="006C6225" w:rsidRPr="0018325D">
        <w:t xml:space="preserve">employees of </w:t>
      </w:r>
      <w:r w:rsidRPr="0018325D">
        <w:t>Carey or other persons could have issued the Declaration of Trust but failed to inform ACT.</w:t>
      </w:r>
    </w:p>
    <w:p w:rsidR="002B3AE2" w:rsidRPr="0018325D" w:rsidRDefault="00AE708B" w:rsidP="002B3AE2">
      <w:pPr>
        <w:pStyle w:val="JudgmentText"/>
      </w:pPr>
      <w:r w:rsidRPr="0018325D">
        <w:t>The provisions relating to beneficial ownership are also relevant to the issue of nominees. Under the ICSP Act</w:t>
      </w:r>
      <w:r w:rsidR="00AE0FB8" w:rsidRPr="0018325D">
        <w:t xml:space="preserve"> </w:t>
      </w:r>
      <w:r w:rsidR="00AA4647" w:rsidRPr="0018325D">
        <w:t>a</w:t>
      </w:r>
      <w:r w:rsidR="00AE0FB8" w:rsidRPr="0018325D">
        <w:t xml:space="preserve"> </w:t>
      </w:r>
      <w:r w:rsidR="006C6225" w:rsidRPr="0018325D">
        <w:t>registered a</w:t>
      </w:r>
      <w:r w:rsidR="00AE0FB8" w:rsidRPr="0018325D">
        <w:t xml:space="preserve">gent has a duty to identify the ultimate beneficial owner of </w:t>
      </w:r>
      <w:r w:rsidR="00FB2BD3" w:rsidRPr="0018325D">
        <w:t>any</w:t>
      </w:r>
      <w:r w:rsidR="00AE0FB8" w:rsidRPr="0018325D">
        <w:t xml:space="preserve"> compan</w:t>
      </w:r>
      <w:r w:rsidR="00FB2BD3" w:rsidRPr="0018325D">
        <w:t>y to which it provides international corporate services</w:t>
      </w:r>
      <w:r w:rsidRPr="0018325D">
        <w:t xml:space="preserve"> (see also paragraph 24.1. of the Code for ICSPs)</w:t>
      </w:r>
      <w:r w:rsidR="006C4EEF" w:rsidRPr="0018325D">
        <w:t>.</w:t>
      </w:r>
      <w:r w:rsidR="002B3AE2" w:rsidRPr="0018325D">
        <w:t xml:space="preserve"> </w:t>
      </w:r>
      <w:r w:rsidR="00FB2BD3" w:rsidRPr="0018325D">
        <w:t>In that regard p</w:t>
      </w:r>
      <w:r w:rsidR="002B3AE2" w:rsidRPr="0018325D">
        <w:t>aragraph 1</w:t>
      </w:r>
      <w:r w:rsidR="00D045CD" w:rsidRPr="0018325D">
        <w:t>(a) and (b)</w:t>
      </w:r>
      <w:r w:rsidR="002B3AE2" w:rsidRPr="0018325D">
        <w:t xml:space="preserve"> of Schedule 2 </w:t>
      </w:r>
      <w:r w:rsidR="00374F59" w:rsidRPr="0018325D">
        <w:t>to</w:t>
      </w:r>
      <w:r w:rsidR="002B3AE2" w:rsidRPr="0018325D">
        <w:t xml:space="preserve"> the</w:t>
      </w:r>
      <w:r w:rsidR="00374F59" w:rsidRPr="0018325D">
        <w:t xml:space="preserve"> ICSP Act</w:t>
      </w:r>
      <w:r w:rsidR="002B3AE2" w:rsidRPr="0018325D">
        <w:t xml:space="preserve"> </w:t>
      </w:r>
      <w:r w:rsidR="00374F59" w:rsidRPr="0018325D">
        <w:t xml:space="preserve">which contains the </w:t>
      </w:r>
      <w:r w:rsidR="002B3AE2" w:rsidRPr="0018325D">
        <w:t xml:space="preserve">Code of Practice of Licensees </w:t>
      </w:r>
      <w:r w:rsidR="00374F59" w:rsidRPr="0018325D">
        <w:t>under the ICSP Act provides that:</w:t>
      </w:r>
    </w:p>
    <w:p w:rsidR="00374F59" w:rsidRPr="0018325D" w:rsidRDefault="00374F59" w:rsidP="00BB3071">
      <w:pPr>
        <w:pStyle w:val="NumberedQuotationindent1"/>
        <w:numPr>
          <w:ilvl w:val="3"/>
          <w:numId w:val="3"/>
        </w:numPr>
        <w:ind w:left="1440" w:hanging="270"/>
      </w:pPr>
      <w:r w:rsidRPr="0018325D">
        <w:t>A licensee shall at all times be able to identify —</w:t>
      </w:r>
    </w:p>
    <w:p w:rsidR="00374F59" w:rsidRPr="0018325D" w:rsidRDefault="00374F59" w:rsidP="00374F59">
      <w:pPr>
        <w:pStyle w:val="JudgmentText"/>
        <w:numPr>
          <w:ilvl w:val="0"/>
          <w:numId w:val="0"/>
        </w:numPr>
        <w:ind w:left="720" w:firstLine="720"/>
        <w:rPr>
          <w:i/>
        </w:rPr>
      </w:pPr>
      <w:r w:rsidRPr="0018325D">
        <w:rPr>
          <w:i/>
        </w:rPr>
        <w:t xml:space="preserve">(a) its clients; </w:t>
      </w:r>
    </w:p>
    <w:p w:rsidR="00D045CD" w:rsidRPr="0018325D" w:rsidRDefault="00374F59" w:rsidP="00374F59">
      <w:pPr>
        <w:pStyle w:val="JudgmentText"/>
        <w:numPr>
          <w:ilvl w:val="0"/>
          <w:numId w:val="0"/>
        </w:numPr>
        <w:ind w:left="1800" w:hanging="360"/>
        <w:rPr>
          <w:i/>
        </w:rPr>
      </w:pPr>
      <w:r w:rsidRPr="0018325D">
        <w:rPr>
          <w:i/>
        </w:rPr>
        <w:t>(b) the directors, members and beneficial owner of each company to which the licensee provides international corporate services;</w:t>
      </w:r>
    </w:p>
    <w:p w:rsidR="001B5795" w:rsidRPr="0018325D" w:rsidRDefault="002B3AE2" w:rsidP="001B5795">
      <w:pPr>
        <w:pStyle w:val="JudgmentText"/>
      </w:pPr>
      <w:r w:rsidRPr="0018325D">
        <w:t xml:space="preserve">The registered agent is also under an obligation to </w:t>
      </w:r>
      <w:r w:rsidR="00AE0FB8" w:rsidRPr="0018325D">
        <w:t xml:space="preserve">keep at its office </w:t>
      </w:r>
      <w:r w:rsidR="005A4121" w:rsidRPr="0018325D">
        <w:t xml:space="preserve">a </w:t>
      </w:r>
      <w:r w:rsidR="00AE0FB8" w:rsidRPr="0018325D">
        <w:t xml:space="preserve">Register of Beneficial Owners in accordance with </w:t>
      </w:r>
      <w:r w:rsidR="00BC02C7" w:rsidRPr="0018325D">
        <w:t xml:space="preserve">section 5 of </w:t>
      </w:r>
      <w:r w:rsidR="00AE0FB8" w:rsidRPr="0018325D">
        <w:t xml:space="preserve">the BO Act. Section 3 of the BO Act defines ‘beneficial owner’ as </w:t>
      </w:r>
      <w:r w:rsidR="00AE0FB8" w:rsidRPr="0018325D">
        <w:rPr>
          <w:i/>
        </w:rPr>
        <w:t xml:space="preserve">“one or more </w:t>
      </w:r>
      <w:r w:rsidR="00AE0FB8" w:rsidRPr="0018325D">
        <w:rPr>
          <w:i/>
          <w:u w:val="single"/>
        </w:rPr>
        <w:t>natural persons</w:t>
      </w:r>
      <w:r w:rsidR="00AE0FB8" w:rsidRPr="0018325D">
        <w:rPr>
          <w:i/>
        </w:rPr>
        <w:t xml:space="preserve"> who ultimately own or control a customer or the natural person or persons on whose behalf a transaction is being conducted and includes those natural persons who exercise ultimate effective control over a legal person or a legal arrangement”</w:t>
      </w:r>
      <w:r w:rsidR="00AE0FB8" w:rsidRPr="0018325D">
        <w:t xml:space="preserve"> (emphasis added). </w:t>
      </w:r>
      <w:r w:rsidR="00D42287" w:rsidRPr="0018325D">
        <w:t>In terms of that definition</w:t>
      </w:r>
      <w:r w:rsidR="00AE0FB8" w:rsidRPr="0018325D">
        <w:t xml:space="preserve">, </w:t>
      </w:r>
      <w:r w:rsidR="006C4EEF" w:rsidRPr="0018325D">
        <w:t>a</w:t>
      </w:r>
      <w:r w:rsidR="00AE0FB8" w:rsidRPr="0018325D">
        <w:t xml:space="preserve"> Corporate Service provider</w:t>
      </w:r>
      <w:r w:rsidR="00FB2BD3" w:rsidRPr="0018325D">
        <w:t xml:space="preserve"> is </w:t>
      </w:r>
      <w:r w:rsidR="00D42287" w:rsidRPr="0018325D">
        <w:t xml:space="preserve">therefore </w:t>
      </w:r>
      <w:r w:rsidR="00FB2BD3" w:rsidRPr="0018325D">
        <w:t>required</w:t>
      </w:r>
      <w:r w:rsidR="00AE0FB8" w:rsidRPr="0018325D">
        <w:t xml:space="preserve"> to identify </w:t>
      </w:r>
      <w:r w:rsidR="00BC02C7" w:rsidRPr="0018325D">
        <w:t xml:space="preserve">the </w:t>
      </w:r>
      <w:r w:rsidR="00AE0FB8" w:rsidRPr="0018325D">
        <w:t xml:space="preserve">final natural person rather than </w:t>
      </w:r>
      <w:r w:rsidR="00BC02C7" w:rsidRPr="0018325D">
        <w:t xml:space="preserve">the </w:t>
      </w:r>
      <w:r w:rsidR="00AE0FB8" w:rsidRPr="0018325D">
        <w:t>company</w:t>
      </w:r>
      <w:r w:rsidR="004D7647" w:rsidRPr="0018325D">
        <w:t xml:space="preserve"> or companies</w:t>
      </w:r>
      <w:r w:rsidR="00AE0FB8" w:rsidRPr="0018325D">
        <w:t xml:space="preserve"> that owns shares in the IBC</w:t>
      </w:r>
      <w:r w:rsidR="006C4EEF" w:rsidRPr="0018325D">
        <w:t xml:space="preserve"> of which it is the registered agent</w:t>
      </w:r>
      <w:r w:rsidR="00D045CD" w:rsidRPr="0018325D">
        <w:t xml:space="preserve"> </w:t>
      </w:r>
      <w:r w:rsidR="00AE708B" w:rsidRPr="0018325D">
        <w:t>(although the obligation of an ICSP to identify also extends to members –</w:t>
      </w:r>
      <w:r w:rsidR="001B5795" w:rsidRPr="0018325D">
        <w:t xml:space="preserve"> </w:t>
      </w:r>
      <w:r w:rsidR="00AE708B" w:rsidRPr="0018325D">
        <w:t xml:space="preserve">defined </w:t>
      </w:r>
      <w:r w:rsidR="001B5795" w:rsidRPr="0018325D">
        <w:t>in section 2</w:t>
      </w:r>
      <w:r w:rsidR="00AE708B" w:rsidRPr="0018325D">
        <w:t xml:space="preserve"> </w:t>
      </w:r>
      <w:r w:rsidR="001B5795" w:rsidRPr="0018325D">
        <w:t>of the IBC Act as “a person whose name is entered in the company’s register of members (a) a shareholder; or (b) a guarantee member)”. The register of member</w:t>
      </w:r>
      <w:r w:rsidR="00D045CD" w:rsidRPr="0018325D">
        <w:t>s</w:t>
      </w:r>
      <w:r w:rsidR="001B5795" w:rsidRPr="0018325D">
        <w:t xml:space="preserve"> is no longer being requested and</w:t>
      </w:r>
      <w:r w:rsidR="00D045CD" w:rsidRPr="0018325D">
        <w:t xml:space="preserve"> appears to have been disclosed).</w:t>
      </w:r>
    </w:p>
    <w:p w:rsidR="006659AA" w:rsidRPr="0018325D" w:rsidRDefault="00AE0FB8" w:rsidP="006659AA">
      <w:pPr>
        <w:pStyle w:val="JudgmentText"/>
      </w:pPr>
      <w:r w:rsidRPr="0018325D">
        <w:lastRenderedPageBreak/>
        <w:t xml:space="preserve">Section 5(1) of the BO Act </w:t>
      </w:r>
      <w:r w:rsidR="00BC02C7" w:rsidRPr="0018325D">
        <w:t>provides</w:t>
      </w:r>
      <w:r w:rsidRPr="0018325D">
        <w:t xml:space="preserve"> that an IBC shall maintain a register of beneficial owners, at the principal place of business of its resident agent, containing </w:t>
      </w:r>
      <w:r w:rsidR="006659AA" w:rsidRPr="0018325D">
        <w:t>the following information</w:t>
      </w:r>
      <w:r w:rsidRPr="0018325D">
        <w:t xml:space="preserve"> in respect of </w:t>
      </w:r>
      <w:r w:rsidR="006659AA" w:rsidRPr="0018325D">
        <w:t>each</w:t>
      </w:r>
      <w:r w:rsidR="00FB2BD3" w:rsidRPr="0018325D">
        <w:t xml:space="preserve"> of its </w:t>
      </w:r>
      <w:r w:rsidRPr="0018325D">
        <w:t>beneficial owner</w:t>
      </w:r>
      <w:r w:rsidR="00FB2BD3" w:rsidRPr="0018325D">
        <w:t>s</w:t>
      </w:r>
      <w:r w:rsidR="006659AA" w:rsidRPr="0018325D">
        <w:t>:</w:t>
      </w:r>
    </w:p>
    <w:p w:rsidR="006659AA" w:rsidRPr="0018325D" w:rsidRDefault="006659AA" w:rsidP="006659AA">
      <w:pPr>
        <w:pStyle w:val="NumberedQuotationindent1"/>
        <w:numPr>
          <w:ilvl w:val="0"/>
          <w:numId w:val="0"/>
        </w:numPr>
        <w:ind w:left="1440" w:hanging="360"/>
      </w:pPr>
      <w:r w:rsidRPr="0018325D">
        <w:t>(a) the name, residential address, service address, date of birth and nationality of each beneficial owner;</w:t>
      </w:r>
    </w:p>
    <w:p w:rsidR="006659AA" w:rsidRPr="0018325D" w:rsidRDefault="006659AA" w:rsidP="006659AA">
      <w:pPr>
        <w:pStyle w:val="NumberedQuotationindent1"/>
        <w:numPr>
          <w:ilvl w:val="0"/>
          <w:numId w:val="0"/>
        </w:numPr>
        <w:ind w:left="1440" w:hanging="360"/>
      </w:pPr>
      <w:r w:rsidRPr="0018325D">
        <w:t>(b) details of each beneficial owner’s beneficial interest, as may be prescribed by regulations;</w:t>
      </w:r>
    </w:p>
    <w:p w:rsidR="006659AA" w:rsidRPr="0018325D" w:rsidRDefault="006659AA" w:rsidP="006659AA">
      <w:pPr>
        <w:pStyle w:val="NumberedQuotationindent1"/>
        <w:numPr>
          <w:ilvl w:val="0"/>
          <w:numId w:val="0"/>
        </w:numPr>
        <w:ind w:left="1440" w:hanging="360"/>
      </w:pPr>
      <w:r w:rsidRPr="0018325D">
        <w:t>(c) the date on which a person became a beneficial owner;</w:t>
      </w:r>
    </w:p>
    <w:p w:rsidR="006659AA" w:rsidRPr="0018325D" w:rsidRDefault="006659AA" w:rsidP="006659AA">
      <w:pPr>
        <w:pStyle w:val="NumberedQuotationindent1"/>
        <w:numPr>
          <w:ilvl w:val="0"/>
          <w:numId w:val="0"/>
        </w:numPr>
        <w:ind w:left="1440" w:hanging="360"/>
      </w:pPr>
      <w:r w:rsidRPr="0018325D">
        <w:t>(d) the date on which a person ceased to be a beneficial owner;</w:t>
      </w:r>
    </w:p>
    <w:p w:rsidR="006659AA" w:rsidRPr="0018325D" w:rsidRDefault="006659AA" w:rsidP="006659AA">
      <w:pPr>
        <w:pStyle w:val="NumberedQuotationindent1"/>
        <w:numPr>
          <w:ilvl w:val="0"/>
          <w:numId w:val="0"/>
        </w:numPr>
        <w:ind w:left="1440" w:hanging="360"/>
        <w:rPr>
          <w:b/>
        </w:rPr>
      </w:pPr>
      <w:r w:rsidRPr="0018325D">
        <w:rPr>
          <w:b/>
        </w:rPr>
        <w:t>(e) where a nominee holds interest on behalf of the beneficial owner—</w:t>
      </w:r>
    </w:p>
    <w:p w:rsidR="006659AA" w:rsidRPr="0018325D" w:rsidRDefault="006659AA" w:rsidP="006659AA">
      <w:pPr>
        <w:pStyle w:val="NumberedQuotationindent1"/>
        <w:numPr>
          <w:ilvl w:val="0"/>
          <w:numId w:val="0"/>
        </w:numPr>
        <w:ind w:left="2070" w:hanging="270"/>
        <w:rPr>
          <w:b/>
        </w:rPr>
      </w:pPr>
      <w:r w:rsidRPr="0018325D">
        <w:rPr>
          <w:b/>
        </w:rPr>
        <w:t>(i)</w:t>
      </w:r>
      <w:r w:rsidRPr="0018325D">
        <w:rPr>
          <w:b/>
        </w:rPr>
        <w:tab/>
        <w:t xml:space="preserve">the name, residential address, service address, date of birth and nationality of each nominee holding the interest on behalf of the beneficial owner and the particulars and details of the interest held by the nominee; and </w:t>
      </w:r>
    </w:p>
    <w:p w:rsidR="004D7647" w:rsidRPr="0018325D" w:rsidRDefault="006659AA" w:rsidP="006659AA">
      <w:pPr>
        <w:pStyle w:val="NumberedQuotationindent1"/>
        <w:numPr>
          <w:ilvl w:val="0"/>
          <w:numId w:val="0"/>
        </w:numPr>
        <w:ind w:left="2070" w:hanging="270"/>
        <w:rPr>
          <w:b/>
        </w:rPr>
      </w:pPr>
      <w:r w:rsidRPr="0018325D">
        <w:rPr>
          <w:b/>
        </w:rPr>
        <w:t>(ii) the identity of the nominator, and where the nominator is a legal person, the identity of the natural person who ultimately owns or controls the nominator</w:t>
      </w:r>
      <w:r w:rsidR="004D7647" w:rsidRPr="0018325D">
        <w:rPr>
          <w:b/>
        </w:rPr>
        <w:t>.</w:t>
      </w:r>
    </w:p>
    <w:p w:rsidR="006659AA" w:rsidRPr="0018325D" w:rsidRDefault="006659AA" w:rsidP="006659AA">
      <w:pPr>
        <w:pStyle w:val="NumberedQuotationindent1"/>
        <w:numPr>
          <w:ilvl w:val="0"/>
          <w:numId w:val="0"/>
        </w:numPr>
        <w:ind w:left="2070" w:hanging="270"/>
      </w:pPr>
    </w:p>
    <w:p w:rsidR="00420E39" w:rsidRPr="0018325D" w:rsidRDefault="006C4EEF" w:rsidP="006659AA">
      <w:pPr>
        <w:pStyle w:val="JudgmentText"/>
      </w:pPr>
      <w:r w:rsidRPr="0018325D">
        <w:t>A ‘nominee’ is defined in s</w:t>
      </w:r>
      <w:r w:rsidR="00AE0FB8" w:rsidRPr="0018325D">
        <w:t>ection 5(5)</w:t>
      </w:r>
      <w:r w:rsidR="006659AA" w:rsidRPr="0018325D">
        <w:t xml:space="preserve"> of the BO Act</w:t>
      </w:r>
      <w:r w:rsidR="00AE0FB8" w:rsidRPr="0018325D">
        <w:t xml:space="preserve"> as “</w:t>
      </w:r>
      <w:r w:rsidR="00AE0FB8" w:rsidRPr="0018325D">
        <w:rPr>
          <w:i/>
        </w:rPr>
        <w:t>a person who holds and has control over shares or other membership interests or any other control in a legal person for and on behalf of another person or persons”</w:t>
      </w:r>
      <w:r w:rsidR="00AE0FB8" w:rsidRPr="0018325D">
        <w:t>.</w:t>
      </w:r>
    </w:p>
    <w:p w:rsidR="00420E39" w:rsidRPr="0018325D" w:rsidRDefault="00AE0FB8" w:rsidP="00FC0447">
      <w:pPr>
        <w:pStyle w:val="JudgmentText"/>
      </w:pPr>
      <w:r w:rsidRPr="0018325D">
        <w:t xml:space="preserve">As </w:t>
      </w:r>
      <w:r w:rsidR="006659AA" w:rsidRPr="0018325D">
        <w:t xml:space="preserve">stated </w:t>
      </w:r>
      <w:r w:rsidRPr="0018325D">
        <w:t xml:space="preserve">earlier, </w:t>
      </w:r>
      <w:r w:rsidR="00BC02C7" w:rsidRPr="0018325D">
        <w:t xml:space="preserve">the applicant has not made a further request for documents </w:t>
      </w:r>
      <w:r w:rsidRPr="0018325D">
        <w:t>relating to (xi) the identity of the beneficial owner(s) of Kirkwell Inc. and Shanklin Holdings Ltd</w:t>
      </w:r>
      <w:r w:rsidR="006659AA" w:rsidRPr="0018325D">
        <w:t>,</w:t>
      </w:r>
      <w:r w:rsidR="00BC02C7" w:rsidRPr="0018325D">
        <w:t xml:space="preserve"> which </w:t>
      </w:r>
      <w:r w:rsidR="00D045CD" w:rsidRPr="0018325D">
        <w:t xml:space="preserve">appears to </w:t>
      </w:r>
      <w:r w:rsidR="00066F19" w:rsidRPr="0018325D">
        <w:t>indicate</w:t>
      </w:r>
      <w:r w:rsidR="00BC02C7" w:rsidRPr="0018325D">
        <w:t xml:space="preserve"> that such documents were provided</w:t>
      </w:r>
      <w:r w:rsidRPr="0018325D">
        <w:t xml:space="preserve">. </w:t>
      </w:r>
      <w:r w:rsidR="006C4EEF" w:rsidRPr="0018325D">
        <w:t>However s</w:t>
      </w:r>
      <w:r w:rsidR="00066F19" w:rsidRPr="0018325D">
        <w:t>ince the</w:t>
      </w:r>
      <w:r w:rsidRPr="0018325D">
        <w:t xml:space="preserve"> documents </w:t>
      </w:r>
      <w:r w:rsidR="00066F19" w:rsidRPr="0018325D">
        <w:t xml:space="preserve">disclosed by the respondent were not provided in support of the present application, </w:t>
      </w:r>
      <w:r w:rsidRPr="0018325D">
        <w:t xml:space="preserve">it is </w:t>
      </w:r>
      <w:r w:rsidR="00066F19" w:rsidRPr="0018325D">
        <w:t xml:space="preserve">not </w:t>
      </w:r>
      <w:r w:rsidRPr="0018325D">
        <w:t xml:space="preserve">known </w:t>
      </w:r>
      <w:r w:rsidR="00FC0447" w:rsidRPr="0018325D">
        <w:t xml:space="preserve">for sure </w:t>
      </w:r>
      <w:r w:rsidR="00066F19" w:rsidRPr="0018325D">
        <w:t>by what</w:t>
      </w:r>
      <w:r w:rsidRPr="0018325D">
        <w:t xml:space="preserve"> means ACT identified the beneficial owne</w:t>
      </w:r>
      <w:r w:rsidR="00FC0447" w:rsidRPr="0018325D">
        <w:t>r although</w:t>
      </w:r>
      <w:r w:rsidR="0047167F" w:rsidRPr="0018325D">
        <w:t xml:space="preserve"> I note that </w:t>
      </w:r>
      <w:r w:rsidR="00FC0447" w:rsidRPr="0018325D">
        <w:t>the Declaration of Trust by Shanklin in respect of Kirkwell provided by the applicant herself shows the beneficial ownership of both IBCs</w:t>
      </w:r>
      <w:r w:rsidRPr="0018325D">
        <w:t xml:space="preserve">. If </w:t>
      </w:r>
      <w:r w:rsidR="00FC0447" w:rsidRPr="0018325D">
        <w:t>ACT</w:t>
      </w:r>
      <w:r w:rsidRPr="0018325D">
        <w:t xml:space="preserve"> provided </w:t>
      </w:r>
      <w:r w:rsidR="00066F19" w:rsidRPr="0018325D">
        <w:t xml:space="preserve">the </w:t>
      </w:r>
      <w:r w:rsidRPr="0018325D">
        <w:t xml:space="preserve">Register of Beneficial Owners the </w:t>
      </w:r>
      <w:r w:rsidR="00066F19" w:rsidRPr="0018325D">
        <w:t>a</w:t>
      </w:r>
      <w:r w:rsidRPr="0018325D">
        <w:t xml:space="preserve">pplicant should be able to determine whether it is </w:t>
      </w:r>
      <w:r w:rsidR="00FC0447" w:rsidRPr="0018325D">
        <w:t xml:space="preserve">indeed </w:t>
      </w:r>
      <w:r w:rsidRPr="0018325D">
        <w:t xml:space="preserve">Mr Bourlakov as </w:t>
      </w:r>
      <w:r w:rsidR="00066F19" w:rsidRPr="0018325D">
        <w:t xml:space="preserve">shown in the </w:t>
      </w:r>
      <w:r w:rsidRPr="0018325D">
        <w:t xml:space="preserve">Declaration of Trust in </w:t>
      </w:r>
      <w:r w:rsidR="00066F19" w:rsidRPr="0018325D">
        <w:t xml:space="preserve">regards to </w:t>
      </w:r>
      <w:r w:rsidRPr="0018325D">
        <w:t>Kirkwell mentioned earlier</w:t>
      </w:r>
      <w:r w:rsidR="00066F19" w:rsidRPr="0018325D">
        <w:t>,</w:t>
      </w:r>
      <w:r w:rsidRPr="0018325D">
        <w:t xml:space="preserve"> and </w:t>
      </w:r>
      <w:r w:rsidR="00066F19" w:rsidRPr="0018325D">
        <w:t xml:space="preserve">also </w:t>
      </w:r>
      <w:r w:rsidRPr="0018325D">
        <w:t xml:space="preserve">see the history of the beneficial ownership. From the </w:t>
      </w:r>
      <w:r w:rsidR="00FC0447" w:rsidRPr="0018325D">
        <w:t>r</w:t>
      </w:r>
      <w:r w:rsidRPr="0018325D">
        <w:t xml:space="preserve">egisters of </w:t>
      </w:r>
      <w:r w:rsidR="00FC0447" w:rsidRPr="0018325D">
        <w:t>d</w:t>
      </w:r>
      <w:r w:rsidRPr="0018325D">
        <w:t xml:space="preserve">irectors and </w:t>
      </w:r>
      <w:r w:rsidR="00FC0447" w:rsidRPr="0018325D">
        <w:t>members</w:t>
      </w:r>
      <w:r w:rsidR="001E2111" w:rsidRPr="0018325D">
        <w:t xml:space="preserve"> of both companies, which appear to have been provided since they are no longer being requested,</w:t>
      </w:r>
      <w:r w:rsidRPr="0018325D">
        <w:t xml:space="preserve"> it may also be potentially possible to see the structure of the companies and whether ACT is actually providing any nominee services</w:t>
      </w:r>
      <w:r w:rsidR="00F14E8A" w:rsidRPr="0018325D">
        <w:t xml:space="preserve"> to Kirkwell and Shanklin</w:t>
      </w:r>
      <w:r w:rsidRPr="0018325D">
        <w:t xml:space="preserve">. </w:t>
      </w:r>
      <w:r w:rsidR="00FC0447" w:rsidRPr="0018325D">
        <w:lastRenderedPageBreak/>
        <w:t>However a</w:t>
      </w:r>
      <w:r w:rsidRPr="0018325D">
        <w:t xml:space="preserve">s </w:t>
      </w:r>
      <w:r w:rsidR="00F14E8A" w:rsidRPr="0018325D">
        <w:t xml:space="preserve">no </w:t>
      </w:r>
      <w:r w:rsidRPr="0018325D">
        <w:t xml:space="preserve">documents </w:t>
      </w:r>
      <w:r w:rsidR="00F14E8A" w:rsidRPr="0018325D">
        <w:t>detailing the structure of the IBCs have been tendered in support of the present</w:t>
      </w:r>
      <w:r w:rsidRPr="0018325D">
        <w:t xml:space="preserve"> application</w:t>
      </w:r>
      <w:r w:rsidR="00F14E8A" w:rsidRPr="0018325D">
        <w:t>,</w:t>
      </w:r>
      <w:r w:rsidRPr="0018325D">
        <w:t xml:space="preserve"> it is difficult to </w:t>
      </w:r>
      <w:r w:rsidR="00581FB7" w:rsidRPr="0018325D">
        <w:t>determine</w:t>
      </w:r>
      <w:r w:rsidRPr="0018325D">
        <w:t xml:space="preserve"> whether ACT actually has</w:t>
      </w:r>
      <w:r w:rsidR="00581FB7" w:rsidRPr="0018325D">
        <w:t xml:space="preserve"> in </w:t>
      </w:r>
      <w:r w:rsidR="00583CAE" w:rsidRPr="0018325D">
        <w:t>its</w:t>
      </w:r>
      <w:r w:rsidR="00581FB7" w:rsidRPr="0018325D">
        <w:t xml:space="preserve"> possession</w:t>
      </w:r>
      <w:r w:rsidRPr="0018325D">
        <w:t xml:space="preserve"> any declarations of trust and/or nominee agreements and whether </w:t>
      </w:r>
      <w:r w:rsidR="00581FB7" w:rsidRPr="0018325D">
        <w:t xml:space="preserve">or not </w:t>
      </w:r>
      <w:r w:rsidR="00583CAE" w:rsidRPr="0018325D">
        <w:t>it is</w:t>
      </w:r>
      <w:r w:rsidRPr="0018325D">
        <w:t xml:space="preserve"> required to have them. </w:t>
      </w:r>
    </w:p>
    <w:p w:rsidR="00251D02" w:rsidRPr="0018325D" w:rsidRDefault="00AE0FB8" w:rsidP="00882817">
      <w:pPr>
        <w:pStyle w:val="JudgmentText"/>
        <w:rPr>
          <w:color w:val="FF0000"/>
        </w:rPr>
      </w:pPr>
      <w:r w:rsidRPr="0018325D">
        <w:t xml:space="preserve">To sum up, </w:t>
      </w:r>
      <w:r w:rsidR="00581FB7" w:rsidRPr="0018325D">
        <w:t xml:space="preserve">if </w:t>
      </w:r>
      <w:r w:rsidRPr="0018325D">
        <w:t>ACT Offshore</w:t>
      </w:r>
      <w:r w:rsidR="00581FB7" w:rsidRPr="0018325D">
        <w:t xml:space="preserve"> provides nominee shareholder services to the IBCs </w:t>
      </w:r>
      <w:r w:rsidR="00B65775" w:rsidRPr="0018325D">
        <w:t>it</w:t>
      </w:r>
      <w:r w:rsidRPr="0018325D">
        <w:t xml:space="preserve"> should have the nominee agreement and/or declaration of trust in their possession.</w:t>
      </w:r>
      <w:r w:rsidR="00FC0447" w:rsidRPr="0018325D">
        <w:t xml:space="preserve"> </w:t>
      </w:r>
      <w:r w:rsidR="0047167F" w:rsidRPr="0018325D">
        <w:t>Nominee shareholders can also be seen in the register of members which appear</w:t>
      </w:r>
      <w:r w:rsidR="00A71DB0" w:rsidRPr="0018325D">
        <w:t>s</w:t>
      </w:r>
      <w:r w:rsidR="0047167F" w:rsidRPr="0018325D">
        <w:t xml:space="preserve"> to have been provided</w:t>
      </w:r>
      <w:r w:rsidR="00A71DB0" w:rsidRPr="0018325D">
        <w:t>. The obligation to keep such register is on the IBC and not the registered agent but the latter is required to monitor that the IBC is keeping such records although it cannot compel the IBC to do the same.</w:t>
      </w:r>
      <w:r w:rsidR="0018325D" w:rsidRPr="0018325D">
        <w:t xml:space="preserve"> A registered agent is only required to identify the members of its client companies.</w:t>
      </w:r>
      <w:r w:rsidR="00A71DB0" w:rsidRPr="0018325D">
        <w:t xml:space="preserve"> </w:t>
      </w:r>
      <w:r w:rsidR="00066F19" w:rsidRPr="0018325D">
        <w:t>The registered agent</w:t>
      </w:r>
      <w:r w:rsidRPr="0018325D">
        <w:t xml:space="preserve"> </w:t>
      </w:r>
      <w:r w:rsidR="00066F19" w:rsidRPr="0018325D">
        <w:t xml:space="preserve">is also under an obligation to </w:t>
      </w:r>
      <w:r w:rsidR="00B65775" w:rsidRPr="0018325D">
        <w:t xml:space="preserve">identify the beneficial owner of its client companies and to keep </w:t>
      </w:r>
      <w:r w:rsidR="00846A9F" w:rsidRPr="0018325D">
        <w:t xml:space="preserve">a register of </w:t>
      </w:r>
      <w:r w:rsidRPr="0018325D">
        <w:t xml:space="preserve">the beneficial owners of </w:t>
      </w:r>
      <w:r w:rsidR="00B65775" w:rsidRPr="0018325D">
        <w:t>such</w:t>
      </w:r>
      <w:r w:rsidRPr="0018325D">
        <w:t xml:space="preserve"> companies</w:t>
      </w:r>
      <w:r w:rsidR="00846A9F" w:rsidRPr="0018325D">
        <w:t xml:space="preserve"> which should show any nominees of the beneficial owner</w:t>
      </w:r>
      <w:r w:rsidR="00B65775" w:rsidRPr="0018325D">
        <w:t>(s)</w:t>
      </w:r>
      <w:r w:rsidRPr="0018325D">
        <w:t xml:space="preserve">. </w:t>
      </w:r>
      <w:r w:rsidR="00066F19" w:rsidRPr="0018325D">
        <w:t>I</w:t>
      </w:r>
      <w:r w:rsidRPr="0018325D">
        <w:t xml:space="preserve">t appears </w:t>
      </w:r>
      <w:r w:rsidR="00066F19" w:rsidRPr="0018325D">
        <w:t xml:space="preserve">that </w:t>
      </w:r>
      <w:r w:rsidR="00B65775" w:rsidRPr="0018325D">
        <w:t>ACT</w:t>
      </w:r>
      <w:r w:rsidRPr="0018325D">
        <w:t xml:space="preserve"> </w:t>
      </w:r>
      <w:r w:rsidR="00B65775" w:rsidRPr="0018325D">
        <w:t xml:space="preserve">did </w:t>
      </w:r>
      <w:r w:rsidRPr="0018325D">
        <w:t>provide information</w:t>
      </w:r>
      <w:r w:rsidR="00846A9F" w:rsidRPr="0018325D">
        <w:t xml:space="preserve"> regarding the identity of the beneficial owner</w:t>
      </w:r>
      <w:r w:rsidR="00B65775" w:rsidRPr="0018325D">
        <w:t xml:space="preserve"> as it has not been requested in this application</w:t>
      </w:r>
      <w:r w:rsidR="00A03683" w:rsidRPr="0018325D">
        <w:t>,</w:t>
      </w:r>
      <w:r w:rsidRPr="0018325D">
        <w:t xml:space="preserve"> but </w:t>
      </w:r>
      <w:r w:rsidR="0047167F" w:rsidRPr="0018325D">
        <w:t>the exact documents they provided is not known as the</w:t>
      </w:r>
      <w:r w:rsidR="00B65775" w:rsidRPr="0018325D">
        <w:t>y were not produced by the applicant</w:t>
      </w:r>
      <w:r w:rsidR="00846A9F" w:rsidRPr="0018325D">
        <w:t xml:space="preserve">. </w:t>
      </w:r>
      <w:r w:rsidR="00B65775" w:rsidRPr="0018325D">
        <w:t xml:space="preserve">The documents disclosed by the applicant may well show the </w:t>
      </w:r>
      <w:r w:rsidR="00A03683" w:rsidRPr="0018325D">
        <w:t xml:space="preserve">particulars of how ownership of the companies is structured </w:t>
      </w:r>
      <w:r w:rsidR="00B65775" w:rsidRPr="0018325D">
        <w:t>which would in turn inform the Court as to</w:t>
      </w:r>
      <w:r w:rsidR="00A03683" w:rsidRPr="0018325D">
        <w:t xml:space="preserve"> whether ACT actually has in its possession any declarations of trust and/or nominee agreements and</w:t>
      </w:r>
      <w:r w:rsidR="0018325D" w:rsidRPr="0018325D">
        <w:t>/or</w:t>
      </w:r>
      <w:r w:rsidR="00A03683" w:rsidRPr="0018325D">
        <w:t xml:space="preserve"> whether or not it is required to have them, but in the absence of the same the Court is left in the dark on that issue.</w:t>
      </w:r>
      <w:r w:rsidR="00A71DB0" w:rsidRPr="0018325D">
        <w:t xml:space="preserve"> </w:t>
      </w:r>
      <w:r w:rsidR="00251D02" w:rsidRPr="0018325D">
        <w:t>The registers of directors and members of both companies may also show the structure of the companies</w:t>
      </w:r>
      <w:r w:rsidR="0018325D" w:rsidRPr="0018325D">
        <w:t xml:space="preserve"> and whether ACT is providing any nominee services to Kirkwell and Shanklin</w:t>
      </w:r>
      <w:r w:rsidR="00251D02" w:rsidRPr="0018325D">
        <w:t xml:space="preserve">. They appear to have been provided but </w:t>
      </w:r>
      <w:r w:rsidR="0018325D" w:rsidRPr="0018325D">
        <w:t xml:space="preserve">as </w:t>
      </w:r>
      <w:r w:rsidR="00251D02" w:rsidRPr="0018325D">
        <w:t xml:space="preserve">stated the registered agent has no power to compel an IBC to keep or disclose those records to it. </w:t>
      </w:r>
      <w:r w:rsidR="0018325D" w:rsidRPr="0018325D">
        <w:t>The registered agent only has the obligation to identify members and directors. The keeping of registers by the registered agent applies only to beneficial owners of its client companies.</w:t>
      </w:r>
    </w:p>
    <w:p w:rsidR="00A03683" w:rsidRPr="0018325D" w:rsidRDefault="00A03683" w:rsidP="00882817">
      <w:pPr>
        <w:pStyle w:val="JudgmentText"/>
      </w:pPr>
      <w:r w:rsidRPr="0018325D">
        <w:t>In the circumstances the Court can only order the applicant:</w:t>
      </w:r>
    </w:p>
    <w:p w:rsidR="00A03683" w:rsidRPr="0018325D" w:rsidRDefault="0065456F" w:rsidP="00BB3071">
      <w:pPr>
        <w:pStyle w:val="JudgmentText"/>
        <w:numPr>
          <w:ilvl w:val="0"/>
          <w:numId w:val="15"/>
        </w:numPr>
      </w:pPr>
      <w:r w:rsidRPr="0018325D">
        <w:lastRenderedPageBreak/>
        <w:t>T</w:t>
      </w:r>
      <w:r w:rsidR="00A03683" w:rsidRPr="0018325D">
        <w:t xml:space="preserve">o confirm whether it acts as, has provided or arranged for others to provide a nominee shareholder for </w:t>
      </w:r>
      <w:r w:rsidR="006658AA" w:rsidRPr="0018325D">
        <w:t>Kirkwell and/or Shanklin, and if it does or has to disclose the nominee agreement required to be kept pursuant to paragraph 24.2 of the Code for ICSPs.</w:t>
      </w:r>
    </w:p>
    <w:p w:rsidR="006658AA" w:rsidRPr="0018325D" w:rsidRDefault="006658AA" w:rsidP="00BB3071">
      <w:pPr>
        <w:pStyle w:val="JudgmentText"/>
        <w:numPr>
          <w:ilvl w:val="0"/>
          <w:numId w:val="15"/>
        </w:numPr>
      </w:pPr>
      <w:r w:rsidRPr="0018325D">
        <w:t xml:space="preserve">If </w:t>
      </w:r>
      <w:r w:rsidR="00752AA4">
        <w:t>the respondent has not already done so</w:t>
      </w:r>
      <w:r w:rsidRPr="0018325D">
        <w:t>, to confirm the nature of the relationship between the Carey Group and ACT, if any</w:t>
      </w:r>
      <w:r w:rsidR="0065456F" w:rsidRPr="0018325D">
        <w:t>.</w:t>
      </w:r>
    </w:p>
    <w:p w:rsidR="006658AA" w:rsidRPr="0018325D" w:rsidRDefault="006658AA" w:rsidP="00BB3071">
      <w:pPr>
        <w:pStyle w:val="JudgmentText"/>
        <w:numPr>
          <w:ilvl w:val="0"/>
          <w:numId w:val="15"/>
        </w:numPr>
      </w:pPr>
      <w:r w:rsidRPr="0018325D">
        <w:t>If the register</w:t>
      </w:r>
      <w:r w:rsidR="0065456F" w:rsidRPr="0018325D">
        <w:t xml:space="preserve"> of</w:t>
      </w:r>
      <w:r w:rsidRPr="0018325D">
        <w:t xml:space="preserve"> beneficial owners </w:t>
      </w:r>
      <w:r w:rsidR="0065456F" w:rsidRPr="0018325D">
        <w:t xml:space="preserve">has not been disclosed, to disclose the identity of any nominee(s) holding interest on behalf of the beneficial owner, the particulars and details of the interest held by such nominee and any relevant information </w:t>
      </w:r>
      <w:r w:rsidR="00A71DB0" w:rsidRPr="0018325D">
        <w:t>regarding such nominee and interest</w:t>
      </w:r>
      <w:r w:rsidR="0065456F" w:rsidRPr="0018325D">
        <w:t>.</w:t>
      </w:r>
    </w:p>
    <w:p w:rsidR="00AE0FB8" w:rsidRPr="00AE0FB8" w:rsidRDefault="00AE0FB8" w:rsidP="00A13379">
      <w:pPr>
        <w:pStyle w:val="Jjmntheading2"/>
        <w:rPr>
          <w:lang w:val="en-GB"/>
        </w:rPr>
      </w:pPr>
      <w:r w:rsidRPr="00AE0FB8">
        <w:rPr>
          <w:lang w:val="en-GB"/>
        </w:rPr>
        <w:t xml:space="preserve">Copies of any Powers of Attorney </w:t>
      </w:r>
    </w:p>
    <w:p w:rsidR="00B337E8" w:rsidRDefault="00AE0FB8" w:rsidP="00B337E8">
      <w:pPr>
        <w:pStyle w:val="JudgmentText"/>
      </w:pPr>
      <w:r w:rsidRPr="00420E39">
        <w:t xml:space="preserve">Section 39 of the IBC Act </w:t>
      </w:r>
      <w:r w:rsidR="00B337E8">
        <w:t>empowers IBCs to issue p</w:t>
      </w:r>
      <w:r w:rsidRPr="00420E39">
        <w:t>ower</w:t>
      </w:r>
      <w:r w:rsidR="00B337E8">
        <w:t>s</w:t>
      </w:r>
      <w:r w:rsidRPr="00420E39">
        <w:t xml:space="preserve"> of </w:t>
      </w:r>
      <w:r w:rsidR="00B337E8">
        <w:t>a</w:t>
      </w:r>
      <w:r w:rsidRPr="00420E39">
        <w:t>ttorney.</w:t>
      </w:r>
      <w:r w:rsidR="00EC1380">
        <w:t xml:space="preserve"> </w:t>
      </w:r>
      <w:r w:rsidR="00B337E8">
        <w:t>It provides as follows:</w:t>
      </w:r>
    </w:p>
    <w:p w:rsidR="00B337E8" w:rsidRDefault="00B337E8" w:rsidP="00BB3071">
      <w:pPr>
        <w:pStyle w:val="NumberedQuotationindent1"/>
        <w:numPr>
          <w:ilvl w:val="3"/>
          <w:numId w:val="11"/>
        </w:numPr>
        <w:ind w:left="1080" w:hanging="360"/>
      </w:pPr>
      <w:r>
        <w:t>(1)</w:t>
      </w:r>
      <w:r>
        <w:tab/>
      </w:r>
      <w:r w:rsidRPr="00B337E8">
        <w:t>Subject to its memorandum and articles, a company may by an instrument in writing appoint a person as its attorney either generally or in relation to a specific matter.</w:t>
      </w:r>
    </w:p>
    <w:p w:rsidR="00B337E8" w:rsidRDefault="00B337E8" w:rsidP="00B337E8">
      <w:pPr>
        <w:pStyle w:val="NumberedQuotationindent1"/>
        <w:numPr>
          <w:ilvl w:val="0"/>
          <w:numId w:val="0"/>
        </w:numPr>
        <w:ind w:left="1080"/>
      </w:pPr>
      <w:r w:rsidRPr="00967390">
        <w:t>(2) An act of an attorney appointed under subsection (1) in accordance with the instrument</w:t>
      </w:r>
      <w:r>
        <w:t xml:space="preserve"> under which he was appointed binds the company.</w:t>
      </w:r>
    </w:p>
    <w:p w:rsidR="00B337E8" w:rsidRDefault="00B337E8" w:rsidP="00B337E8">
      <w:pPr>
        <w:pStyle w:val="NumberedQuotationindent1"/>
        <w:numPr>
          <w:ilvl w:val="0"/>
          <w:numId w:val="0"/>
        </w:numPr>
        <w:ind w:left="1080"/>
      </w:pPr>
      <w:r w:rsidRPr="00967390">
        <w:t>(3) An instrument appointing an attorney under subsection (1) may either be –</w:t>
      </w:r>
      <w:r>
        <w:t xml:space="preserve"> </w:t>
      </w:r>
      <w:r w:rsidRPr="00967390">
        <w:t>(a) executed as a deed; or</w:t>
      </w:r>
      <w:r>
        <w:t xml:space="preserve"> </w:t>
      </w:r>
      <w:r w:rsidRPr="00967390">
        <w:t>(b) signed by a person acting under the express or implied authority of the company.</w:t>
      </w:r>
    </w:p>
    <w:p w:rsidR="00B337E8" w:rsidRDefault="00B337E8" w:rsidP="00B337E8">
      <w:pPr>
        <w:pStyle w:val="NumberedQuotationindent1"/>
        <w:numPr>
          <w:ilvl w:val="0"/>
          <w:numId w:val="0"/>
        </w:numPr>
        <w:ind w:left="1080"/>
      </w:pPr>
    </w:p>
    <w:p w:rsidR="00AE0FB8" w:rsidRPr="00420E39" w:rsidRDefault="00AE0FB8" w:rsidP="00B337E8">
      <w:pPr>
        <w:pStyle w:val="JudgmentText"/>
      </w:pPr>
      <w:r w:rsidRPr="00420E39">
        <w:t xml:space="preserve">The document should usually be signed by the director of an IBC. Where the </w:t>
      </w:r>
      <w:r w:rsidR="00EA68A6" w:rsidRPr="00420E39">
        <w:t xml:space="preserve">registered agent </w:t>
      </w:r>
      <w:r w:rsidRPr="00420E39">
        <w:t xml:space="preserve">also provides nominee director services, the </w:t>
      </w:r>
      <w:r w:rsidR="00EA68A6">
        <w:t xml:space="preserve">power of attorney </w:t>
      </w:r>
      <w:r w:rsidRPr="00420E39">
        <w:t xml:space="preserve">will be signed by </w:t>
      </w:r>
      <w:r w:rsidR="00E50DD9">
        <w:t xml:space="preserve">a </w:t>
      </w:r>
      <w:r w:rsidRPr="00420E39">
        <w:t>director</w:t>
      </w:r>
      <w:r w:rsidR="00C7723F">
        <w:t xml:space="preserve"> or employee of the registered agent. </w:t>
      </w:r>
      <w:r w:rsidR="00EC1380">
        <w:t>The term ‘employee’ is defined in p</w:t>
      </w:r>
      <w:r w:rsidR="00C7723F">
        <w:t>aragraph 2</w:t>
      </w:r>
      <w:r w:rsidR="00EC1380">
        <w:t>4</w:t>
      </w:r>
      <w:r w:rsidR="00C7723F">
        <w:t xml:space="preserve">.8 of the Code </w:t>
      </w:r>
      <w:r w:rsidR="00EC1380">
        <w:t>for ICSPs</w:t>
      </w:r>
      <w:r w:rsidR="00EC1380" w:rsidRPr="00420E39">
        <w:t xml:space="preserve"> </w:t>
      </w:r>
      <w:r w:rsidR="00EC1380">
        <w:t>which deals with</w:t>
      </w:r>
      <w:r w:rsidR="004B3107" w:rsidRPr="00420E39">
        <w:t xml:space="preserve"> provision of directorship services to specified entities</w:t>
      </w:r>
      <w:r w:rsidR="00EC1380">
        <w:t xml:space="preserve">, </w:t>
      </w:r>
      <w:r w:rsidR="00C7723F">
        <w:t>to include a Professional Officer</w:t>
      </w:r>
      <w:r w:rsidR="003C550B">
        <w:t xml:space="preserve">. A Professional Officer </w:t>
      </w:r>
      <w:r w:rsidR="00C7723F" w:rsidRPr="003C550B">
        <w:rPr>
          <w:i/>
        </w:rPr>
        <w:t xml:space="preserve">“means … any individual who enters into an agreement with the [registered agent] to provide directorship services to specified entities to which the </w:t>
      </w:r>
      <w:r w:rsidR="004B3107" w:rsidRPr="003C550B">
        <w:rPr>
          <w:i/>
        </w:rPr>
        <w:t>[registered agent] provides registered agent services</w:t>
      </w:r>
      <w:r w:rsidR="003C550B">
        <w:t>”.</w:t>
      </w:r>
      <w:r w:rsidRPr="004B3107">
        <w:t xml:space="preserve"> Paragraph 24.8. </w:t>
      </w:r>
      <w:r w:rsidR="004B3107">
        <w:t>further states that</w:t>
      </w:r>
      <w:r w:rsidRPr="00420E39">
        <w:t>:</w:t>
      </w:r>
    </w:p>
    <w:p w:rsidR="00AE0FB8" w:rsidRPr="00AE0FB8" w:rsidRDefault="00AE0FB8" w:rsidP="00AE0FB8">
      <w:pPr>
        <w:spacing w:after="240" w:line="240" w:lineRule="auto"/>
        <w:ind w:left="1440"/>
        <w:jc w:val="both"/>
        <w:rPr>
          <w:rFonts w:ascii="Times New Roman" w:eastAsia="Times New Roman" w:hAnsi="Times New Roman" w:cs="Times New Roman"/>
          <w:sz w:val="24"/>
          <w:szCs w:val="24"/>
          <w:lang w:val="en-GB"/>
        </w:rPr>
      </w:pPr>
      <w:r w:rsidRPr="00AE0FB8">
        <w:rPr>
          <w:rFonts w:ascii="Times New Roman" w:eastAsia="Times New Roman" w:hAnsi="Times New Roman" w:cs="Times New Roman"/>
          <w:i/>
          <w:sz w:val="24"/>
          <w:szCs w:val="24"/>
          <w:lang w:val="en-GB"/>
        </w:rPr>
        <w:t xml:space="preserve">The directors </w:t>
      </w:r>
      <w:r w:rsidR="003C550B">
        <w:rPr>
          <w:rFonts w:ascii="Times New Roman" w:eastAsia="Times New Roman" w:hAnsi="Times New Roman" w:cs="Times New Roman"/>
          <w:i/>
          <w:sz w:val="24"/>
          <w:szCs w:val="24"/>
          <w:lang w:val="en-GB"/>
        </w:rPr>
        <w:t xml:space="preserve">should </w:t>
      </w:r>
      <w:r w:rsidRPr="00AE0FB8">
        <w:rPr>
          <w:rFonts w:ascii="Times New Roman" w:eastAsia="Times New Roman" w:hAnsi="Times New Roman" w:cs="Times New Roman"/>
          <w:i/>
          <w:sz w:val="24"/>
          <w:szCs w:val="24"/>
          <w:lang w:val="en-GB"/>
        </w:rPr>
        <w:t xml:space="preserve">remain responsible for the exercise of the powers they delegate and should monitor the exercise of the delegated powers. </w:t>
      </w:r>
      <w:r w:rsidRPr="00AE0FB8">
        <w:rPr>
          <w:rFonts w:ascii="Times New Roman" w:eastAsia="Times New Roman" w:hAnsi="Times New Roman" w:cs="Times New Roman"/>
          <w:b/>
          <w:i/>
          <w:sz w:val="24"/>
          <w:szCs w:val="24"/>
          <w:lang w:val="en-GB"/>
        </w:rPr>
        <w:t xml:space="preserve">This applies to </w:t>
      </w:r>
      <w:r w:rsidRPr="00AE0FB8">
        <w:rPr>
          <w:rFonts w:ascii="Times New Roman" w:eastAsia="Times New Roman" w:hAnsi="Times New Roman" w:cs="Times New Roman"/>
          <w:b/>
          <w:i/>
          <w:sz w:val="24"/>
          <w:szCs w:val="24"/>
          <w:lang w:val="en-GB"/>
        </w:rPr>
        <w:lastRenderedPageBreak/>
        <w:t xml:space="preserve">the issuing of powers of attorney, and control of bank accounts </w:t>
      </w:r>
      <w:r w:rsidRPr="00AE0FB8">
        <w:rPr>
          <w:rFonts w:ascii="Times New Roman" w:eastAsia="Times New Roman" w:hAnsi="Times New Roman" w:cs="Times New Roman"/>
          <w:i/>
          <w:sz w:val="24"/>
          <w:szCs w:val="24"/>
          <w:lang w:val="en-GB"/>
        </w:rPr>
        <w:t xml:space="preserve">(financial transactions and assets belonging to the client company). In all circumstances, the board should keep the delegated powers within restricted parameters as may be appropriate and ensure that it does not relinquish ultimate control over the company affairs. </w:t>
      </w:r>
      <w:r w:rsidRPr="00AE0FB8">
        <w:rPr>
          <w:rFonts w:ascii="Times New Roman" w:eastAsia="Times New Roman" w:hAnsi="Times New Roman" w:cs="Times New Roman"/>
          <w:b/>
          <w:i/>
          <w:sz w:val="24"/>
          <w:szCs w:val="24"/>
          <w:lang w:val="en-GB"/>
        </w:rPr>
        <w:t>Notwithstanding that the directors are not the authorised signatories or are not the only persons authorised to sign on the client company’s bank account, ultimate control thereof would be expected to remain with the directors</w:t>
      </w:r>
      <w:r w:rsidRPr="00AE0FB8">
        <w:rPr>
          <w:rFonts w:ascii="Times New Roman" w:eastAsia="Times New Roman" w:hAnsi="Times New Roman" w:cs="Times New Roman"/>
          <w:i/>
          <w:sz w:val="24"/>
          <w:szCs w:val="24"/>
          <w:lang w:val="en-GB"/>
        </w:rPr>
        <w:t xml:space="preserve">” </w:t>
      </w:r>
      <w:r w:rsidRPr="00AE0FB8">
        <w:rPr>
          <w:rFonts w:ascii="Times New Roman" w:eastAsia="Times New Roman" w:hAnsi="Times New Roman" w:cs="Times New Roman"/>
          <w:sz w:val="24"/>
          <w:szCs w:val="24"/>
          <w:lang w:val="en-GB"/>
        </w:rPr>
        <w:t>(emphasis added)</w:t>
      </w:r>
    </w:p>
    <w:p w:rsidR="00665BCC" w:rsidRDefault="00AE0FB8" w:rsidP="00E65945">
      <w:pPr>
        <w:pStyle w:val="JudgmentText"/>
      </w:pPr>
      <w:r w:rsidRPr="0045229B">
        <w:t xml:space="preserve">As noted </w:t>
      </w:r>
      <w:r w:rsidR="003C550B">
        <w:t>previously</w:t>
      </w:r>
      <w:r w:rsidRPr="0045229B">
        <w:t>, Mr B</w:t>
      </w:r>
      <w:r w:rsidR="005E690F">
        <w:t>o</w:t>
      </w:r>
      <w:r w:rsidRPr="0045229B">
        <w:t>urlakov requested nominee director service</w:t>
      </w:r>
      <w:r w:rsidR="004B3107" w:rsidRPr="0045229B">
        <w:t>s from the Carey Group (Clause 9 (b) of the Company Formation Questionnaire</w:t>
      </w:r>
      <w:r w:rsidR="0045229B">
        <w:t>)</w:t>
      </w:r>
      <w:r w:rsidR="0045229B" w:rsidRPr="0045229B">
        <w:t xml:space="preserve">. </w:t>
      </w:r>
      <w:r w:rsidR="003C550B">
        <w:t>T</w:t>
      </w:r>
      <w:r w:rsidR="0045229B" w:rsidRPr="0045229B">
        <w:t xml:space="preserve">he Company Management Agreement was entered into </w:t>
      </w:r>
      <w:r w:rsidR="003C550B">
        <w:t>by Mr. Bourlakov with</w:t>
      </w:r>
      <w:r w:rsidR="0045229B" w:rsidRPr="0045229B">
        <w:t xml:space="preserve"> </w:t>
      </w:r>
      <w:r w:rsidRPr="0045229B">
        <w:t xml:space="preserve">Carey </w:t>
      </w:r>
      <w:r w:rsidR="003C550B">
        <w:t xml:space="preserve">and not ACT. </w:t>
      </w:r>
      <w:r w:rsidR="00665BCC">
        <w:t>The proper person</w:t>
      </w:r>
      <w:r w:rsidR="00572B3D">
        <w:t xml:space="preserve"> </w:t>
      </w:r>
      <w:r w:rsidR="00665BCC">
        <w:t>to provide copies of powers of attorne</w:t>
      </w:r>
      <w:r w:rsidR="00572B3D">
        <w:t xml:space="preserve">y in </w:t>
      </w:r>
      <w:r w:rsidR="00C60EA3">
        <w:t>that</w:t>
      </w:r>
      <w:r w:rsidR="00572B3D">
        <w:t xml:space="preserve"> case would be the nominee director provided by Carey.</w:t>
      </w:r>
      <w:r w:rsidR="00665BCC">
        <w:t xml:space="preserve"> </w:t>
      </w:r>
    </w:p>
    <w:p w:rsidR="00572B3D" w:rsidRDefault="00DE405D" w:rsidP="00572B3D">
      <w:pPr>
        <w:pStyle w:val="JudgmentText"/>
      </w:pPr>
      <w:r>
        <w:t xml:space="preserve">However </w:t>
      </w:r>
      <w:r w:rsidR="00C60EA3">
        <w:t xml:space="preserve">in the event that </w:t>
      </w:r>
      <w:r w:rsidRPr="00420E39">
        <w:t xml:space="preserve">ACT </w:t>
      </w:r>
      <w:r>
        <w:t>did provide</w:t>
      </w:r>
      <w:r w:rsidRPr="00420E39">
        <w:t xml:space="preserve"> </w:t>
      </w:r>
      <w:r w:rsidR="00AE0FB8" w:rsidRPr="0045229B">
        <w:t>nominee</w:t>
      </w:r>
      <w:r w:rsidR="00AE0FB8" w:rsidRPr="00420E39">
        <w:t xml:space="preserve"> director</w:t>
      </w:r>
      <w:r w:rsidR="0045229B">
        <w:t xml:space="preserve"> services</w:t>
      </w:r>
      <w:r w:rsidR="00AE0FB8" w:rsidRPr="00420E39">
        <w:t xml:space="preserve"> </w:t>
      </w:r>
      <w:r>
        <w:t>to the IBCs, it</w:t>
      </w:r>
      <w:r w:rsidR="00AE0FB8" w:rsidRPr="00420E39">
        <w:t xml:space="preserve"> </w:t>
      </w:r>
      <w:r w:rsidR="00FA3D0F">
        <w:t>may</w:t>
      </w:r>
      <w:r w:rsidR="00F41052">
        <w:t xml:space="preserve"> </w:t>
      </w:r>
      <w:r w:rsidR="00AE0FB8" w:rsidRPr="00420E39">
        <w:t xml:space="preserve">have </w:t>
      </w:r>
      <w:r w:rsidR="00FA3D0F">
        <w:t>a</w:t>
      </w:r>
      <w:r w:rsidR="00AE0FB8" w:rsidRPr="00420E39">
        <w:t xml:space="preserve"> record of </w:t>
      </w:r>
      <w:r w:rsidR="0045229B">
        <w:t xml:space="preserve">any </w:t>
      </w:r>
      <w:r w:rsidR="0045229B" w:rsidRPr="00420E39">
        <w:t>powers of attorney</w:t>
      </w:r>
      <w:r w:rsidR="0045229B" w:rsidRPr="0045229B">
        <w:t xml:space="preserve"> </w:t>
      </w:r>
      <w:r w:rsidR="0045229B" w:rsidRPr="00420E39">
        <w:t>issued</w:t>
      </w:r>
      <w:r w:rsidR="00F41052">
        <w:t xml:space="preserve"> by such nominee directors</w:t>
      </w:r>
      <w:r w:rsidR="00C60EA3">
        <w:t xml:space="preserve"> especially where the nominee director is a director of the registered agent</w:t>
      </w:r>
      <w:r w:rsidR="00AE0FB8" w:rsidRPr="00420E39">
        <w:t xml:space="preserve">. </w:t>
      </w:r>
      <w:r w:rsidR="00572B3D" w:rsidRPr="00420E39">
        <w:t xml:space="preserve"> However,</w:t>
      </w:r>
      <w:r w:rsidR="00572B3D">
        <w:t xml:space="preserve"> </w:t>
      </w:r>
      <w:r w:rsidR="005B505C">
        <w:t>as</w:t>
      </w:r>
      <w:r w:rsidR="00572B3D">
        <w:t xml:space="preserve"> </w:t>
      </w:r>
      <w:r w:rsidR="005B505C">
        <w:t>sta</w:t>
      </w:r>
      <w:r w:rsidR="00572B3D">
        <w:t xml:space="preserve">ted </w:t>
      </w:r>
      <w:r w:rsidR="00572B3D" w:rsidRPr="00420E39">
        <w:t xml:space="preserve">it is the directors </w:t>
      </w:r>
      <w:r w:rsidR="00572B3D">
        <w:t>who</w:t>
      </w:r>
      <w:r w:rsidR="00572B3D" w:rsidRPr="00420E39">
        <w:t xml:space="preserve"> are responsible for monitoring the exerci</w:t>
      </w:r>
      <w:r w:rsidR="00572B3D">
        <w:t xml:space="preserve">se of the powers they delegate and </w:t>
      </w:r>
      <w:r w:rsidR="00572B3D" w:rsidRPr="00420E39">
        <w:t xml:space="preserve">not the </w:t>
      </w:r>
      <w:r w:rsidR="00572B3D">
        <w:t>r</w:t>
      </w:r>
      <w:r w:rsidR="00572B3D" w:rsidRPr="00420E39">
        <w:t xml:space="preserve">egistered </w:t>
      </w:r>
      <w:r w:rsidR="00572B3D">
        <w:t xml:space="preserve">agent, irrespective of whether those directors are nominee directors provided by the registered agent or not, </w:t>
      </w:r>
      <w:r w:rsidR="00672296">
        <w:t>hence</w:t>
      </w:r>
      <w:r w:rsidR="00572B3D">
        <w:t xml:space="preserve"> the proper person to provide the copies of the power of attorney would be the nominee directors themselves. If </w:t>
      </w:r>
      <w:r w:rsidR="00C60EA3" w:rsidRPr="00420E39">
        <w:t xml:space="preserve">ACT </w:t>
      </w:r>
      <w:r w:rsidR="00572B3D">
        <w:t xml:space="preserve">did not provide </w:t>
      </w:r>
      <w:r w:rsidR="00C60EA3">
        <w:t>nominee director</w:t>
      </w:r>
      <w:r w:rsidR="00572B3D">
        <w:t xml:space="preserve"> services </w:t>
      </w:r>
      <w:r w:rsidR="00C60EA3">
        <w:t>i</w:t>
      </w:r>
      <w:r w:rsidR="00C60EA3" w:rsidRPr="00420E39">
        <w:t xml:space="preserve">t is possible </w:t>
      </w:r>
      <w:r w:rsidR="00C60EA3">
        <w:t>that</w:t>
      </w:r>
      <w:r w:rsidR="00C60EA3" w:rsidRPr="00420E39">
        <w:t xml:space="preserve"> </w:t>
      </w:r>
      <w:r w:rsidR="00C60EA3">
        <w:t>it</w:t>
      </w:r>
      <w:r w:rsidR="00C60EA3" w:rsidRPr="00420E39">
        <w:t xml:space="preserve"> </w:t>
      </w:r>
      <w:r w:rsidR="00C60EA3">
        <w:t xml:space="preserve">was </w:t>
      </w:r>
      <w:r w:rsidR="00C60EA3" w:rsidRPr="00420E39">
        <w:t xml:space="preserve">not informed </w:t>
      </w:r>
      <w:r w:rsidR="00C60EA3">
        <w:t xml:space="preserve">by </w:t>
      </w:r>
      <w:r w:rsidR="00C60EA3" w:rsidRPr="00420E39">
        <w:t>the interme</w:t>
      </w:r>
      <w:r w:rsidR="00C60EA3">
        <w:t xml:space="preserve">diary and/or </w:t>
      </w:r>
      <w:r w:rsidR="00C60EA3" w:rsidRPr="00420E39">
        <w:t>client</w:t>
      </w:r>
      <w:r w:rsidR="005B505C">
        <w:t xml:space="preserve"> company</w:t>
      </w:r>
      <w:r w:rsidR="00C60EA3" w:rsidRPr="00420E39">
        <w:t xml:space="preserve"> </w:t>
      </w:r>
      <w:r w:rsidR="00C60EA3">
        <w:t>o</w:t>
      </w:r>
      <w:r w:rsidR="00C60EA3" w:rsidRPr="00420E39">
        <w:t xml:space="preserve">f any power of attorney </w:t>
      </w:r>
      <w:r w:rsidR="00C60EA3">
        <w:t xml:space="preserve">that may have been </w:t>
      </w:r>
      <w:r w:rsidR="00C60EA3" w:rsidRPr="00420E39">
        <w:t>issued</w:t>
      </w:r>
      <w:r w:rsidR="00BF00B6">
        <w:t xml:space="preserve">. </w:t>
      </w:r>
      <w:r w:rsidR="005B505C">
        <w:t>While i</w:t>
      </w:r>
      <w:r w:rsidR="00BF00B6">
        <w:t xml:space="preserve">t could </w:t>
      </w:r>
      <w:r w:rsidR="00572B3D" w:rsidRPr="00420E39">
        <w:t xml:space="preserve">have requested </w:t>
      </w:r>
      <w:r w:rsidR="00C60EA3">
        <w:t>copies of powers of attorney</w:t>
      </w:r>
      <w:r w:rsidR="00572B3D">
        <w:t xml:space="preserve"> </w:t>
      </w:r>
      <w:r w:rsidR="00572B3D" w:rsidRPr="00420E39">
        <w:t>from the companies’</w:t>
      </w:r>
      <w:r w:rsidR="00BF00B6">
        <w:t xml:space="preserve"> directors and/or</w:t>
      </w:r>
      <w:r w:rsidR="00572B3D" w:rsidRPr="00420E39">
        <w:t xml:space="preserve"> intermediary</w:t>
      </w:r>
      <w:r w:rsidR="00BF00B6">
        <w:t xml:space="preserve"> </w:t>
      </w:r>
      <w:r w:rsidR="005B505C">
        <w:t>it</w:t>
      </w:r>
      <w:r w:rsidR="00BF00B6">
        <w:t xml:space="preserve"> cannot compel them to provide them</w:t>
      </w:r>
      <w:r w:rsidR="00572B3D" w:rsidRPr="00420E39">
        <w:t xml:space="preserve">. </w:t>
      </w:r>
    </w:p>
    <w:p w:rsidR="004102DF" w:rsidRDefault="00234F6B" w:rsidP="00EA6B8B">
      <w:pPr>
        <w:pStyle w:val="JudgmentText"/>
      </w:pPr>
      <w:r>
        <w:t>The d</w:t>
      </w:r>
      <w:r w:rsidR="0054153E" w:rsidRPr="00420E39">
        <w:t xml:space="preserve">irectors of the </w:t>
      </w:r>
      <w:r w:rsidR="00DE405D">
        <w:t>IBCs</w:t>
      </w:r>
      <w:r w:rsidR="0054153E" w:rsidRPr="00420E39">
        <w:t xml:space="preserve"> should be ascertainable from the Register of Directors which </w:t>
      </w:r>
      <w:r w:rsidR="00BF00B6">
        <w:t xml:space="preserve">appears to have been </w:t>
      </w:r>
      <w:r w:rsidR="00F41052">
        <w:t>disclosed to</w:t>
      </w:r>
      <w:r w:rsidR="0054153E" w:rsidRPr="00420E39">
        <w:t xml:space="preserve"> the </w:t>
      </w:r>
      <w:r w:rsidR="00F41052">
        <w:t>a</w:t>
      </w:r>
      <w:r w:rsidR="0054153E" w:rsidRPr="00420E39">
        <w:t>pplicant</w:t>
      </w:r>
      <w:r w:rsidR="00F41052">
        <w:t xml:space="preserve"> and</w:t>
      </w:r>
      <w:r w:rsidR="00871668">
        <w:t xml:space="preserve"> from whom </w:t>
      </w:r>
      <w:r w:rsidR="00DE405D">
        <w:t>copies of any powers of attorney issued</w:t>
      </w:r>
      <w:r w:rsidR="00871668">
        <w:t xml:space="preserve"> </w:t>
      </w:r>
      <w:r w:rsidR="0054153E">
        <w:t>could be requested</w:t>
      </w:r>
      <w:r w:rsidR="00C60EA3">
        <w:t>.</w:t>
      </w:r>
      <w:r w:rsidR="00EA6B8B">
        <w:t xml:space="preserve"> </w:t>
      </w:r>
      <w:r w:rsidR="00871668">
        <w:t>In my view</w:t>
      </w:r>
      <w:r w:rsidR="00EA6B8B">
        <w:t xml:space="preserve"> therefore,</w:t>
      </w:r>
      <w:r w:rsidR="00871668">
        <w:t xml:space="preserve"> the ap</w:t>
      </w:r>
      <w:r w:rsidR="00AE0FB8" w:rsidRPr="00420E39">
        <w:t>plicant’s request for copies of power</w:t>
      </w:r>
      <w:r w:rsidR="00871668">
        <w:t>s</w:t>
      </w:r>
      <w:r w:rsidR="00AE0FB8" w:rsidRPr="00420E39">
        <w:t xml:space="preserve"> of attorney </w:t>
      </w:r>
      <w:r w:rsidR="00871668">
        <w:t>should have</w:t>
      </w:r>
      <w:r w:rsidR="004102DF">
        <w:t xml:space="preserve"> </w:t>
      </w:r>
      <w:r w:rsidR="00871668">
        <w:t>been directed to</w:t>
      </w:r>
      <w:r w:rsidR="00AE0FB8" w:rsidRPr="00420E39">
        <w:t xml:space="preserve"> the IBCs</w:t>
      </w:r>
      <w:r w:rsidR="00F43D6E">
        <w:t xml:space="preserve"> and their </w:t>
      </w:r>
      <w:r w:rsidR="00AE0FB8" w:rsidRPr="00420E39">
        <w:t>directors rather than</w:t>
      </w:r>
      <w:r w:rsidR="004102DF">
        <w:t xml:space="preserve"> to</w:t>
      </w:r>
      <w:r w:rsidR="00871668">
        <w:t xml:space="preserve"> the r</w:t>
      </w:r>
      <w:r w:rsidR="00AE0FB8" w:rsidRPr="00420E39">
        <w:t xml:space="preserve">egistered </w:t>
      </w:r>
      <w:r w:rsidR="00871668">
        <w:t>a</w:t>
      </w:r>
      <w:r w:rsidR="00AE0FB8" w:rsidRPr="00420E39">
        <w:t>gent</w:t>
      </w:r>
      <w:r w:rsidR="00871668">
        <w:t>,</w:t>
      </w:r>
      <w:r w:rsidR="00AE0FB8" w:rsidRPr="00420E39">
        <w:t xml:space="preserve"> </w:t>
      </w:r>
      <w:r w:rsidR="00EA6B8B">
        <w:t xml:space="preserve">more so </w:t>
      </w:r>
      <w:r w:rsidR="00AE0FB8" w:rsidRPr="00420E39">
        <w:t xml:space="preserve">as </w:t>
      </w:r>
      <w:r w:rsidR="00871668">
        <w:t>a r</w:t>
      </w:r>
      <w:r w:rsidR="00AE0FB8" w:rsidRPr="00420E39">
        <w:t xml:space="preserve">egistered </w:t>
      </w:r>
      <w:r w:rsidR="00871668">
        <w:t>a</w:t>
      </w:r>
      <w:r w:rsidR="00AE0FB8" w:rsidRPr="00420E39">
        <w:t xml:space="preserve">gent does not have </w:t>
      </w:r>
      <w:r w:rsidR="00871668">
        <w:t>the</w:t>
      </w:r>
      <w:r w:rsidR="00AE0FB8" w:rsidRPr="00420E39">
        <w:t xml:space="preserve"> power to compel directors to provide </w:t>
      </w:r>
      <w:r w:rsidR="00871668">
        <w:t>such documents in the event of their refusal to do so</w:t>
      </w:r>
      <w:r w:rsidR="004102DF">
        <w:t>.</w:t>
      </w:r>
      <w:r w:rsidR="00EA6B8B" w:rsidRPr="00EA6B8B">
        <w:t xml:space="preserve"> </w:t>
      </w:r>
      <w:r w:rsidR="00EA6B8B">
        <w:t xml:space="preserve">It must also not be discounted that it is possible that no </w:t>
      </w:r>
      <w:r w:rsidR="00EA6B8B" w:rsidRPr="00420E39">
        <w:t xml:space="preserve">power of attorney </w:t>
      </w:r>
      <w:r w:rsidR="00EA6B8B">
        <w:t>was ever</w:t>
      </w:r>
      <w:r w:rsidR="00EA6B8B" w:rsidRPr="00420E39">
        <w:t xml:space="preserve"> issued</w:t>
      </w:r>
      <w:r w:rsidR="00EA6B8B">
        <w:t>.</w:t>
      </w:r>
      <w:r w:rsidR="006931E3">
        <w:t xml:space="preserve"> In the circumstances. </w:t>
      </w:r>
    </w:p>
    <w:p w:rsidR="006931E3" w:rsidRDefault="006931E3" w:rsidP="00EA6B8B">
      <w:pPr>
        <w:pStyle w:val="JudgmentText"/>
      </w:pPr>
      <w:r>
        <w:lastRenderedPageBreak/>
        <w:t>The only Order that the Court can make therefore is for the respondent:</w:t>
      </w:r>
    </w:p>
    <w:p w:rsidR="006931E3" w:rsidRDefault="006931E3" w:rsidP="00BB3071">
      <w:pPr>
        <w:pStyle w:val="JudgmentText"/>
        <w:numPr>
          <w:ilvl w:val="0"/>
          <w:numId w:val="16"/>
        </w:numPr>
      </w:pPr>
      <w:r>
        <w:t xml:space="preserve">To </w:t>
      </w:r>
      <w:r w:rsidRPr="0018325D">
        <w:t>confirm whether</w:t>
      </w:r>
      <w:r>
        <w:t xml:space="preserve"> it has provided nominee director services to </w:t>
      </w:r>
      <w:r w:rsidRPr="0018325D">
        <w:t>Kirkwell and/or Shanklin</w:t>
      </w:r>
      <w:r>
        <w:t>, directly through one of its own directors or indirectly through an employee/professional officer.</w:t>
      </w:r>
    </w:p>
    <w:p w:rsidR="006931E3" w:rsidRDefault="006931E3" w:rsidP="00BB3071">
      <w:pPr>
        <w:pStyle w:val="JudgmentText"/>
        <w:numPr>
          <w:ilvl w:val="0"/>
          <w:numId w:val="16"/>
        </w:numPr>
      </w:pPr>
      <w:r>
        <w:t>If it has provided</w:t>
      </w:r>
      <w:r w:rsidRPr="006931E3">
        <w:t xml:space="preserve"> </w:t>
      </w:r>
      <w:r>
        <w:t>nominee director services directly through one of its own directors to provide any powers of attorney issued by such director.</w:t>
      </w:r>
    </w:p>
    <w:p w:rsidR="00AE0FB8" w:rsidRPr="00AE0FB8" w:rsidRDefault="00AE0FB8" w:rsidP="00A13379">
      <w:pPr>
        <w:pStyle w:val="Jjmntheading2"/>
        <w:rPr>
          <w:lang w:val="en-GB"/>
        </w:rPr>
      </w:pPr>
      <w:r w:rsidRPr="00AE0FB8">
        <w:rPr>
          <w:lang w:val="en-GB"/>
        </w:rPr>
        <w:t xml:space="preserve">A list of any assets held formally or informally by Kirkwell inc. and Shanklin </w:t>
      </w:r>
    </w:p>
    <w:p w:rsidR="00EA6B8B" w:rsidRDefault="00651DC9" w:rsidP="00EA6B8B">
      <w:pPr>
        <w:pStyle w:val="JudgmentText"/>
      </w:pPr>
      <w:r>
        <w:t>T</w:t>
      </w:r>
      <w:r w:rsidR="00AE0FB8" w:rsidRPr="00420E39">
        <w:t xml:space="preserve">here is no duty </w:t>
      </w:r>
      <w:r>
        <w:t xml:space="preserve">imposed </w:t>
      </w:r>
      <w:r w:rsidR="00AE0FB8" w:rsidRPr="00420E39">
        <w:t xml:space="preserve">upon </w:t>
      </w:r>
      <w:r w:rsidR="006931E3">
        <w:t>a</w:t>
      </w:r>
      <w:r w:rsidR="00AE0FB8" w:rsidRPr="00420E39">
        <w:t xml:space="preserve"> </w:t>
      </w:r>
      <w:r w:rsidRPr="00420E39">
        <w:t xml:space="preserve">registered agent </w:t>
      </w:r>
      <w:r>
        <w:t xml:space="preserve">either </w:t>
      </w:r>
      <w:r w:rsidR="00AE0FB8" w:rsidRPr="00420E39">
        <w:t xml:space="preserve">under the IBC Act or the ICSP Act to keep a list of </w:t>
      </w:r>
      <w:r>
        <w:t xml:space="preserve">a </w:t>
      </w:r>
      <w:r w:rsidR="00AE0FB8" w:rsidRPr="00420E39">
        <w:t>company’s assets</w:t>
      </w:r>
      <w:r w:rsidR="00D20B1C">
        <w:t xml:space="preserve"> since the</w:t>
      </w:r>
      <w:r w:rsidR="00AE0FB8" w:rsidRPr="00420E39">
        <w:t xml:space="preserve"> business and affairs of a company are managed by company’s directors</w:t>
      </w:r>
      <w:r w:rsidR="00F3269F">
        <w:t xml:space="preserve"> as stated by </w:t>
      </w:r>
      <w:r w:rsidR="00AE0FB8" w:rsidRPr="00420E39">
        <w:t>section 128 of the IBC Act</w:t>
      </w:r>
      <w:r w:rsidR="00EA6B8B">
        <w:t xml:space="preserve"> </w:t>
      </w:r>
      <w:r w:rsidR="006931E3">
        <w:t>hich provides a</w:t>
      </w:r>
      <w:r w:rsidR="00EA6B8B">
        <w:t>as follows:</w:t>
      </w:r>
    </w:p>
    <w:p w:rsidR="00EA6B8B" w:rsidRDefault="00EA6B8B" w:rsidP="00BB3071">
      <w:pPr>
        <w:pStyle w:val="NumberedQuotationindent1"/>
        <w:numPr>
          <w:ilvl w:val="3"/>
          <w:numId w:val="12"/>
        </w:numPr>
        <w:tabs>
          <w:tab w:val="left" w:pos="1440"/>
        </w:tabs>
        <w:ind w:left="720" w:firstLine="0"/>
      </w:pPr>
      <w:r>
        <w:t>Subject to any modifications or limitations in the company’s memorandum or articles –</w:t>
      </w:r>
    </w:p>
    <w:p w:rsidR="00EA6B8B" w:rsidRDefault="00EA6B8B" w:rsidP="00F43D6E">
      <w:pPr>
        <w:pStyle w:val="NumberedQuotationindent1"/>
        <w:numPr>
          <w:ilvl w:val="0"/>
          <w:numId w:val="0"/>
        </w:numPr>
        <w:ind w:left="1440" w:hanging="360"/>
      </w:pPr>
      <w:r>
        <w:t>(a) the business and affairs of a company shall be managed by, or under the direction or supervision of, the directors of the company; and</w:t>
      </w:r>
    </w:p>
    <w:p w:rsidR="00EA6B8B" w:rsidRDefault="00EA6B8B" w:rsidP="00F43D6E">
      <w:pPr>
        <w:pStyle w:val="NumberedQuotationindent1"/>
        <w:numPr>
          <w:ilvl w:val="0"/>
          <w:numId w:val="0"/>
        </w:numPr>
        <w:ind w:left="1440" w:hanging="360"/>
      </w:pPr>
      <w:r>
        <w:t>(b) the directors of a company have all the powers necessary for managing, and for directing and supervising, the business and affairs of the company.</w:t>
      </w:r>
    </w:p>
    <w:p w:rsidR="006D2053" w:rsidRPr="00DB4248" w:rsidRDefault="006D2053" w:rsidP="00F43D6E">
      <w:pPr>
        <w:pStyle w:val="NumberedQuotationindent1"/>
        <w:numPr>
          <w:ilvl w:val="0"/>
          <w:numId w:val="0"/>
        </w:numPr>
        <w:ind w:left="1440" w:hanging="360"/>
      </w:pPr>
    </w:p>
    <w:p w:rsidR="00420E39" w:rsidRDefault="00AE0FB8" w:rsidP="00E57EAD">
      <w:pPr>
        <w:pStyle w:val="JudgmentText"/>
      </w:pPr>
      <w:r w:rsidRPr="00420E39">
        <w:t>As noted earlier,</w:t>
      </w:r>
      <w:r w:rsidR="002B27A1">
        <w:t xml:space="preserve"> a r</w:t>
      </w:r>
      <w:r w:rsidRPr="00420E39">
        <w:t xml:space="preserve">egistered </w:t>
      </w:r>
      <w:r w:rsidR="002B27A1">
        <w:t>a</w:t>
      </w:r>
      <w:r w:rsidRPr="00420E39">
        <w:t>gent may provide nominee director services</w:t>
      </w:r>
      <w:r w:rsidR="00F3269F">
        <w:t xml:space="preserve"> to an IBC</w:t>
      </w:r>
      <w:r w:rsidRPr="00420E39">
        <w:t xml:space="preserve">. </w:t>
      </w:r>
      <w:r w:rsidR="002B27A1">
        <w:t>W</w:t>
      </w:r>
      <w:r w:rsidRPr="00420E39">
        <w:t xml:space="preserve">here </w:t>
      </w:r>
      <w:r w:rsidR="002B27A1">
        <w:t xml:space="preserve">a </w:t>
      </w:r>
      <w:r w:rsidRPr="00420E39">
        <w:t xml:space="preserve">nominee director is provided by the </w:t>
      </w:r>
      <w:r w:rsidR="002B27A1">
        <w:t>r</w:t>
      </w:r>
      <w:r w:rsidRPr="00420E39">
        <w:t xml:space="preserve">egistered </w:t>
      </w:r>
      <w:r w:rsidR="002B27A1">
        <w:t>a</w:t>
      </w:r>
      <w:r w:rsidRPr="00420E39">
        <w:t xml:space="preserve">gent, the </w:t>
      </w:r>
      <w:r w:rsidR="002B27A1">
        <w:t>r</w:t>
      </w:r>
      <w:r w:rsidRPr="00420E39">
        <w:t xml:space="preserve">egistered </w:t>
      </w:r>
      <w:r w:rsidR="002B27A1">
        <w:t>a</w:t>
      </w:r>
      <w:r w:rsidRPr="00420E39">
        <w:t xml:space="preserve">gent </w:t>
      </w:r>
      <w:r w:rsidRPr="00E57EAD">
        <w:rPr>
          <w:i/>
        </w:rPr>
        <w:t>may</w:t>
      </w:r>
      <w:r w:rsidRPr="00420E39">
        <w:t xml:space="preserve"> have information relating to the assets of the company. </w:t>
      </w:r>
      <w:r w:rsidR="002B27A1">
        <w:t>However w</w:t>
      </w:r>
      <w:r w:rsidRPr="00420E39">
        <w:t xml:space="preserve">here </w:t>
      </w:r>
      <w:r w:rsidR="00F3269F">
        <w:t xml:space="preserve">the </w:t>
      </w:r>
      <w:r w:rsidRPr="00420E39">
        <w:t>directors</w:t>
      </w:r>
      <w:r w:rsidR="00F3269F">
        <w:t xml:space="preserve"> of the IBC</w:t>
      </w:r>
      <w:r w:rsidRPr="00420E39">
        <w:t xml:space="preserve"> are not </w:t>
      </w:r>
      <w:r w:rsidR="002B27A1">
        <w:t>connected</w:t>
      </w:r>
      <w:r w:rsidRPr="00420E39">
        <w:t xml:space="preserve"> </w:t>
      </w:r>
      <w:r w:rsidR="00F3269F" w:rsidRPr="00420E39">
        <w:t xml:space="preserve">in any way </w:t>
      </w:r>
      <w:r w:rsidRPr="00420E39">
        <w:t xml:space="preserve">to the </w:t>
      </w:r>
      <w:r w:rsidR="002B27A1">
        <w:t>r</w:t>
      </w:r>
      <w:r w:rsidRPr="00420E39">
        <w:t xml:space="preserve">egistered </w:t>
      </w:r>
      <w:r w:rsidR="002B27A1">
        <w:t>a</w:t>
      </w:r>
      <w:r w:rsidRPr="00420E39">
        <w:t xml:space="preserve">gent, the </w:t>
      </w:r>
      <w:r w:rsidR="002B27A1">
        <w:t>r</w:t>
      </w:r>
      <w:r w:rsidRPr="00420E39">
        <w:t xml:space="preserve">egistered </w:t>
      </w:r>
      <w:r w:rsidR="002B27A1">
        <w:t>a</w:t>
      </w:r>
      <w:r w:rsidRPr="00420E39">
        <w:t xml:space="preserve">gent might not have full information </w:t>
      </w:r>
      <w:r w:rsidR="00F3269F">
        <w:t>regarding such</w:t>
      </w:r>
      <w:r w:rsidRPr="00420E39">
        <w:t xml:space="preserve"> assets.</w:t>
      </w:r>
    </w:p>
    <w:p w:rsidR="008E1907" w:rsidRDefault="00AE0FB8" w:rsidP="008E1907">
      <w:pPr>
        <w:pStyle w:val="JudgmentText"/>
      </w:pPr>
      <w:r w:rsidRPr="00420E39">
        <w:t xml:space="preserve">Nevertheless, some information relating to </w:t>
      </w:r>
      <w:r w:rsidR="00F3269F">
        <w:t xml:space="preserve">the </w:t>
      </w:r>
      <w:r w:rsidRPr="00420E39">
        <w:t>assets</w:t>
      </w:r>
      <w:r w:rsidR="002B27A1">
        <w:t xml:space="preserve"> of a</w:t>
      </w:r>
      <w:r w:rsidR="00A83F5B">
        <w:t>n IBC</w:t>
      </w:r>
      <w:r w:rsidRPr="00420E39">
        <w:t xml:space="preserve"> may be found in </w:t>
      </w:r>
      <w:r w:rsidR="00F3269F">
        <w:t>its</w:t>
      </w:r>
      <w:r w:rsidRPr="00420E39">
        <w:t xml:space="preserve"> financial documents. Section 2 of the IBC Act defines </w:t>
      </w:r>
      <w:r w:rsidR="00711DE6">
        <w:t>‘</w:t>
      </w:r>
      <w:r w:rsidRPr="00420E39">
        <w:t>accounting records</w:t>
      </w:r>
      <w:r w:rsidR="00711DE6">
        <w:t>’</w:t>
      </w:r>
      <w:r w:rsidRPr="00420E39">
        <w:t xml:space="preserve"> as</w:t>
      </w:r>
      <w:r w:rsidR="00F43D6E">
        <w:t xml:space="preserve"> follows:</w:t>
      </w:r>
      <w:r w:rsidRPr="00420E39">
        <w:t xml:space="preserve"> </w:t>
      </w:r>
    </w:p>
    <w:p w:rsidR="008E1907" w:rsidRDefault="00AE0FB8" w:rsidP="008E1907">
      <w:pPr>
        <w:pStyle w:val="Unnumberedquote"/>
      </w:pPr>
      <w:r w:rsidRPr="008E1907">
        <w:t>accounting records”, in relation to a company, means documents in respect of –</w:t>
      </w:r>
    </w:p>
    <w:p w:rsidR="008E1907" w:rsidRDefault="00AE0FB8" w:rsidP="008E1907">
      <w:pPr>
        <w:pStyle w:val="Unnumberedquote"/>
      </w:pPr>
      <w:r w:rsidRPr="00AE0FB8">
        <w:t xml:space="preserve">(a) </w:t>
      </w:r>
      <w:r w:rsidRPr="00F3269F">
        <w:rPr>
          <w:b/>
        </w:rPr>
        <w:t>the company’s assets</w:t>
      </w:r>
      <w:r w:rsidR="008E1907">
        <w:t xml:space="preserve"> and liabilities</w:t>
      </w:r>
    </w:p>
    <w:p w:rsidR="008E1907" w:rsidRDefault="00AE0FB8" w:rsidP="008E1907">
      <w:pPr>
        <w:pStyle w:val="Unnumberedquote"/>
      </w:pPr>
      <w:r w:rsidRPr="00AE0FB8">
        <w:t>(b) the receipts and expenditure of the company; and</w:t>
      </w:r>
    </w:p>
    <w:p w:rsidR="008E1907" w:rsidRDefault="00AE0FB8" w:rsidP="008E1907">
      <w:pPr>
        <w:pStyle w:val="Unnumberedquote"/>
      </w:pPr>
      <w:r w:rsidRPr="00AE0FB8">
        <w:t>(c) the sales, purchases and other transactions to which the company is a party;</w:t>
      </w:r>
    </w:p>
    <w:p w:rsidR="008E1907" w:rsidRDefault="008E1907" w:rsidP="008E1907">
      <w:pPr>
        <w:pStyle w:val="Unnumberedquote"/>
      </w:pPr>
    </w:p>
    <w:p w:rsidR="00AE0FB8" w:rsidRPr="00420E39" w:rsidRDefault="00AE0FB8" w:rsidP="00420E39">
      <w:pPr>
        <w:pStyle w:val="JudgmentText"/>
      </w:pPr>
      <w:r w:rsidRPr="00420E39">
        <w:lastRenderedPageBreak/>
        <w:t xml:space="preserve">Section 174 of the IBC Act </w:t>
      </w:r>
      <w:r w:rsidR="00F3269F">
        <w:t>imposes</w:t>
      </w:r>
      <w:r w:rsidRPr="00420E39">
        <w:t xml:space="preserve"> </w:t>
      </w:r>
      <w:r w:rsidR="00A83F5B">
        <w:t>an o</w:t>
      </w:r>
      <w:r w:rsidR="00F3269F">
        <w:t>bligation</w:t>
      </w:r>
      <w:r w:rsidRPr="00420E39">
        <w:t xml:space="preserve"> </w:t>
      </w:r>
      <w:r w:rsidRPr="002B27A1">
        <w:t xml:space="preserve">on </w:t>
      </w:r>
      <w:r w:rsidR="00F3269F">
        <w:t>an</w:t>
      </w:r>
      <w:r w:rsidRPr="002B27A1">
        <w:t xml:space="preserve"> IBC</w:t>
      </w:r>
      <w:r w:rsidR="002B27A1" w:rsidRPr="002B27A1">
        <w:t xml:space="preserve"> and</w:t>
      </w:r>
      <w:r w:rsidR="002B27A1" w:rsidRPr="00F3269F">
        <w:t xml:space="preserve"> </w:t>
      </w:r>
      <w:r w:rsidR="002B27A1" w:rsidRPr="002B27A1">
        <w:rPr>
          <w:u w:val="single"/>
        </w:rPr>
        <w:t>not the r</w:t>
      </w:r>
      <w:r w:rsidRPr="002B27A1">
        <w:rPr>
          <w:u w:val="single"/>
        </w:rPr>
        <w:t xml:space="preserve">egistered </w:t>
      </w:r>
      <w:r w:rsidR="002B27A1" w:rsidRPr="002B27A1">
        <w:rPr>
          <w:u w:val="single"/>
        </w:rPr>
        <w:t>a</w:t>
      </w:r>
      <w:r w:rsidRPr="002B27A1">
        <w:rPr>
          <w:u w:val="single"/>
        </w:rPr>
        <w:t>gent</w:t>
      </w:r>
      <w:r w:rsidRPr="00420E39">
        <w:t xml:space="preserve"> to keep reliable accounting records and provides for fines for non-compliance</w:t>
      </w:r>
      <w:r w:rsidR="00F3269F">
        <w:t xml:space="preserve"> with such obligation. It provides</w:t>
      </w:r>
      <w:r w:rsidRPr="00420E39">
        <w:t>:</w:t>
      </w:r>
    </w:p>
    <w:p w:rsidR="00AE0FB8" w:rsidRPr="00AE0FB8" w:rsidRDefault="00AE0FB8" w:rsidP="00BB3071">
      <w:pPr>
        <w:pStyle w:val="NumberedQuotationindent1"/>
        <w:numPr>
          <w:ilvl w:val="3"/>
          <w:numId w:val="13"/>
        </w:numPr>
        <w:tabs>
          <w:tab w:val="left" w:pos="1080"/>
          <w:tab w:val="left" w:pos="1260"/>
        </w:tabs>
        <w:ind w:left="1080" w:hanging="360"/>
        <w:rPr>
          <w:lang w:val="en-GB"/>
        </w:rPr>
      </w:pPr>
      <w:r w:rsidRPr="00AE0FB8">
        <w:rPr>
          <w:lang w:val="en-GB"/>
        </w:rPr>
        <w:t>(1) A company shall keep reliable accounting records that –</w:t>
      </w:r>
    </w:p>
    <w:p w:rsidR="00AE0FB8" w:rsidRPr="00AE0FB8" w:rsidRDefault="00AE0FB8" w:rsidP="00672296">
      <w:pPr>
        <w:pStyle w:val="NumberedQuotationindent1"/>
        <w:numPr>
          <w:ilvl w:val="0"/>
          <w:numId w:val="0"/>
        </w:numPr>
        <w:ind w:left="1080" w:firstLine="540"/>
        <w:rPr>
          <w:lang w:val="en-GB"/>
        </w:rPr>
      </w:pPr>
      <w:r w:rsidRPr="00AE0FB8">
        <w:rPr>
          <w:lang w:val="en-GB"/>
        </w:rPr>
        <w:t>(a) are sufficient to show and explain the company’s transactions;</w:t>
      </w:r>
    </w:p>
    <w:p w:rsidR="00672296" w:rsidRDefault="00AE0FB8" w:rsidP="00672296">
      <w:pPr>
        <w:pStyle w:val="NumberedQuotationindent1"/>
        <w:numPr>
          <w:ilvl w:val="0"/>
          <w:numId w:val="0"/>
        </w:numPr>
        <w:ind w:left="1980" w:hanging="360"/>
        <w:rPr>
          <w:lang w:val="en-GB"/>
        </w:rPr>
      </w:pPr>
      <w:r w:rsidRPr="00AE0FB8">
        <w:rPr>
          <w:lang w:val="en-GB"/>
        </w:rPr>
        <w:t>(b) enable the financial position of the company to be determined with reasonable accuracy at any time; and</w:t>
      </w:r>
    </w:p>
    <w:p w:rsidR="00365087" w:rsidRDefault="00672296" w:rsidP="00672296">
      <w:pPr>
        <w:pStyle w:val="NumberedQuotationindent1"/>
        <w:numPr>
          <w:ilvl w:val="0"/>
          <w:numId w:val="0"/>
        </w:numPr>
        <w:ind w:left="1980" w:hanging="360"/>
        <w:rPr>
          <w:lang w:val="en-GB"/>
        </w:rPr>
      </w:pPr>
      <w:r>
        <w:rPr>
          <w:lang w:val="en-GB"/>
        </w:rPr>
        <w:t>(c)</w:t>
      </w:r>
      <w:r>
        <w:rPr>
          <w:lang w:val="en-GB"/>
        </w:rPr>
        <w:tab/>
      </w:r>
      <w:r w:rsidR="00AE0FB8" w:rsidRPr="00AE0FB8">
        <w:rPr>
          <w:lang w:val="en-GB"/>
        </w:rPr>
        <w:t>allow</w:t>
      </w:r>
      <w:r w:rsidR="00365087">
        <w:rPr>
          <w:lang w:val="en-GB"/>
        </w:rPr>
        <w:t xml:space="preserve"> </w:t>
      </w:r>
      <w:r w:rsidR="00AE0FB8" w:rsidRPr="00AE0FB8">
        <w:rPr>
          <w:lang w:val="en-GB"/>
        </w:rPr>
        <w:t>for accounts of the company to be prepared.</w:t>
      </w:r>
    </w:p>
    <w:p w:rsidR="00672296" w:rsidRPr="00AE0FB8" w:rsidRDefault="00672296" w:rsidP="00672296">
      <w:pPr>
        <w:pStyle w:val="NumberedQuotationindent1"/>
        <w:numPr>
          <w:ilvl w:val="0"/>
          <w:numId w:val="0"/>
        </w:numPr>
        <w:ind w:left="1980" w:hanging="360"/>
        <w:rPr>
          <w:lang w:val="en-GB"/>
        </w:rPr>
      </w:pPr>
    </w:p>
    <w:p w:rsidR="00AE0FB8" w:rsidRDefault="00AE0FB8" w:rsidP="00672296">
      <w:pPr>
        <w:pStyle w:val="NumberedQuotationindent1"/>
        <w:numPr>
          <w:ilvl w:val="0"/>
          <w:numId w:val="0"/>
        </w:numPr>
        <w:ind w:left="720" w:firstLine="540"/>
        <w:rPr>
          <w:lang w:val="en-GB"/>
        </w:rPr>
      </w:pPr>
      <w:r w:rsidRPr="00AE0FB8">
        <w:rPr>
          <w:lang w:val="en-GB"/>
        </w:rPr>
        <w:t>(2) For the purposes of subsection (1), accounting records shall be deemed not to be kept if they do not give a true and fair view of the company’s financial position and explain its transactions</w:t>
      </w:r>
      <w:r w:rsidR="00365087">
        <w:rPr>
          <w:lang w:val="en-GB"/>
        </w:rPr>
        <w:t xml:space="preserve"> …</w:t>
      </w:r>
    </w:p>
    <w:p w:rsidR="00365087" w:rsidRPr="00AE0FB8" w:rsidRDefault="00365087" w:rsidP="00365087">
      <w:pPr>
        <w:pStyle w:val="Unnumberedquote"/>
        <w:ind w:left="1890"/>
        <w:rPr>
          <w:lang w:val="en-GB"/>
        </w:rPr>
      </w:pPr>
    </w:p>
    <w:p w:rsidR="00532ECC" w:rsidRDefault="00532ECC" w:rsidP="00EF225B">
      <w:pPr>
        <w:pStyle w:val="JudgmentText"/>
      </w:pPr>
      <w:r>
        <w:t xml:space="preserve">Section 175 </w:t>
      </w:r>
      <w:r w:rsidR="006D2053" w:rsidRPr="00420E39">
        <w:t xml:space="preserve">of the IBC Act </w:t>
      </w:r>
      <w:r>
        <w:t xml:space="preserve">further provides </w:t>
      </w:r>
      <w:r w:rsidR="006D2053">
        <w:t xml:space="preserve"> in relevant part </w:t>
      </w:r>
      <w:r>
        <w:t>as follows:</w:t>
      </w:r>
    </w:p>
    <w:p w:rsidR="00532ECC" w:rsidRPr="00365087" w:rsidRDefault="00532ECC" w:rsidP="00532ECC">
      <w:pPr>
        <w:pStyle w:val="Unnumberedquote"/>
        <w:ind w:left="1080"/>
      </w:pPr>
      <w:r w:rsidRPr="00365087">
        <w:t>Location and preservation of accounting records</w:t>
      </w:r>
    </w:p>
    <w:p w:rsidR="00532ECC" w:rsidRDefault="00532ECC" w:rsidP="00532ECC">
      <w:pPr>
        <w:pStyle w:val="Unnumberedquote"/>
        <w:ind w:left="360" w:firstLine="720"/>
      </w:pPr>
      <w:r w:rsidRPr="00365087">
        <w:t>175.(1) For the purpose of this section, the term —</w:t>
      </w:r>
    </w:p>
    <w:p w:rsidR="00532ECC" w:rsidRDefault="00532ECC" w:rsidP="00532ECC">
      <w:pPr>
        <w:pStyle w:val="Unnumberedquote"/>
        <w:ind w:left="2160" w:hanging="360"/>
        <w:rPr>
          <w:rFonts w:eastAsia="Times New Roman"/>
          <w:lang w:val="en-GB"/>
        </w:rPr>
      </w:pPr>
      <w:r w:rsidRPr="008E1907">
        <w:rPr>
          <w:rFonts w:eastAsia="Times New Roman"/>
          <w:lang w:val="en-GB"/>
        </w:rPr>
        <w:t xml:space="preserve">(a) “large company” means a company which meets the annual turnover threshold specified for a “large business” under the Revenue Administration Act; </w:t>
      </w:r>
    </w:p>
    <w:p w:rsidR="00532ECC" w:rsidRDefault="00532ECC" w:rsidP="00532ECC">
      <w:pPr>
        <w:pStyle w:val="Unnumberedquote"/>
        <w:ind w:left="2160" w:hanging="360"/>
        <w:rPr>
          <w:rFonts w:eastAsia="Times New Roman"/>
          <w:lang w:val="en-GB"/>
        </w:rPr>
      </w:pPr>
      <w:r w:rsidRPr="008E1907">
        <w:rPr>
          <w:rFonts w:eastAsia="Times New Roman"/>
          <w:lang w:val="en-GB"/>
        </w:rPr>
        <w:t xml:space="preserve">(b) “holding company” means company with no trade or business operations of its own, but holding interests in other companies or assets. </w:t>
      </w:r>
    </w:p>
    <w:p w:rsidR="00365087" w:rsidRDefault="00365087" w:rsidP="00532ECC">
      <w:pPr>
        <w:pStyle w:val="Unnumberedquote"/>
        <w:ind w:left="2160" w:hanging="360"/>
        <w:rPr>
          <w:rFonts w:eastAsia="Times New Roman"/>
          <w:lang w:val="en-GB"/>
        </w:rPr>
      </w:pPr>
    </w:p>
    <w:p w:rsidR="00532ECC" w:rsidRDefault="00532ECC" w:rsidP="00532ECC">
      <w:pPr>
        <w:pStyle w:val="Unnumberedquote"/>
        <w:ind w:left="2160" w:hanging="720"/>
        <w:rPr>
          <w:rFonts w:eastAsia="Times New Roman"/>
          <w:lang w:val="en-GB"/>
        </w:rPr>
      </w:pPr>
      <w:r w:rsidRPr="008E1907">
        <w:rPr>
          <w:rFonts w:eastAsia="Times New Roman"/>
          <w:lang w:val="en-GB"/>
        </w:rPr>
        <w:t xml:space="preserve">(1A) In the case of a company which is — </w:t>
      </w:r>
    </w:p>
    <w:p w:rsidR="00532ECC" w:rsidRDefault="00532ECC" w:rsidP="00BB3071">
      <w:pPr>
        <w:pStyle w:val="Unnumberedquote"/>
        <w:numPr>
          <w:ilvl w:val="0"/>
          <w:numId w:val="9"/>
        </w:numPr>
        <w:rPr>
          <w:rFonts w:eastAsia="Times New Roman"/>
          <w:lang w:val="en-GB"/>
        </w:rPr>
      </w:pPr>
      <w:r w:rsidRPr="008E1907">
        <w:rPr>
          <w:rFonts w:eastAsia="Times New Roman"/>
          <w:lang w:val="en-GB"/>
        </w:rPr>
        <w:t xml:space="preserve">a holding company; and  </w:t>
      </w:r>
    </w:p>
    <w:p w:rsidR="00532ECC" w:rsidRPr="007A4AB0" w:rsidRDefault="00532ECC" w:rsidP="00BB3071">
      <w:pPr>
        <w:pStyle w:val="Unnumberedquote"/>
        <w:numPr>
          <w:ilvl w:val="0"/>
          <w:numId w:val="9"/>
        </w:numPr>
      </w:pPr>
      <w:r w:rsidRPr="008E1907">
        <w:rPr>
          <w:rFonts w:eastAsia="Times New Roman"/>
          <w:lang w:val="en-GB"/>
        </w:rPr>
        <w:t xml:space="preserve">not a large company, </w:t>
      </w:r>
    </w:p>
    <w:p w:rsidR="00532ECC" w:rsidRDefault="00532ECC" w:rsidP="00532ECC">
      <w:pPr>
        <w:spacing w:after="0" w:line="240" w:lineRule="auto"/>
        <w:ind w:left="1440"/>
        <w:jc w:val="both"/>
        <w:rPr>
          <w:rFonts w:ascii="Times New Roman" w:eastAsia="Times New Roman" w:hAnsi="Times New Roman" w:cs="Times New Roman"/>
          <w:i/>
          <w:sz w:val="24"/>
          <w:szCs w:val="24"/>
          <w:lang w:val="en-GB"/>
        </w:rPr>
      </w:pPr>
      <w:r w:rsidRPr="008E1907">
        <w:rPr>
          <w:rFonts w:ascii="Times New Roman" w:eastAsia="Times New Roman" w:hAnsi="Times New Roman" w:cs="Times New Roman"/>
          <w:i/>
          <w:sz w:val="24"/>
          <w:szCs w:val="24"/>
          <w:lang w:val="en-GB"/>
        </w:rPr>
        <w:t xml:space="preserve">the company shall, where its accounting records are kept outside Seychelles, lodge, not less than on a bi-annual basis, the accounting records at the company’s registered office in Seychelles, provided that any accounting records, whether outside Seychelles or not, shall be presented to the Seychelles authorities on request. </w:t>
      </w:r>
    </w:p>
    <w:p w:rsidR="00532ECC" w:rsidRDefault="00532ECC" w:rsidP="00532ECC">
      <w:pPr>
        <w:spacing w:after="0" w:line="240" w:lineRule="auto"/>
        <w:ind w:left="1800"/>
        <w:jc w:val="both"/>
        <w:rPr>
          <w:rFonts w:ascii="Times New Roman" w:eastAsia="Times New Roman" w:hAnsi="Times New Roman" w:cs="Times New Roman"/>
          <w:i/>
          <w:sz w:val="24"/>
          <w:szCs w:val="24"/>
          <w:lang w:val="en-GB"/>
        </w:rPr>
      </w:pPr>
    </w:p>
    <w:p w:rsidR="00532ECC" w:rsidRDefault="00532ECC" w:rsidP="00532ECC">
      <w:pPr>
        <w:spacing w:after="0" w:line="240" w:lineRule="auto"/>
        <w:ind w:left="1440"/>
        <w:jc w:val="both"/>
        <w:rPr>
          <w:rFonts w:ascii="Times New Roman" w:eastAsia="Times New Roman" w:hAnsi="Times New Roman" w:cs="Times New Roman"/>
          <w:i/>
          <w:sz w:val="24"/>
          <w:szCs w:val="24"/>
          <w:lang w:val="en-GB"/>
        </w:rPr>
      </w:pPr>
      <w:r w:rsidRPr="008E1907">
        <w:rPr>
          <w:rFonts w:ascii="Times New Roman" w:eastAsia="Times New Roman" w:hAnsi="Times New Roman" w:cs="Times New Roman"/>
          <w:i/>
          <w:sz w:val="24"/>
          <w:szCs w:val="24"/>
          <w:lang w:val="en-GB"/>
        </w:rPr>
        <w:t>(1B) In the case of a company other than a company specified under subse</w:t>
      </w:r>
      <w:r>
        <w:rPr>
          <w:rFonts w:ascii="Times New Roman" w:eastAsia="Times New Roman" w:hAnsi="Times New Roman" w:cs="Times New Roman"/>
          <w:i/>
          <w:sz w:val="24"/>
          <w:szCs w:val="24"/>
          <w:lang w:val="en-GB"/>
        </w:rPr>
        <w:t xml:space="preserve">ction (1A), the company shall— </w:t>
      </w:r>
    </w:p>
    <w:p w:rsidR="00532ECC" w:rsidRPr="007A4AB0" w:rsidRDefault="00532ECC" w:rsidP="00BB3071">
      <w:pPr>
        <w:pStyle w:val="ListParagraph"/>
        <w:numPr>
          <w:ilvl w:val="0"/>
          <w:numId w:val="10"/>
        </w:numPr>
        <w:spacing w:after="0" w:line="240" w:lineRule="auto"/>
        <w:jc w:val="both"/>
        <w:rPr>
          <w:rFonts w:ascii="Times New Roman" w:eastAsia="Times New Roman" w:hAnsi="Times New Roman" w:cs="Times New Roman"/>
          <w:i/>
          <w:sz w:val="24"/>
          <w:szCs w:val="24"/>
          <w:lang w:val="en-GB"/>
        </w:rPr>
      </w:pPr>
      <w:r w:rsidRPr="007A4AB0">
        <w:rPr>
          <w:rFonts w:ascii="Times New Roman" w:eastAsia="Times New Roman" w:hAnsi="Times New Roman" w:cs="Times New Roman"/>
          <w:i/>
          <w:sz w:val="24"/>
          <w:szCs w:val="24"/>
          <w:lang w:val="en-GB"/>
        </w:rPr>
        <w:t xml:space="preserve">prepare an annual financial summary to be kept at its registered office in Seychelles within 6 months from the end of the company’s financial year; and  </w:t>
      </w:r>
    </w:p>
    <w:p w:rsidR="00532ECC" w:rsidRDefault="00532ECC" w:rsidP="00BB3071">
      <w:pPr>
        <w:pStyle w:val="ListParagraph"/>
        <w:numPr>
          <w:ilvl w:val="0"/>
          <w:numId w:val="10"/>
        </w:numPr>
        <w:spacing w:after="0" w:line="240" w:lineRule="auto"/>
        <w:jc w:val="both"/>
        <w:rPr>
          <w:rFonts w:ascii="Times New Roman" w:eastAsia="Times New Roman" w:hAnsi="Times New Roman" w:cs="Times New Roman"/>
          <w:i/>
          <w:sz w:val="24"/>
          <w:szCs w:val="24"/>
          <w:lang w:val="en-GB"/>
        </w:rPr>
      </w:pPr>
      <w:r w:rsidRPr="007A4AB0">
        <w:rPr>
          <w:rFonts w:ascii="Times New Roman" w:eastAsia="Times New Roman" w:hAnsi="Times New Roman" w:cs="Times New Roman"/>
          <w:i/>
          <w:sz w:val="24"/>
          <w:szCs w:val="24"/>
          <w:lang w:val="en-GB"/>
        </w:rPr>
        <w:t xml:space="preserve">where its accounting records are kept outside Seychelles, lodge, not less than on a bi-annual basis, the accounting records at the company’s registered office in Seychelles, provided that any accounting records, </w:t>
      </w:r>
      <w:r w:rsidRPr="007A4AB0">
        <w:rPr>
          <w:rFonts w:ascii="Times New Roman" w:eastAsia="Times New Roman" w:hAnsi="Times New Roman" w:cs="Times New Roman"/>
          <w:i/>
          <w:sz w:val="24"/>
          <w:szCs w:val="24"/>
          <w:lang w:val="en-GB"/>
        </w:rPr>
        <w:lastRenderedPageBreak/>
        <w:t>whether outside Seychelles or not, shall be presented to the Seychelles authorities on request.</w:t>
      </w:r>
    </w:p>
    <w:p w:rsidR="00532ECC" w:rsidRDefault="00532ECC" w:rsidP="00532ECC">
      <w:pPr>
        <w:pStyle w:val="ListParagraph"/>
        <w:spacing w:after="0" w:line="240" w:lineRule="auto"/>
        <w:ind w:left="2520"/>
        <w:jc w:val="both"/>
        <w:rPr>
          <w:rFonts w:ascii="Times New Roman" w:eastAsia="Times New Roman" w:hAnsi="Times New Roman" w:cs="Times New Roman"/>
          <w:i/>
          <w:sz w:val="24"/>
          <w:szCs w:val="24"/>
          <w:lang w:val="en-GB"/>
        </w:rPr>
      </w:pPr>
    </w:p>
    <w:p w:rsidR="00532ECC" w:rsidRDefault="00145A7D" w:rsidP="00532ECC">
      <w:pPr>
        <w:spacing w:after="0" w:line="240" w:lineRule="auto"/>
        <w:ind w:left="1440"/>
        <w:jc w:val="both"/>
        <w:rPr>
          <w:rFonts w:ascii="Times New Roman" w:eastAsia="Times New Roman" w:hAnsi="Times New Roman" w:cs="Times New Roman"/>
          <w:i/>
          <w:sz w:val="24"/>
          <w:szCs w:val="24"/>
          <w:lang w:val="en-GB"/>
        </w:rPr>
      </w:pPr>
      <w:r>
        <w:rPr>
          <w:rFonts w:ascii="Times New Roman" w:eastAsia="Times New Roman" w:hAnsi="Times New Roman" w:cs="Times New Roman"/>
          <w:i/>
          <w:sz w:val="24"/>
          <w:szCs w:val="24"/>
          <w:lang w:val="en-GB"/>
        </w:rPr>
        <w:t>[…]</w:t>
      </w:r>
    </w:p>
    <w:p w:rsidR="00532ECC" w:rsidRDefault="00532ECC" w:rsidP="00532ECC">
      <w:pPr>
        <w:spacing w:after="0" w:line="240" w:lineRule="auto"/>
        <w:ind w:left="1440"/>
        <w:jc w:val="both"/>
        <w:rPr>
          <w:rFonts w:ascii="Times New Roman" w:eastAsia="Times New Roman" w:hAnsi="Times New Roman" w:cs="Times New Roman"/>
          <w:i/>
          <w:sz w:val="24"/>
          <w:szCs w:val="24"/>
          <w:lang w:val="en-GB"/>
        </w:rPr>
      </w:pPr>
    </w:p>
    <w:p w:rsidR="00532ECC" w:rsidRDefault="00532ECC" w:rsidP="00532ECC">
      <w:pPr>
        <w:spacing w:after="0" w:line="240" w:lineRule="auto"/>
        <w:ind w:left="1440"/>
        <w:jc w:val="both"/>
        <w:rPr>
          <w:rFonts w:ascii="Times New Roman" w:eastAsia="Times New Roman" w:hAnsi="Times New Roman" w:cs="Times New Roman"/>
          <w:i/>
          <w:sz w:val="24"/>
          <w:szCs w:val="24"/>
          <w:lang w:val="en-GB"/>
        </w:rPr>
      </w:pPr>
      <w:r>
        <w:rPr>
          <w:rFonts w:ascii="Times New Roman" w:eastAsia="Times New Roman" w:hAnsi="Times New Roman" w:cs="Times New Roman"/>
          <w:i/>
          <w:sz w:val="24"/>
          <w:szCs w:val="24"/>
          <w:lang w:val="en-GB"/>
        </w:rPr>
        <w:t xml:space="preserve">(2A) Where a company — </w:t>
      </w:r>
    </w:p>
    <w:p w:rsidR="00532ECC" w:rsidRDefault="00532ECC" w:rsidP="00532ECC">
      <w:pPr>
        <w:spacing w:after="0" w:line="240" w:lineRule="auto"/>
        <w:ind w:left="1440" w:firstLine="720"/>
        <w:jc w:val="both"/>
        <w:rPr>
          <w:rFonts w:ascii="Times New Roman" w:eastAsia="Times New Roman" w:hAnsi="Times New Roman" w:cs="Times New Roman"/>
          <w:i/>
          <w:sz w:val="24"/>
          <w:szCs w:val="24"/>
          <w:lang w:val="en-GB"/>
        </w:rPr>
      </w:pPr>
      <w:r w:rsidRPr="008E1907">
        <w:rPr>
          <w:rFonts w:ascii="Times New Roman" w:eastAsia="Times New Roman" w:hAnsi="Times New Roman" w:cs="Times New Roman"/>
          <w:i/>
          <w:sz w:val="24"/>
          <w:szCs w:val="24"/>
          <w:lang w:val="en-GB"/>
        </w:rPr>
        <w:t xml:space="preserve">(a)  keeps a copy of its accounting records at its registered office; </w:t>
      </w:r>
    </w:p>
    <w:p w:rsidR="00532ECC" w:rsidRDefault="00532ECC" w:rsidP="00532ECC">
      <w:pPr>
        <w:spacing w:after="0" w:line="240" w:lineRule="auto"/>
        <w:ind w:left="2520" w:hanging="360"/>
        <w:jc w:val="both"/>
        <w:rPr>
          <w:rFonts w:ascii="Times New Roman" w:eastAsia="Times New Roman" w:hAnsi="Times New Roman" w:cs="Times New Roman"/>
          <w:i/>
          <w:sz w:val="24"/>
          <w:szCs w:val="24"/>
          <w:lang w:val="en-GB"/>
        </w:rPr>
      </w:pPr>
      <w:r w:rsidRPr="008E1907">
        <w:rPr>
          <w:rFonts w:ascii="Times New Roman" w:eastAsia="Times New Roman" w:hAnsi="Times New Roman" w:cs="Times New Roman"/>
          <w:i/>
          <w:sz w:val="24"/>
          <w:szCs w:val="24"/>
          <w:lang w:val="en-GB"/>
        </w:rPr>
        <w:t xml:space="preserve">(b) keeps its original accounting records in Seychelles at a place other than at its registered office, </w:t>
      </w:r>
    </w:p>
    <w:p w:rsidR="00532ECC" w:rsidRDefault="00532ECC" w:rsidP="00532ECC">
      <w:pPr>
        <w:spacing w:after="0" w:line="240" w:lineRule="auto"/>
        <w:ind w:left="1440"/>
        <w:jc w:val="both"/>
        <w:rPr>
          <w:rFonts w:ascii="Times New Roman" w:eastAsia="Times New Roman" w:hAnsi="Times New Roman" w:cs="Times New Roman"/>
          <w:i/>
          <w:sz w:val="24"/>
          <w:szCs w:val="24"/>
          <w:lang w:val="en-GB"/>
        </w:rPr>
      </w:pPr>
      <w:r w:rsidRPr="008E1907">
        <w:rPr>
          <w:rFonts w:ascii="Times New Roman" w:eastAsia="Times New Roman" w:hAnsi="Times New Roman" w:cs="Times New Roman"/>
          <w:i/>
          <w:sz w:val="24"/>
          <w:szCs w:val="24"/>
          <w:lang w:val="en-GB"/>
        </w:rPr>
        <w:t>the company shall notify in writing its registered agent of the physical address of the place where the original accounting recor</w:t>
      </w:r>
      <w:r>
        <w:rPr>
          <w:rFonts w:ascii="Times New Roman" w:eastAsia="Times New Roman" w:hAnsi="Times New Roman" w:cs="Times New Roman"/>
          <w:i/>
          <w:sz w:val="24"/>
          <w:szCs w:val="24"/>
          <w:lang w:val="en-GB"/>
        </w:rPr>
        <w:t>ds are kept.</w:t>
      </w:r>
    </w:p>
    <w:p w:rsidR="00532ECC" w:rsidRDefault="00532ECC" w:rsidP="00532ECC">
      <w:pPr>
        <w:spacing w:after="0" w:line="240" w:lineRule="auto"/>
        <w:ind w:left="1440"/>
        <w:jc w:val="both"/>
        <w:rPr>
          <w:rFonts w:ascii="Times New Roman" w:eastAsia="Times New Roman" w:hAnsi="Times New Roman" w:cs="Times New Roman"/>
          <w:i/>
          <w:sz w:val="24"/>
          <w:szCs w:val="24"/>
          <w:lang w:val="en-GB"/>
        </w:rPr>
      </w:pPr>
    </w:p>
    <w:p w:rsidR="00532ECC" w:rsidRDefault="00532ECC" w:rsidP="00532ECC">
      <w:pPr>
        <w:spacing w:after="0" w:line="240" w:lineRule="auto"/>
        <w:ind w:left="1440"/>
        <w:jc w:val="both"/>
        <w:rPr>
          <w:rFonts w:ascii="Times New Roman" w:eastAsia="Times New Roman" w:hAnsi="Times New Roman" w:cs="Times New Roman"/>
          <w:i/>
          <w:sz w:val="24"/>
          <w:szCs w:val="24"/>
          <w:lang w:val="en-GB"/>
        </w:rPr>
      </w:pPr>
      <w:r w:rsidRPr="008E1907">
        <w:rPr>
          <w:rFonts w:ascii="Times New Roman" w:eastAsia="Times New Roman" w:hAnsi="Times New Roman" w:cs="Times New Roman"/>
          <w:i/>
          <w:sz w:val="24"/>
          <w:szCs w:val="24"/>
          <w:lang w:val="en-GB"/>
        </w:rPr>
        <w:t xml:space="preserve">(3) Where the place at which a company’s original accounting records are kept is changed, the company shall inform its registered agent in writing of the physical address of the new location of the records within 14 days of the </w:t>
      </w:r>
      <w:r>
        <w:rPr>
          <w:rFonts w:ascii="Times New Roman" w:eastAsia="Times New Roman" w:hAnsi="Times New Roman" w:cs="Times New Roman"/>
          <w:i/>
          <w:sz w:val="24"/>
          <w:szCs w:val="24"/>
          <w:lang w:val="en-GB"/>
        </w:rPr>
        <w:t>change of location.</w:t>
      </w:r>
    </w:p>
    <w:p w:rsidR="00532ECC" w:rsidRDefault="00532ECC" w:rsidP="00532ECC">
      <w:pPr>
        <w:spacing w:after="0" w:line="240" w:lineRule="auto"/>
        <w:ind w:left="1440"/>
        <w:jc w:val="both"/>
        <w:rPr>
          <w:rFonts w:ascii="Times New Roman" w:eastAsia="Times New Roman" w:hAnsi="Times New Roman" w:cs="Times New Roman"/>
          <w:i/>
          <w:sz w:val="24"/>
          <w:szCs w:val="24"/>
          <w:lang w:val="en-GB"/>
        </w:rPr>
      </w:pPr>
    </w:p>
    <w:p w:rsidR="00365087" w:rsidRDefault="00532ECC" w:rsidP="00532ECC">
      <w:pPr>
        <w:spacing w:after="0" w:line="240" w:lineRule="auto"/>
        <w:ind w:left="1440"/>
        <w:jc w:val="both"/>
        <w:rPr>
          <w:rFonts w:ascii="Times New Roman" w:eastAsia="Times New Roman" w:hAnsi="Times New Roman" w:cs="Times New Roman"/>
          <w:i/>
          <w:sz w:val="24"/>
          <w:szCs w:val="24"/>
          <w:lang w:val="en-GB"/>
        </w:rPr>
      </w:pPr>
      <w:r>
        <w:rPr>
          <w:rFonts w:ascii="Times New Roman" w:eastAsia="Times New Roman" w:hAnsi="Times New Roman" w:cs="Times New Roman"/>
          <w:i/>
          <w:sz w:val="24"/>
          <w:szCs w:val="24"/>
          <w:lang w:val="en-GB"/>
        </w:rPr>
        <w:t xml:space="preserve">(4) </w:t>
      </w:r>
      <w:r w:rsidRPr="008E1907">
        <w:rPr>
          <w:rFonts w:ascii="Times New Roman" w:eastAsia="Times New Roman" w:hAnsi="Times New Roman" w:cs="Times New Roman"/>
          <w:i/>
          <w:sz w:val="24"/>
          <w:szCs w:val="24"/>
          <w:lang w:val="en-GB"/>
        </w:rPr>
        <w:t>The accounting records shall be preserved by the company for at least 7 years from the date of completion of the transactions or operations to which they each relate.</w:t>
      </w:r>
    </w:p>
    <w:p w:rsidR="00532ECC" w:rsidRDefault="00532ECC" w:rsidP="00532ECC">
      <w:pPr>
        <w:spacing w:after="0" w:line="240" w:lineRule="auto"/>
        <w:ind w:left="1440"/>
        <w:jc w:val="both"/>
        <w:rPr>
          <w:rFonts w:ascii="Times New Roman" w:eastAsia="Times New Roman" w:hAnsi="Times New Roman" w:cs="Times New Roman"/>
          <w:i/>
          <w:sz w:val="24"/>
          <w:szCs w:val="24"/>
          <w:lang w:val="en-GB"/>
        </w:rPr>
      </w:pPr>
      <w:r w:rsidRPr="008E1907">
        <w:rPr>
          <w:rFonts w:ascii="Times New Roman" w:eastAsia="Times New Roman" w:hAnsi="Times New Roman" w:cs="Times New Roman"/>
          <w:i/>
          <w:sz w:val="24"/>
          <w:szCs w:val="24"/>
          <w:lang w:val="en-GB"/>
        </w:rPr>
        <w:t xml:space="preserve"> </w:t>
      </w:r>
    </w:p>
    <w:p w:rsidR="00532ECC" w:rsidRPr="008E1907" w:rsidRDefault="00532ECC" w:rsidP="00532ECC">
      <w:pPr>
        <w:spacing w:after="0" w:line="240" w:lineRule="auto"/>
        <w:ind w:left="1440"/>
        <w:jc w:val="both"/>
        <w:rPr>
          <w:rFonts w:ascii="Times New Roman" w:eastAsia="Times New Roman" w:hAnsi="Times New Roman" w:cs="Times New Roman"/>
          <w:i/>
          <w:sz w:val="24"/>
          <w:szCs w:val="24"/>
          <w:lang w:val="en-GB"/>
        </w:rPr>
      </w:pPr>
      <w:r w:rsidRPr="008E1907">
        <w:rPr>
          <w:rFonts w:ascii="Times New Roman" w:eastAsia="Times New Roman" w:hAnsi="Times New Roman" w:cs="Times New Roman"/>
          <w:i/>
          <w:sz w:val="24"/>
          <w:szCs w:val="24"/>
          <w:lang w:val="en-GB"/>
        </w:rPr>
        <w:t xml:space="preserve">(5)  A company that contravenes this section shall be liable to a penalty fee not exceeding US$10,000. </w:t>
      </w:r>
    </w:p>
    <w:p w:rsidR="00532ECC" w:rsidRPr="008E1907" w:rsidRDefault="00532ECC" w:rsidP="00532ECC">
      <w:pPr>
        <w:spacing w:after="0" w:line="240" w:lineRule="auto"/>
        <w:ind w:left="1440"/>
        <w:jc w:val="both"/>
        <w:rPr>
          <w:rFonts w:ascii="Times New Roman" w:eastAsia="Times New Roman" w:hAnsi="Times New Roman" w:cs="Times New Roman"/>
          <w:i/>
          <w:sz w:val="24"/>
          <w:szCs w:val="24"/>
          <w:lang w:val="en-GB"/>
        </w:rPr>
      </w:pPr>
      <w:r w:rsidRPr="008E1907">
        <w:rPr>
          <w:rFonts w:ascii="Times New Roman" w:eastAsia="Times New Roman" w:hAnsi="Times New Roman" w:cs="Times New Roman"/>
          <w:i/>
          <w:sz w:val="24"/>
          <w:szCs w:val="24"/>
          <w:lang w:val="en-GB"/>
        </w:rPr>
        <w:t xml:space="preserve"> </w:t>
      </w:r>
    </w:p>
    <w:p w:rsidR="00532ECC" w:rsidRDefault="00532ECC" w:rsidP="00532ECC">
      <w:pPr>
        <w:spacing w:after="0" w:line="240" w:lineRule="auto"/>
        <w:ind w:left="1440"/>
        <w:jc w:val="both"/>
        <w:rPr>
          <w:rFonts w:ascii="Times New Roman" w:eastAsia="Times New Roman" w:hAnsi="Times New Roman" w:cs="Times New Roman"/>
          <w:i/>
          <w:sz w:val="24"/>
          <w:szCs w:val="24"/>
          <w:lang w:val="en-GB"/>
        </w:rPr>
      </w:pPr>
      <w:r w:rsidRPr="008E1907">
        <w:rPr>
          <w:rFonts w:ascii="Times New Roman" w:eastAsia="Times New Roman" w:hAnsi="Times New Roman" w:cs="Times New Roman"/>
          <w:i/>
          <w:sz w:val="24"/>
          <w:szCs w:val="24"/>
          <w:lang w:val="en-GB"/>
        </w:rPr>
        <w:t xml:space="preserve">(6) A director who knowingly permits a contravention under this section shall be liable to a penalty fee not exceeding US$10,000.    </w:t>
      </w:r>
    </w:p>
    <w:p w:rsidR="00532ECC" w:rsidRDefault="00532ECC" w:rsidP="00532ECC">
      <w:pPr>
        <w:spacing w:after="0" w:line="240" w:lineRule="auto"/>
        <w:ind w:left="1440"/>
        <w:jc w:val="both"/>
        <w:rPr>
          <w:rFonts w:ascii="Times New Roman" w:eastAsia="Times New Roman" w:hAnsi="Times New Roman" w:cs="Times New Roman"/>
          <w:i/>
          <w:sz w:val="24"/>
          <w:szCs w:val="24"/>
          <w:lang w:val="en-GB"/>
        </w:rPr>
      </w:pPr>
      <w:r w:rsidRPr="008E1907">
        <w:rPr>
          <w:rFonts w:ascii="Times New Roman" w:eastAsia="Times New Roman" w:hAnsi="Times New Roman" w:cs="Times New Roman"/>
          <w:i/>
          <w:sz w:val="24"/>
          <w:szCs w:val="24"/>
          <w:lang w:val="en-GB"/>
        </w:rPr>
        <w:t xml:space="preserve"> </w:t>
      </w:r>
    </w:p>
    <w:p w:rsidR="00AE0FB8" w:rsidRPr="00420E39" w:rsidRDefault="00532ECC" w:rsidP="00EF225B">
      <w:pPr>
        <w:pStyle w:val="JudgmentText"/>
      </w:pPr>
      <w:r>
        <w:t>As can be seen, s</w:t>
      </w:r>
      <w:r w:rsidR="00F3269F">
        <w:t xml:space="preserve">ection 175 </w:t>
      </w:r>
      <w:r w:rsidR="007D52B3">
        <w:t xml:space="preserve">makes a distinction between </w:t>
      </w:r>
      <w:r w:rsidR="003F4867">
        <w:t xml:space="preserve">IBCs which keep their </w:t>
      </w:r>
      <w:r w:rsidR="00C840A0">
        <w:t xml:space="preserve">original accounting records </w:t>
      </w:r>
      <w:r w:rsidR="003F4867">
        <w:t>outside Seychelles and those</w:t>
      </w:r>
      <w:r w:rsidR="00EF225B">
        <w:t xml:space="preserve"> </w:t>
      </w:r>
      <w:r w:rsidR="00145A7D">
        <w:t xml:space="preserve">the </w:t>
      </w:r>
      <w:r w:rsidR="00C840A0">
        <w:t xml:space="preserve">accounting records </w:t>
      </w:r>
      <w:r w:rsidR="00145A7D">
        <w:t>of which</w:t>
      </w:r>
      <w:r w:rsidR="003F4867" w:rsidRPr="003F4867">
        <w:t xml:space="preserve"> </w:t>
      </w:r>
      <w:r w:rsidR="003F4867">
        <w:t xml:space="preserve">are kept in Seychelles.  </w:t>
      </w:r>
      <w:r w:rsidR="006361D2">
        <w:t>For a</w:t>
      </w:r>
      <w:r w:rsidR="00000AF3">
        <w:t>n IBC which keeps its</w:t>
      </w:r>
      <w:r w:rsidR="006361D2">
        <w:t xml:space="preserve"> accounting records </w:t>
      </w:r>
      <w:r w:rsidR="006361D2" w:rsidRPr="006361D2">
        <w:rPr>
          <w:u w:val="single"/>
        </w:rPr>
        <w:t>outside Seychelles</w:t>
      </w:r>
      <w:r w:rsidR="006361D2">
        <w:t xml:space="preserve">, there is an obligation on the company to lodge </w:t>
      </w:r>
      <w:r w:rsidR="00000AF3">
        <w:t>its</w:t>
      </w:r>
      <w:r w:rsidR="006361D2">
        <w:t xml:space="preserve"> accounting records at the company’s registered office</w:t>
      </w:r>
      <w:r w:rsidR="00541A61">
        <w:t xml:space="preserve"> in Seychelles </w:t>
      </w:r>
      <w:r w:rsidR="006361D2">
        <w:t>i.e.</w:t>
      </w:r>
      <w:r w:rsidR="006361D2" w:rsidRPr="00420E39">
        <w:t xml:space="preserve"> the office of the</w:t>
      </w:r>
      <w:r w:rsidR="006361D2">
        <w:t xml:space="preserve"> r</w:t>
      </w:r>
      <w:r w:rsidR="006361D2" w:rsidRPr="00420E39">
        <w:t xml:space="preserve">egistered </w:t>
      </w:r>
      <w:r w:rsidR="006361D2">
        <w:t>a</w:t>
      </w:r>
      <w:r w:rsidR="006361D2" w:rsidRPr="00420E39">
        <w:t>gent</w:t>
      </w:r>
      <w:r w:rsidR="00541A61">
        <w:t>, not less than on a bi-annual basis</w:t>
      </w:r>
      <w:r w:rsidR="005D7CDA">
        <w:t xml:space="preserve"> (section 175(1A) and (1B)</w:t>
      </w:r>
      <w:r w:rsidR="00145A7D">
        <w:t>(b)</w:t>
      </w:r>
      <w:r w:rsidR="00C840A0">
        <w:t>)</w:t>
      </w:r>
      <w:r w:rsidR="005D7CDA">
        <w:t>.</w:t>
      </w:r>
      <w:r w:rsidR="006361D2">
        <w:t xml:space="preserve"> It would seem</w:t>
      </w:r>
      <w:r w:rsidR="00541A61">
        <w:t xml:space="preserve"> however</w:t>
      </w:r>
      <w:r w:rsidR="006361D2">
        <w:t xml:space="preserve"> that an IBC may keep </w:t>
      </w:r>
      <w:r w:rsidR="00B13E20">
        <w:t xml:space="preserve">copies of </w:t>
      </w:r>
      <w:r w:rsidR="00145A7D">
        <w:t xml:space="preserve">its </w:t>
      </w:r>
      <w:r w:rsidR="00B13E20">
        <w:t xml:space="preserve">accounting records at its registered office, or keep </w:t>
      </w:r>
      <w:r w:rsidR="006361D2">
        <w:t xml:space="preserve">its original accounting records in Seychelles at a place other than at its registered office. </w:t>
      </w:r>
      <w:r w:rsidR="003F4867">
        <w:t xml:space="preserve">In </w:t>
      </w:r>
      <w:r w:rsidR="00B13E20">
        <w:t>the latter</w:t>
      </w:r>
      <w:r w:rsidR="003F4867">
        <w:t xml:space="preserve"> case the </w:t>
      </w:r>
      <w:r w:rsidR="00AE0FB8" w:rsidRPr="00420E39">
        <w:t xml:space="preserve">IBC </w:t>
      </w:r>
      <w:r w:rsidR="003F4867">
        <w:t>must</w:t>
      </w:r>
      <w:r w:rsidR="00AE0FB8" w:rsidRPr="00420E39">
        <w:t xml:space="preserve"> inform the </w:t>
      </w:r>
      <w:r w:rsidR="002B27A1">
        <w:t>r</w:t>
      </w:r>
      <w:r w:rsidR="00AE0FB8" w:rsidRPr="00420E39">
        <w:t xml:space="preserve">egistered </w:t>
      </w:r>
      <w:r w:rsidR="002B27A1">
        <w:t>a</w:t>
      </w:r>
      <w:r w:rsidR="00AE0FB8" w:rsidRPr="00420E39">
        <w:t xml:space="preserve">gent of the physical address </w:t>
      </w:r>
      <w:r w:rsidR="003F4867">
        <w:t xml:space="preserve">where the original </w:t>
      </w:r>
      <w:r w:rsidR="00AE0FB8" w:rsidRPr="00420E39">
        <w:t>accounting records are kept</w:t>
      </w:r>
      <w:r w:rsidR="005D7CDA">
        <w:t xml:space="preserve"> </w:t>
      </w:r>
      <w:r w:rsidR="007C4D92">
        <w:t>(section 175 (2A))</w:t>
      </w:r>
      <w:r w:rsidR="00541A61">
        <w:t>.</w:t>
      </w:r>
      <w:r w:rsidR="00EF225B">
        <w:t xml:space="preserve">  </w:t>
      </w:r>
      <w:r w:rsidR="003F4867">
        <w:t xml:space="preserve">In </w:t>
      </w:r>
      <w:r w:rsidR="00B13E20">
        <w:t>any event</w:t>
      </w:r>
      <w:r w:rsidR="00000AF3">
        <w:t xml:space="preserve"> </w:t>
      </w:r>
      <w:r w:rsidR="003F4867" w:rsidRPr="00AB267B">
        <w:rPr>
          <w:i/>
        </w:rPr>
        <w:t xml:space="preserve">“any accounting records, whether </w:t>
      </w:r>
      <w:r w:rsidR="007C4D92" w:rsidRPr="00AB267B">
        <w:rPr>
          <w:i/>
        </w:rPr>
        <w:t xml:space="preserve">kept </w:t>
      </w:r>
      <w:r w:rsidR="003F4867" w:rsidRPr="00AB267B">
        <w:rPr>
          <w:i/>
        </w:rPr>
        <w:t>outside Seychelles or not, shall be presented to the Seychelles authorities on request”</w:t>
      </w:r>
      <w:r w:rsidR="00C97639" w:rsidRPr="00C97639">
        <w:t xml:space="preserve"> </w:t>
      </w:r>
      <w:r w:rsidR="00C97639">
        <w:t>(section 175 (1A) and (1B)</w:t>
      </w:r>
      <w:r w:rsidR="00541A61">
        <w:t>, presumably by the registered agent where such accounting records is in its possession, or by the IBC itself where</w:t>
      </w:r>
      <w:r w:rsidR="00144F9F">
        <w:t xml:space="preserve"> the registered agent does not have them</w:t>
      </w:r>
      <w:r w:rsidR="003F4867">
        <w:t>.</w:t>
      </w:r>
      <w:r w:rsidR="00EF225B">
        <w:t xml:space="preserve"> </w:t>
      </w:r>
      <w:r w:rsidR="004454F7">
        <w:t>Non-compliance with s</w:t>
      </w:r>
      <w:r w:rsidR="00EF225B">
        <w:t xml:space="preserve">ection 175 </w:t>
      </w:r>
      <w:r w:rsidR="004454F7">
        <w:t xml:space="preserve">renders an IBC </w:t>
      </w:r>
      <w:r w:rsidR="00B13E20">
        <w:t xml:space="preserve">liable </w:t>
      </w:r>
      <w:r w:rsidR="004454F7">
        <w:t>to a fine</w:t>
      </w:r>
      <w:r w:rsidR="00C97639">
        <w:t xml:space="preserve"> (section 175 (5)</w:t>
      </w:r>
      <w:r w:rsidR="00AD43CF">
        <w:t>)</w:t>
      </w:r>
      <w:r w:rsidR="004454F7">
        <w:t>.</w:t>
      </w:r>
      <w:r w:rsidR="003159AD">
        <w:t xml:space="preserve"> </w:t>
      </w:r>
    </w:p>
    <w:p w:rsidR="00906C38" w:rsidRDefault="00EF225B" w:rsidP="00C97639">
      <w:pPr>
        <w:pStyle w:val="JudgmentText"/>
      </w:pPr>
      <w:r>
        <w:lastRenderedPageBreak/>
        <w:t xml:space="preserve">It is not known whether the </w:t>
      </w:r>
      <w:r w:rsidR="00F77FCB">
        <w:t xml:space="preserve">accounting </w:t>
      </w:r>
      <w:r>
        <w:t xml:space="preserve">records of the IBCs in this case are kept in or outside Seychelles. If they are kept outside Seychelles, then provided the IBCs are in compliance with </w:t>
      </w:r>
      <w:r w:rsidR="00F77FCB">
        <w:t xml:space="preserve">their obligation to lodge their accounting records at the </w:t>
      </w:r>
      <w:r w:rsidR="00F77FCB" w:rsidRPr="00420E39">
        <w:t>office of the</w:t>
      </w:r>
      <w:r w:rsidR="00F77FCB">
        <w:t xml:space="preserve"> r</w:t>
      </w:r>
      <w:r w:rsidR="00F77FCB" w:rsidRPr="00420E39">
        <w:t xml:space="preserve">egistered </w:t>
      </w:r>
      <w:r w:rsidR="00F77FCB">
        <w:t>a</w:t>
      </w:r>
      <w:r w:rsidR="00F77FCB" w:rsidRPr="00420E39">
        <w:t>gent</w:t>
      </w:r>
      <w:r w:rsidR="00F77FCB">
        <w:t xml:space="preserve">, such records may be obtained from the </w:t>
      </w:r>
      <w:r w:rsidR="008263DE">
        <w:t>registered agent</w:t>
      </w:r>
      <w:r w:rsidR="00C97639">
        <w:t xml:space="preserve"> who must furnish them </w:t>
      </w:r>
      <w:r w:rsidR="00DD4AD1">
        <w:t>if</w:t>
      </w:r>
      <w:r w:rsidR="00C97639">
        <w:t xml:space="preserve"> requested</w:t>
      </w:r>
      <w:r w:rsidR="008263DE">
        <w:t>.</w:t>
      </w:r>
      <w:r w:rsidR="004454F7">
        <w:t xml:space="preserve"> It is to be noted that the registered agent has no power to compel an IBC to lodge the records at the registered office where the IBC does not do so.</w:t>
      </w:r>
      <w:r w:rsidR="00B13E20">
        <w:t xml:space="preserve"> Similarly if copies of the records are kept at the registered office</w:t>
      </w:r>
      <w:r w:rsidR="00A83F5B">
        <w:t xml:space="preserve"> the registered agent </w:t>
      </w:r>
      <w:r w:rsidR="00DD4AD1">
        <w:t>must</w:t>
      </w:r>
      <w:r w:rsidR="00A83F5B">
        <w:t xml:space="preserve"> provide such copies</w:t>
      </w:r>
      <w:r w:rsidR="00DD4AD1">
        <w:t xml:space="preserve"> upon request</w:t>
      </w:r>
      <w:r w:rsidR="00A83F5B">
        <w:t>.</w:t>
      </w:r>
      <w:r w:rsidR="00B13E20">
        <w:t xml:space="preserve"> </w:t>
      </w:r>
      <w:r w:rsidR="008263DE">
        <w:t>If on the other hand</w:t>
      </w:r>
      <w:r w:rsidR="00AB267B">
        <w:t>,</w:t>
      </w:r>
      <w:r w:rsidR="008263DE">
        <w:t xml:space="preserve"> </w:t>
      </w:r>
      <w:r w:rsidR="004454F7">
        <w:t>accounting records</w:t>
      </w:r>
      <w:r w:rsidR="008263DE">
        <w:t xml:space="preserve"> are kept </w:t>
      </w:r>
      <w:r w:rsidR="007C4D92">
        <w:t>in</w:t>
      </w:r>
      <w:r w:rsidR="008263DE">
        <w:t xml:space="preserve"> Seychelles</w:t>
      </w:r>
      <w:r w:rsidR="007C4D92">
        <w:t xml:space="preserve">, but not at the registered agent’s office, then the registered agent will not be in a position </w:t>
      </w:r>
      <w:r w:rsidR="00B92EF6">
        <w:t>to provide these records which may best be obtained from the IBCs themselves</w:t>
      </w:r>
      <w:r w:rsidR="00A83F5B">
        <w:t>. It must be noted that while the</w:t>
      </w:r>
      <w:r w:rsidR="00906C38">
        <w:t xml:space="preserve"> registered agent needs to monitor compliance by specified entities (i.e. IBCs) with their “record-keeping requirements” (which </w:t>
      </w:r>
      <w:r w:rsidR="00906C38" w:rsidRPr="00420E39">
        <w:t>include keeping accounting records</w:t>
      </w:r>
      <w:r w:rsidR="00906C38">
        <w:t>,</w:t>
      </w:r>
      <w:r w:rsidR="00906C38" w:rsidRPr="00420E39">
        <w:t xml:space="preserve"> or where the accounting records are kept at a place other than the IBC’s registered office, written notification of the physical address of that place</w:t>
      </w:r>
      <w:r w:rsidR="00906C38">
        <w:t>) the registered agent cannot compel an IBC to comply with those requirements.</w:t>
      </w:r>
    </w:p>
    <w:p w:rsidR="00AB267B" w:rsidRDefault="00AB267B" w:rsidP="001903A8">
      <w:pPr>
        <w:pStyle w:val="JudgmentText"/>
      </w:pPr>
      <w:r>
        <w:t xml:space="preserve">To summarise, </w:t>
      </w:r>
      <w:r w:rsidR="003159AD">
        <w:t>a</w:t>
      </w:r>
      <w:r w:rsidR="00AE0FB8" w:rsidRPr="00420E39">
        <w:t xml:space="preserve"> </w:t>
      </w:r>
      <w:r w:rsidR="003159AD" w:rsidRPr="00420E39">
        <w:t xml:space="preserve">registered agent </w:t>
      </w:r>
      <w:r w:rsidR="00AE0FB8" w:rsidRPr="00420E39">
        <w:t xml:space="preserve">is not required to have a list of assets of </w:t>
      </w:r>
      <w:r w:rsidR="003159AD">
        <w:t>an</w:t>
      </w:r>
      <w:r w:rsidR="00AE0FB8" w:rsidRPr="00420E39">
        <w:t xml:space="preserve"> IBC and </w:t>
      </w:r>
      <w:r w:rsidR="00E57EAD">
        <w:t>a</w:t>
      </w:r>
      <w:r w:rsidR="00AE0FB8" w:rsidRPr="00420E39">
        <w:t xml:space="preserve"> request </w:t>
      </w:r>
      <w:r w:rsidR="00E57EAD">
        <w:t xml:space="preserve">for such information </w:t>
      </w:r>
      <w:r w:rsidR="00AE0FB8" w:rsidRPr="00420E39">
        <w:t xml:space="preserve">might be more </w:t>
      </w:r>
      <w:r w:rsidR="003159AD">
        <w:t>suitably addressed to</w:t>
      </w:r>
      <w:r w:rsidR="00AE0FB8" w:rsidRPr="00420E39">
        <w:t xml:space="preserve"> the </w:t>
      </w:r>
      <w:r w:rsidR="001903A8">
        <w:t xml:space="preserve">IBC itself and/or its </w:t>
      </w:r>
      <w:r w:rsidR="00AE0FB8" w:rsidRPr="00420E39">
        <w:t xml:space="preserve">directors, </w:t>
      </w:r>
      <w:r w:rsidR="003159AD">
        <w:t>especially</w:t>
      </w:r>
      <w:r w:rsidR="00AE0FB8" w:rsidRPr="00420E39">
        <w:t xml:space="preserve"> where nominee director service</w:t>
      </w:r>
      <w:r w:rsidR="003159AD">
        <w:t>s are</w:t>
      </w:r>
      <w:r w:rsidR="00AE0FB8" w:rsidRPr="00420E39">
        <w:t xml:space="preserve"> not provided by the </w:t>
      </w:r>
      <w:r w:rsidR="003159AD" w:rsidRPr="00420E39">
        <w:t>registered agent</w:t>
      </w:r>
      <w:r w:rsidR="00AE0FB8" w:rsidRPr="00420E39">
        <w:t>.</w:t>
      </w:r>
      <w:r w:rsidR="001903A8" w:rsidRPr="001903A8">
        <w:t xml:space="preserve"> </w:t>
      </w:r>
      <w:r w:rsidR="001903A8">
        <w:t>W</w:t>
      </w:r>
      <w:r w:rsidR="001903A8" w:rsidRPr="00420E39">
        <w:t xml:space="preserve">hen </w:t>
      </w:r>
      <w:r w:rsidR="001903A8">
        <w:t xml:space="preserve">the request for information </w:t>
      </w:r>
      <w:r w:rsidR="001903A8" w:rsidRPr="00420E39">
        <w:t xml:space="preserve">regarding </w:t>
      </w:r>
      <w:r w:rsidR="001903A8">
        <w:t>the companies</w:t>
      </w:r>
      <w:r w:rsidR="001903A8" w:rsidRPr="00420E39">
        <w:t xml:space="preserve">’ assets is addressed to the </w:t>
      </w:r>
      <w:r w:rsidR="001903A8">
        <w:t>r</w:t>
      </w:r>
      <w:r w:rsidR="001903A8" w:rsidRPr="00420E39">
        <w:t xml:space="preserve">egistered </w:t>
      </w:r>
      <w:r w:rsidR="001903A8">
        <w:t>a</w:t>
      </w:r>
      <w:r w:rsidR="001903A8" w:rsidRPr="00420E39">
        <w:t>gent</w:t>
      </w:r>
      <w:r w:rsidR="001903A8">
        <w:t>,</w:t>
      </w:r>
      <w:r w:rsidR="001903A8" w:rsidRPr="00420E39">
        <w:t xml:space="preserve"> </w:t>
      </w:r>
      <w:r w:rsidR="001903A8">
        <w:t xml:space="preserve">as in the present case, </w:t>
      </w:r>
      <w:r w:rsidR="001903A8" w:rsidRPr="00420E39">
        <w:t xml:space="preserve">and </w:t>
      </w:r>
      <w:r w:rsidR="001903A8">
        <w:t>it does not</w:t>
      </w:r>
      <w:r w:rsidR="001903A8" w:rsidRPr="00420E39">
        <w:t xml:space="preserve"> have</w:t>
      </w:r>
      <w:r w:rsidR="001903A8">
        <w:t xml:space="preserve"> the</w:t>
      </w:r>
      <w:r w:rsidR="001903A8" w:rsidRPr="00420E39">
        <w:t xml:space="preserve"> information, </w:t>
      </w:r>
      <w:r w:rsidR="001903A8">
        <w:t xml:space="preserve">it cannot be faulted for not providing the information. </w:t>
      </w:r>
      <w:r w:rsidR="00E57EAD">
        <w:t>However i</w:t>
      </w:r>
      <w:r w:rsidR="00AE0FB8" w:rsidRPr="00420E39">
        <w:t xml:space="preserve">nformation regarding assets may be found in the accounting records, which the </w:t>
      </w:r>
      <w:r w:rsidR="003159AD" w:rsidRPr="003159AD">
        <w:t>registered agent</w:t>
      </w:r>
      <w:r w:rsidR="003159AD" w:rsidRPr="00420E39">
        <w:t xml:space="preserve"> </w:t>
      </w:r>
      <w:r w:rsidR="003159AD">
        <w:t xml:space="preserve">may or may not have at the registered </w:t>
      </w:r>
      <w:r w:rsidR="00AE0FB8" w:rsidRPr="00420E39">
        <w:t>office</w:t>
      </w:r>
      <w:r w:rsidR="003159AD">
        <w:t xml:space="preserve"> of the IBC</w:t>
      </w:r>
      <w:r w:rsidR="00AE0FB8" w:rsidRPr="00420E39">
        <w:t xml:space="preserve">. When accounting records are requested by </w:t>
      </w:r>
      <w:r w:rsidR="000740B8">
        <w:t xml:space="preserve">a </w:t>
      </w:r>
      <w:r w:rsidR="00AE0FB8" w:rsidRPr="00420E39">
        <w:t xml:space="preserve">competent authority, </w:t>
      </w:r>
      <w:r w:rsidR="00E57EAD">
        <w:t xml:space="preserve">the registered agent which has such records in its possession must furnish it. Alternatively </w:t>
      </w:r>
      <w:r w:rsidR="00AE0FB8" w:rsidRPr="00420E39">
        <w:t>it</w:t>
      </w:r>
      <w:r w:rsidR="00E57EAD">
        <w:t xml:space="preserve"> is</w:t>
      </w:r>
      <w:r w:rsidR="00AE0FB8" w:rsidRPr="00420E39">
        <w:t xml:space="preserve"> </w:t>
      </w:r>
      <w:r w:rsidR="00E57EAD">
        <w:t>the</w:t>
      </w:r>
      <w:r w:rsidR="00AE0FB8" w:rsidRPr="00420E39">
        <w:t xml:space="preserve"> IBC</w:t>
      </w:r>
      <w:r w:rsidR="00E57EAD">
        <w:t xml:space="preserve"> on whom the obligation to</w:t>
      </w:r>
      <w:r w:rsidR="00E57EAD" w:rsidRPr="00E57EAD">
        <w:t xml:space="preserve"> </w:t>
      </w:r>
      <w:r w:rsidR="00E57EAD" w:rsidRPr="00420E39">
        <w:t>keep reliable accounting records</w:t>
      </w:r>
      <w:r w:rsidR="00E57EAD">
        <w:t xml:space="preserve"> lies, </w:t>
      </w:r>
      <w:r w:rsidR="00AE0FB8" w:rsidRPr="00420E39">
        <w:t xml:space="preserve">who has a duty to furnish it. </w:t>
      </w:r>
      <w:r w:rsidR="00E57EAD">
        <w:t>In such circumstance, the registered a</w:t>
      </w:r>
      <w:r w:rsidR="00AE0FB8" w:rsidRPr="00420E39">
        <w:t xml:space="preserve">gent can request it from </w:t>
      </w:r>
      <w:r w:rsidR="00E57EAD">
        <w:t xml:space="preserve">its </w:t>
      </w:r>
      <w:r w:rsidR="00AE0FB8" w:rsidRPr="00420E39">
        <w:t>client</w:t>
      </w:r>
      <w:r w:rsidR="00E57EAD">
        <w:t>s, the IBCs</w:t>
      </w:r>
      <w:r w:rsidR="00AE0FB8" w:rsidRPr="00420E39">
        <w:t xml:space="preserve"> and facilitate the </w:t>
      </w:r>
      <w:r w:rsidR="00E57EAD">
        <w:t>process</w:t>
      </w:r>
      <w:r w:rsidR="00AE0FB8" w:rsidRPr="00420E39">
        <w:t xml:space="preserve">. If the company and/or its directors refuse to provide accounting records, the </w:t>
      </w:r>
      <w:r w:rsidR="00E57EAD" w:rsidRPr="00420E39">
        <w:t>registered a</w:t>
      </w:r>
      <w:r w:rsidR="00AE0FB8" w:rsidRPr="00420E39">
        <w:t xml:space="preserve">gent </w:t>
      </w:r>
      <w:r w:rsidR="00967ADB">
        <w:t>can only</w:t>
      </w:r>
      <w:r w:rsidR="00E57EAD">
        <w:t xml:space="preserve"> </w:t>
      </w:r>
      <w:r w:rsidR="00AE0FB8" w:rsidRPr="00420E39">
        <w:t xml:space="preserve">report non-compliance to the Financial Services Authority </w:t>
      </w:r>
      <w:r w:rsidR="00E57EAD">
        <w:t>which</w:t>
      </w:r>
      <w:r>
        <w:t xml:space="preserve"> may be sanctioned by a </w:t>
      </w:r>
      <w:r w:rsidR="00E57EAD">
        <w:t xml:space="preserve">fine </w:t>
      </w:r>
      <w:r>
        <w:t>or t</w:t>
      </w:r>
      <w:r w:rsidR="00E57EAD">
        <w:t>he</w:t>
      </w:r>
      <w:r>
        <w:t xml:space="preserve"> name of the IBC being</w:t>
      </w:r>
      <w:r w:rsidR="00AE0FB8" w:rsidRPr="00420E39">
        <w:t xml:space="preserve"> struck off the Register</w:t>
      </w:r>
      <w:r>
        <w:t>.</w:t>
      </w:r>
      <w:r w:rsidR="00967ADB">
        <w:t xml:space="preserve"> </w:t>
      </w:r>
      <w:r w:rsidR="00CD6E88">
        <w:t xml:space="preserve">Where the registered agent does not have the accounting </w:t>
      </w:r>
      <w:r w:rsidR="00CD6E88">
        <w:lastRenderedPageBreak/>
        <w:t>records in its possession the</w:t>
      </w:r>
      <w:r w:rsidR="00967ADB">
        <w:t xml:space="preserve"> better course would be to request the records from the IBC</w:t>
      </w:r>
      <w:r w:rsidR="001903A8" w:rsidRPr="001903A8">
        <w:t xml:space="preserve"> </w:t>
      </w:r>
      <w:r w:rsidR="001903A8" w:rsidRPr="00420E39">
        <w:t>and/or its directors</w:t>
      </w:r>
      <w:r w:rsidR="00967ADB">
        <w:t>.</w:t>
      </w:r>
    </w:p>
    <w:p w:rsidR="00AE0FB8" w:rsidRDefault="00AB267B" w:rsidP="000D14C9">
      <w:pPr>
        <w:pStyle w:val="JudgmentText"/>
      </w:pPr>
      <w:r>
        <w:t>A</w:t>
      </w:r>
      <w:r w:rsidR="00AE0FB8" w:rsidRPr="00420E39">
        <w:t xml:space="preserve">ccounting records were not expressly requested by the </w:t>
      </w:r>
      <w:r w:rsidR="00FB7DA3">
        <w:t>a</w:t>
      </w:r>
      <w:r w:rsidR="00AE0FB8" w:rsidRPr="00420E39">
        <w:t xml:space="preserve">pplicant. </w:t>
      </w:r>
      <w:r w:rsidR="00A34A9E">
        <w:t>E</w:t>
      </w:r>
      <w:r w:rsidR="00AE0FB8" w:rsidRPr="00420E39">
        <w:t xml:space="preserve">ven if they were, considering the layered structure of the holding of the Monaco property, </w:t>
      </w:r>
      <w:r>
        <w:t xml:space="preserve">the </w:t>
      </w:r>
      <w:r w:rsidR="00AE0FB8" w:rsidRPr="00420E39">
        <w:t>financial documents</w:t>
      </w:r>
      <w:r w:rsidR="00E674E6">
        <w:t xml:space="preserve"> of the IBCs</w:t>
      </w:r>
      <w:r w:rsidR="00AE0FB8" w:rsidRPr="00420E39">
        <w:t xml:space="preserve"> may </w:t>
      </w:r>
      <w:r w:rsidR="000D14C9">
        <w:t xml:space="preserve">well only </w:t>
      </w:r>
      <w:r w:rsidR="00AE0FB8" w:rsidRPr="00420E39">
        <w:t xml:space="preserve">show that </w:t>
      </w:r>
      <w:r w:rsidR="00E674E6">
        <w:t xml:space="preserve">the </w:t>
      </w:r>
      <w:r w:rsidR="00AE0FB8" w:rsidRPr="00420E39">
        <w:t xml:space="preserve">IBCs hold shares in the other offshore companies in different jurisdictions </w:t>
      </w:r>
      <w:r w:rsidR="000D14C9">
        <w:t xml:space="preserve">which </w:t>
      </w:r>
      <w:r w:rsidR="00AE0FB8" w:rsidRPr="00420E39">
        <w:t>own the property</w:t>
      </w:r>
      <w:r w:rsidR="00967ADB">
        <w:t xml:space="preserve"> in Monaco</w:t>
      </w:r>
      <w:r w:rsidR="000D14C9">
        <w:t xml:space="preserve">, </w:t>
      </w:r>
      <w:r w:rsidR="00AE0FB8" w:rsidRPr="00420E39">
        <w:t xml:space="preserve">and such information may still </w:t>
      </w:r>
      <w:r w:rsidR="000D14C9" w:rsidRPr="00420E39">
        <w:t xml:space="preserve">not </w:t>
      </w:r>
      <w:r w:rsidR="00AE0FB8" w:rsidRPr="00420E39">
        <w:t xml:space="preserve">be satisfactory for the </w:t>
      </w:r>
      <w:r w:rsidR="000D14C9">
        <w:t>a</w:t>
      </w:r>
      <w:r w:rsidR="00AE0FB8" w:rsidRPr="00420E39">
        <w:t>pplicant’s purposes</w:t>
      </w:r>
      <w:r w:rsidR="000D14C9">
        <w:t xml:space="preserve"> which is </w:t>
      </w:r>
      <w:r w:rsidR="00E674E6">
        <w:t xml:space="preserve">to </w:t>
      </w:r>
      <w:r w:rsidR="000D14C9">
        <w:t>en</w:t>
      </w:r>
      <w:r w:rsidR="00AE0FB8" w:rsidRPr="00420E39">
        <w:t>sure that ownership of</w:t>
      </w:r>
      <w:r w:rsidR="008E1907">
        <w:t xml:space="preserve"> the</w:t>
      </w:r>
      <w:r w:rsidR="00AE0FB8" w:rsidRPr="00420E39">
        <w:t xml:space="preserve"> </w:t>
      </w:r>
      <w:r w:rsidR="000D14C9" w:rsidRPr="00420E39">
        <w:t xml:space="preserve">house </w:t>
      </w:r>
      <w:r w:rsidR="000D14C9">
        <w:t xml:space="preserve">in </w:t>
      </w:r>
      <w:r w:rsidR="00AE0FB8" w:rsidRPr="00420E39">
        <w:t xml:space="preserve">Monaco is not disposed of by her husband. </w:t>
      </w:r>
      <w:r w:rsidR="007A4AB0">
        <w:t>In such a circumstance, e</w:t>
      </w:r>
      <w:r w:rsidR="00AE0FB8" w:rsidRPr="00420E39">
        <w:t>ven if the accounting records were to be provided</w:t>
      </w:r>
      <w:r w:rsidR="000D14C9">
        <w:t xml:space="preserve"> by the registered agent </w:t>
      </w:r>
      <w:r w:rsidR="00AE0FB8" w:rsidRPr="00420E39">
        <w:t xml:space="preserve">but do not </w:t>
      </w:r>
      <w:r w:rsidR="000D14C9">
        <w:t xml:space="preserve">fully </w:t>
      </w:r>
      <w:r w:rsidR="00AE0FB8" w:rsidRPr="00420E39">
        <w:t xml:space="preserve">disclose </w:t>
      </w:r>
      <w:r w:rsidR="000D14C9">
        <w:t>all</w:t>
      </w:r>
      <w:r w:rsidR="00AE0FB8" w:rsidRPr="00420E39">
        <w:t xml:space="preserve"> the assets</w:t>
      </w:r>
      <w:r w:rsidR="000D14C9">
        <w:t xml:space="preserve"> of the IBCs</w:t>
      </w:r>
      <w:r w:rsidR="00AE0FB8" w:rsidRPr="00420E39">
        <w:t xml:space="preserve">, it does not appear that the </w:t>
      </w:r>
      <w:r w:rsidR="000D14C9">
        <w:t>a</w:t>
      </w:r>
      <w:r w:rsidR="00AE0FB8" w:rsidRPr="00420E39">
        <w:t xml:space="preserve">pplicant </w:t>
      </w:r>
      <w:r w:rsidR="000D14C9">
        <w:t>would have a</w:t>
      </w:r>
      <w:r w:rsidR="00AE0FB8" w:rsidRPr="00420E39">
        <w:t xml:space="preserve">ny remedy against the </w:t>
      </w:r>
      <w:r w:rsidR="008E1907" w:rsidRPr="00420E39">
        <w:t xml:space="preserve">registered agent </w:t>
      </w:r>
      <w:r w:rsidR="00AE0FB8" w:rsidRPr="00420E39">
        <w:t xml:space="preserve">as the </w:t>
      </w:r>
      <w:r w:rsidR="008E1907">
        <w:t>a</w:t>
      </w:r>
      <w:r w:rsidR="00AE0FB8" w:rsidRPr="00420E39">
        <w:t xml:space="preserve">gent would have complied with </w:t>
      </w:r>
      <w:r w:rsidR="008E1907">
        <w:t>its</w:t>
      </w:r>
      <w:r w:rsidR="00AE0FB8" w:rsidRPr="00420E39">
        <w:t xml:space="preserve"> duties. </w:t>
      </w:r>
      <w:r w:rsidR="00967ADB">
        <w:t>In that case</w:t>
      </w:r>
      <w:r w:rsidR="00AE0FB8" w:rsidRPr="00420E39">
        <w:t xml:space="preserve">, the </w:t>
      </w:r>
      <w:r w:rsidR="008E1907">
        <w:t>a</w:t>
      </w:r>
      <w:r w:rsidR="00AE0FB8" w:rsidRPr="00420E39">
        <w:t>pplicant</w:t>
      </w:r>
      <w:r w:rsidR="00E674E6">
        <w:t>’s remedy</w:t>
      </w:r>
      <w:r w:rsidR="00AE0FB8" w:rsidRPr="00420E39">
        <w:t xml:space="preserve"> would</w:t>
      </w:r>
      <w:r w:rsidR="00E674E6">
        <w:t xml:space="preserve"> lie in seeking</w:t>
      </w:r>
      <w:r w:rsidR="00AE0FB8" w:rsidRPr="00420E39">
        <w:t xml:space="preserve"> disclosure orders against other parties. </w:t>
      </w:r>
    </w:p>
    <w:p w:rsidR="00CD6E88" w:rsidRDefault="00CD6E88" w:rsidP="000D14C9">
      <w:pPr>
        <w:pStyle w:val="JudgmentText"/>
      </w:pPr>
      <w:r>
        <w:t>In the circumstances the Court can only make the following Orders:</w:t>
      </w:r>
    </w:p>
    <w:p w:rsidR="00CD6E88" w:rsidRDefault="00CD6E88" w:rsidP="00BB3071">
      <w:pPr>
        <w:pStyle w:val="JudgmentText"/>
        <w:numPr>
          <w:ilvl w:val="0"/>
          <w:numId w:val="17"/>
        </w:numPr>
      </w:pPr>
      <w:r>
        <w:t>If ACT has provided</w:t>
      </w:r>
      <w:r w:rsidRPr="006931E3">
        <w:t xml:space="preserve"> </w:t>
      </w:r>
      <w:r>
        <w:t>nominee director services directly through one of its own directors</w:t>
      </w:r>
      <w:r w:rsidRPr="00CD6E88">
        <w:t xml:space="preserve"> </w:t>
      </w:r>
      <w:r>
        <w:t xml:space="preserve">to </w:t>
      </w:r>
      <w:r w:rsidRPr="0018325D">
        <w:t>Kirkwell and/or Shanklin</w:t>
      </w:r>
      <w:r>
        <w:t>, for it to disclose</w:t>
      </w:r>
      <w:r w:rsidRPr="0018325D">
        <w:t xml:space="preserve"> </w:t>
      </w:r>
      <w:r>
        <w:t>any information that it may have regarding assets of the companies.</w:t>
      </w:r>
    </w:p>
    <w:p w:rsidR="00CD6E88" w:rsidRPr="00420E39" w:rsidRDefault="00CD6E88" w:rsidP="00BB3071">
      <w:pPr>
        <w:pStyle w:val="JudgmentText"/>
        <w:numPr>
          <w:ilvl w:val="0"/>
          <w:numId w:val="17"/>
        </w:numPr>
      </w:pPr>
      <w:r>
        <w:t>For ACT to disclose any accounting records in its possession showing the assets of the company.</w:t>
      </w:r>
    </w:p>
    <w:p w:rsidR="00AE0FB8" w:rsidRPr="00AE0FB8" w:rsidRDefault="00AE0FB8" w:rsidP="00A13379">
      <w:pPr>
        <w:pStyle w:val="Jjmntheading2"/>
        <w:rPr>
          <w:lang w:val="en-GB"/>
        </w:rPr>
      </w:pPr>
      <w:r w:rsidRPr="00AE0FB8">
        <w:rPr>
          <w:lang w:val="en-GB"/>
        </w:rPr>
        <w:t>Copies of instructions relating to any transfer or pledge of assets; Proof of any transfer or pledge of assets with full particulars</w:t>
      </w:r>
    </w:p>
    <w:p w:rsidR="00420E39" w:rsidRDefault="00AE0FB8" w:rsidP="00420E39">
      <w:pPr>
        <w:pStyle w:val="JudgmentText"/>
      </w:pPr>
      <w:r w:rsidRPr="00420E39">
        <w:t xml:space="preserve">The ability of the Corporate Services Provider to produce these documents depends of course on whether </w:t>
      </w:r>
      <w:r w:rsidR="003042CA">
        <w:t>any</w:t>
      </w:r>
      <w:r w:rsidR="003042CA" w:rsidRPr="00420E39">
        <w:t xml:space="preserve"> transfers</w:t>
      </w:r>
      <w:r w:rsidR="003042CA">
        <w:t xml:space="preserve"> </w:t>
      </w:r>
      <w:r w:rsidR="00061F13">
        <w:t>were</w:t>
      </w:r>
      <w:r w:rsidR="003042CA" w:rsidRPr="00420E39">
        <w:t xml:space="preserve"> </w:t>
      </w:r>
      <w:r w:rsidR="003042CA">
        <w:t>effected</w:t>
      </w:r>
      <w:r w:rsidR="003042CA" w:rsidRPr="00420E39">
        <w:t>,</w:t>
      </w:r>
      <w:r w:rsidR="003042CA">
        <w:t xml:space="preserve"> or </w:t>
      </w:r>
      <w:r w:rsidR="003042CA" w:rsidRPr="00420E39">
        <w:t xml:space="preserve">pledges or charges created </w:t>
      </w:r>
      <w:r w:rsidR="003042CA">
        <w:t xml:space="preserve">or </w:t>
      </w:r>
      <w:r w:rsidRPr="00420E39">
        <w:t xml:space="preserve">there were any instructions </w:t>
      </w:r>
      <w:r w:rsidR="00061F13">
        <w:t>regarding the same</w:t>
      </w:r>
      <w:r w:rsidRPr="00420E39">
        <w:t>.</w:t>
      </w:r>
    </w:p>
    <w:p w:rsidR="00420E39" w:rsidRDefault="00AE0FB8" w:rsidP="00420E39">
      <w:pPr>
        <w:pStyle w:val="JudgmentText"/>
      </w:pPr>
      <w:r w:rsidRPr="00420E39">
        <w:t>With regards to transfer of assets, section 206 of the IBC Act provides that certain dispositions</w:t>
      </w:r>
      <w:r w:rsidR="005C6CB8">
        <w:t xml:space="preserve"> of assets</w:t>
      </w:r>
      <w:r w:rsidRPr="00420E39">
        <w:t xml:space="preserve"> require approval </w:t>
      </w:r>
      <w:r w:rsidR="00DC47BF">
        <w:t xml:space="preserve">by resolution </w:t>
      </w:r>
      <w:r w:rsidRPr="00420E39">
        <w:t xml:space="preserve">of directors and members of the company, in particular, </w:t>
      </w:r>
      <w:r w:rsidR="00A05234" w:rsidRPr="00A05234">
        <w:rPr>
          <w:i/>
        </w:rPr>
        <w:t>“</w:t>
      </w:r>
      <w:r w:rsidRPr="00A05234">
        <w:rPr>
          <w:i/>
        </w:rPr>
        <w:t xml:space="preserve">any sale, transfer, lease, exchange or other disposition, other than a mortgage, charge, pledge or other encumbrance or the enforcement thereof, of more than </w:t>
      </w:r>
      <w:r w:rsidRPr="00A05234">
        <w:rPr>
          <w:i/>
        </w:rPr>
        <w:lastRenderedPageBreak/>
        <w:t>fifty per cent in value of the assets of the company, if not made in the usual or regular course of the business carried on by the company</w:t>
      </w:r>
      <w:r w:rsidR="00A05234" w:rsidRPr="00A05234">
        <w:t>”</w:t>
      </w:r>
      <w:r w:rsidR="00A05234">
        <w:t>.</w:t>
      </w:r>
      <w:r w:rsidRPr="00420E39">
        <w:t xml:space="preserve"> Resolutions of directors and members in general were</w:t>
      </w:r>
      <w:r w:rsidR="00DC47BF">
        <w:t xml:space="preserve"> ordered to be disclosed in the Court’s </w:t>
      </w:r>
      <w:r w:rsidRPr="00420E39">
        <w:t>Order</w:t>
      </w:r>
      <w:r w:rsidR="00DC47BF">
        <w:t xml:space="preserve"> of the 18</w:t>
      </w:r>
      <w:r w:rsidR="00DC47BF" w:rsidRPr="00DC47BF">
        <w:rPr>
          <w:vertAlign w:val="superscript"/>
        </w:rPr>
        <w:t>th</w:t>
      </w:r>
      <w:r w:rsidR="00DC47BF">
        <w:t xml:space="preserve"> </w:t>
      </w:r>
      <w:r w:rsidR="00E5430F">
        <w:t xml:space="preserve">February 2021. </w:t>
      </w:r>
      <w:r w:rsidR="005C6CB8">
        <w:t xml:space="preserve">I note that they </w:t>
      </w:r>
      <w:r w:rsidR="005C6CB8" w:rsidRPr="00420E39">
        <w:t>are no</w:t>
      </w:r>
      <w:r w:rsidR="005C6CB8">
        <w:t>t</w:t>
      </w:r>
      <w:r w:rsidR="005C6CB8" w:rsidRPr="00420E39">
        <w:t xml:space="preserve"> </w:t>
      </w:r>
      <w:r w:rsidR="005C6CB8">
        <w:t>being requested in the present application and it therefore appears that they have been provided</w:t>
      </w:r>
      <w:r w:rsidR="005C6CB8" w:rsidRPr="00420E39">
        <w:t xml:space="preserve">. </w:t>
      </w:r>
      <w:r w:rsidR="00E5430F">
        <w:t xml:space="preserve">Therefore </w:t>
      </w:r>
      <w:r w:rsidR="005C6CB8">
        <w:t xml:space="preserve">any resolutions approving </w:t>
      </w:r>
      <w:r w:rsidR="00E5430F">
        <w:t xml:space="preserve">any transfer </w:t>
      </w:r>
      <w:r w:rsidR="00E5430F" w:rsidRPr="00420E39">
        <w:t>of assets requir</w:t>
      </w:r>
      <w:r w:rsidR="00E5430F">
        <w:t xml:space="preserve">ing </w:t>
      </w:r>
      <w:r w:rsidR="00E5430F" w:rsidRPr="00420E39">
        <w:t>the approval of directors and members under section 206</w:t>
      </w:r>
      <w:r w:rsidR="005C6CB8">
        <w:t xml:space="preserve"> would also have</w:t>
      </w:r>
      <w:r w:rsidR="00E5430F" w:rsidRPr="00420E39">
        <w:t xml:space="preserve"> been provided</w:t>
      </w:r>
      <w:r w:rsidR="00E5430F">
        <w:t xml:space="preserve"> by the resp</w:t>
      </w:r>
      <w:r w:rsidR="005C6CB8">
        <w:t>ondent. It is to be noted</w:t>
      </w:r>
      <w:r w:rsidR="00F744E7">
        <w:t xml:space="preserve"> however</w:t>
      </w:r>
      <w:r w:rsidR="005C6CB8">
        <w:t xml:space="preserve"> that not all dispositions are caught </w:t>
      </w:r>
      <w:r w:rsidR="00F744E7">
        <w:t>by</w:t>
      </w:r>
      <w:r w:rsidR="005C6CB8">
        <w:t xml:space="preserve"> this provision </w:t>
      </w:r>
      <w:r w:rsidR="00F744E7">
        <w:t>which targets dispositions “</w:t>
      </w:r>
      <w:r w:rsidR="005C6CB8" w:rsidRPr="00A05234">
        <w:rPr>
          <w:i/>
        </w:rPr>
        <w:t>of more than fifty per cent in value of the assets of the company</w:t>
      </w:r>
      <w:r w:rsidR="00F744E7">
        <w:rPr>
          <w:i/>
        </w:rPr>
        <w:t xml:space="preserve">” </w:t>
      </w:r>
      <w:r w:rsidR="00F744E7" w:rsidRPr="00F744E7">
        <w:t>and also</w:t>
      </w:r>
      <w:r w:rsidR="00F744E7">
        <w:t xml:space="preserve"> excludes “</w:t>
      </w:r>
      <w:r w:rsidR="00F744E7" w:rsidRPr="00A05234">
        <w:rPr>
          <w:i/>
        </w:rPr>
        <w:t>mortgage, charge, pledge or other encumbrance</w:t>
      </w:r>
      <w:r w:rsidR="00F744E7">
        <w:rPr>
          <w:i/>
        </w:rPr>
        <w:t>”.</w:t>
      </w:r>
      <w:r w:rsidR="00D360C2">
        <w:rPr>
          <w:i/>
        </w:rPr>
        <w:t xml:space="preserve"> </w:t>
      </w:r>
      <w:r w:rsidR="00D360C2">
        <w:t xml:space="preserve">The registered agent would therefore not have information on such </w:t>
      </w:r>
      <w:r w:rsidR="006E7217">
        <w:t>dispositions</w:t>
      </w:r>
      <w:r w:rsidR="003A477A">
        <w:t xml:space="preserve"> unless it has an obli</w:t>
      </w:r>
      <w:r w:rsidR="00F74D05">
        <w:t>gation to keep records thereon.</w:t>
      </w:r>
    </w:p>
    <w:p w:rsidR="00611AEF" w:rsidRDefault="00AE0FB8" w:rsidP="00420E39">
      <w:pPr>
        <w:pStyle w:val="JudgmentText"/>
      </w:pPr>
      <w:r w:rsidRPr="00420E39">
        <w:t>T</w:t>
      </w:r>
      <w:r w:rsidR="00F744E7">
        <w:t>he t</w:t>
      </w:r>
      <w:r w:rsidRPr="00420E39">
        <w:t xml:space="preserve">ransfer of the IBC shares </w:t>
      </w:r>
      <w:r w:rsidR="00F744E7">
        <w:t xml:space="preserve">themselves is </w:t>
      </w:r>
      <w:r w:rsidRPr="00420E39">
        <w:t xml:space="preserve">dealt with in Sub-Part III </w:t>
      </w:r>
      <w:r w:rsidR="00F744E7">
        <w:t>of Part V</w:t>
      </w:r>
      <w:r w:rsidR="00F744E7" w:rsidRPr="00F744E7">
        <w:t xml:space="preserve"> </w:t>
      </w:r>
      <w:r w:rsidR="00F744E7" w:rsidRPr="00420E39">
        <w:t xml:space="preserve">of the IBC Act </w:t>
      </w:r>
      <w:r w:rsidR="00F744E7">
        <w:t>entitled</w:t>
      </w:r>
      <w:r w:rsidRPr="00420E39">
        <w:t xml:space="preserve"> Transfer of shares</w:t>
      </w:r>
      <w:r w:rsidR="00F744E7">
        <w:t xml:space="preserve">. </w:t>
      </w:r>
      <w:r w:rsidRPr="00420E39">
        <w:t xml:space="preserve"> </w:t>
      </w:r>
      <w:r w:rsidR="00611AEF">
        <w:t>Section 62</w:t>
      </w:r>
      <w:r w:rsidR="004E581F">
        <w:t>(5)</w:t>
      </w:r>
      <w:r w:rsidR="00611AEF">
        <w:t xml:space="preserve"> provides </w:t>
      </w:r>
      <w:r w:rsidR="004E581F">
        <w:t xml:space="preserve">that </w:t>
      </w:r>
      <w:r w:rsidR="00611AEF">
        <w:t>where a transfer of shares is effected the name of the transferee shall be entered in the Register of Members</w:t>
      </w:r>
      <w:r w:rsidR="004E581F">
        <w:t>. T</w:t>
      </w:r>
      <w:r w:rsidR="00611AEF">
        <w:t>he respondent was ordered</w:t>
      </w:r>
      <w:r w:rsidR="00611AEF" w:rsidRPr="00611AEF">
        <w:t xml:space="preserve"> </w:t>
      </w:r>
      <w:r w:rsidR="00611AEF" w:rsidRPr="00420E39">
        <w:t>to provide</w:t>
      </w:r>
      <w:r w:rsidR="004E581F" w:rsidRPr="004E581F">
        <w:t xml:space="preserve"> </w:t>
      </w:r>
      <w:r w:rsidR="004E581F">
        <w:t>the Register of Members</w:t>
      </w:r>
      <w:r w:rsidR="00611AEF">
        <w:t xml:space="preserve"> in the Order of 18</w:t>
      </w:r>
      <w:r w:rsidR="00611AEF" w:rsidRPr="00DC47BF">
        <w:rPr>
          <w:vertAlign w:val="superscript"/>
        </w:rPr>
        <w:t>th</w:t>
      </w:r>
      <w:r w:rsidR="00611AEF">
        <w:t xml:space="preserve"> February 2021</w:t>
      </w:r>
      <w:r w:rsidR="00611AEF" w:rsidRPr="00420E39">
        <w:t xml:space="preserve"> </w:t>
      </w:r>
      <w:r w:rsidR="004E581F">
        <w:t>which</w:t>
      </w:r>
      <w:r w:rsidR="00611AEF" w:rsidRPr="00420E39">
        <w:t xml:space="preserve"> is not being requested </w:t>
      </w:r>
      <w:r w:rsidR="00611AEF">
        <w:t>in the present application</w:t>
      </w:r>
      <w:r w:rsidR="004E581F">
        <w:t xml:space="preserve"> and therefore </w:t>
      </w:r>
      <w:r w:rsidR="00611AEF">
        <w:t xml:space="preserve">appears </w:t>
      </w:r>
      <w:r w:rsidR="004E581F">
        <w:t>to have been disclosed. I note that the directors may resolve to refuse or delay registration of a transfer of shares in which case it will not be reflected in the Register of Members, but it will be reflected in the resolutions of directors, which as stated appear to have been disclosed.</w:t>
      </w:r>
    </w:p>
    <w:p w:rsidR="00140659" w:rsidRDefault="004E581F" w:rsidP="00420E39">
      <w:pPr>
        <w:pStyle w:val="JudgmentText"/>
      </w:pPr>
      <w:r>
        <w:t>P</w:t>
      </w:r>
      <w:r w:rsidR="00AE0FB8" w:rsidRPr="00420E39">
        <w:t>ledge</w:t>
      </w:r>
      <w:r w:rsidR="00140659">
        <w:t>s</w:t>
      </w:r>
      <w:r w:rsidR="00AE0FB8" w:rsidRPr="00420E39">
        <w:t xml:space="preserve"> </w:t>
      </w:r>
      <w:r>
        <w:t xml:space="preserve">are dealt with </w:t>
      </w:r>
      <w:r w:rsidR="00AE0FB8" w:rsidRPr="00420E39">
        <w:t xml:space="preserve">in Sub-Part VII </w:t>
      </w:r>
      <w:r>
        <w:t>of Part V entitled “</w:t>
      </w:r>
      <w:r w:rsidR="00AE0FB8" w:rsidRPr="00420E39">
        <w:t xml:space="preserve">Security over </w:t>
      </w:r>
      <w:r w:rsidR="00AE0FB8" w:rsidRPr="00420E39">
        <w:rPr>
          <w:u w:val="single"/>
        </w:rPr>
        <w:t>shares</w:t>
      </w:r>
      <w:r w:rsidRPr="00140659">
        <w:t>”</w:t>
      </w:r>
      <w:r w:rsidR="00AE0FB8" w:rsidRPr="00420E39">
        <w:t xml:space="preserve"> and in Part IX </w:t>
      </w:r>
      <w:r w:rsidR="00140659">
        <w:t>entitled “</w:t>
      </w:r>
      <w:r w:rsidR="00AE0FB8" w:rsidRPr="00420E39">
        <w:t xml:space="preserve">Charges over Company </w:t>
      </w:r>
      <w:r w:rsidR="00AE0FB8" w:rsidRPr="00420E39">
        <w:rPr>
          <w:u w:val="single"/>
        </w:rPr>
        <w:t>Property</w:t>
      </w:r>
      <w:r w:rsidR="00140659" w:rsidRPr="00140659">
        <w:t>”</w:t>
      </w:r>
      <w:r w:rsidR="00140659">
        <w:t xml:space="preserve"> of the</w:t>
      </w:r>
      <w:r w:rsidRPr="00420E39">
        <w:t xml:space="preserve"> IBC Act</w:t>
      </w:r>
      <w:r w:rsidR="00140659">
        <w:t>.</w:t>
      </w:r>
    </w:p>
    <w:p w:rsidR="00AE0FB8" w:rsidRPr="00420E39" w:rsidRDefault="00AE0FB8" w:rsidP="00420E39">
      <w:pPr>
        <w:pStyle w:val="JudgmentText"/>
      </w:pPr>
      <w:r w:rsidRPr="00420E39">
        <w:t>With regards to pledge</w:t>
      </w:r>
      <w:r w:rsidR="00140659">
        <w:t>s</w:t>
      </w:r>
      <w:r w:rsidRPr="00420E39">
        <w:t xml:space="preserve"> over company shares, section 89 defines </w:t>
      </w:r>
      <w:r w:rsidR="00140659">
        <w:t>‘</w:t>
      </w:r>
      <w:r w:rsidRPr="00420E39">
        <w:t>pledge</w:t>
      </w:r>
      <w:r w:rsidR="00140659">
        <w:t>’</w:t>
      </w:r>
      <w:r w:rsidRPr="00420E39">
        <w:t xml:space="preserve"> as </w:t>
      </w:r>
      <w:r w:rsidR="00140659" w:rsidRPr="00140659">
        <w:rPr>
          <w:i/>
        </w:rPr>
        <w:t>“</w:t>
      </w:r>
      <w:r w:rsidRPr="00140659">
        <w:rPr>
          <w:i/>
        </w:rPr>
        <w:t>any form of security interest, including, without limitation</w:t>
      </w:r>
      <w:r w:rsidR="00140659">
        <w:rPr>
          <w:i/>
        </w:rPr>
        <w:t xml:space="preserve"> – (a) </w:t>
      </w:r>
      <w:r w:rsidRPr="00140659">
        <w:rPr>
          <w:i/>
        </w:rPr>
        <w:t>a pledge;</w:t>
      </w:r>
      <w:r w:rsidR="00140659">
        <w:rPr>
          <w:i/>
        </w:rPr>
        <w:t xml:space="preserve"> (b) </w:t>
      </w:r>
      <w:r w:rsidRPr="00140659">
        <w:rPr>
          <w:i/>
        </w:rPr>
        <w:t xml:space="preserve">a charge; or </w:t>
      </w:r>
      <w:r w:rsidR="00140659">
        <w:rPr>
          <w:i/>
        </w:rPr>
        <w:t xml:space="preserve">(c) </w:t>
      </w:r>
      <w:r w:rsidRPr="00140659">
        <w:rPr>
          <w:i/>
        </w:rPr>
        <w:t>a hypothecation</w:t>
      </w:r>
      <w:r w:rsidR="00140659">
        <w:rPr>
          <w:i/>
        </w:rPr>
        <w:t>,</w:t>
      </w:r>
      <w:r w:rsidRPr="00140659">
        <w:rPr>
          <w:i/>
        </w:rPr>
        <w:t xml:space="preserve"> over one or more shares in a company, other than an interest arising by operation of law</w:t>
      </w:r>
      <w:r w:rsidR="00140659" w:rsidRPr="00140659">
        <w:rPr>
          <w:i/>
        </w:rPr>
        <w:t>”</w:t>
      </w:r>
      <w:r w:rsidRPr="00420E39">
        <w:t xml:space="preserve">. Section 90 states that </w:t>
      </w:r>
      <w:r w:rsidR="00140659" w:rsidRPr="003A477A">
        <w:rPr>
          <w:i/>
        </w:rPr>
        <w:t>“[s]</w:t>
      </w:r>
      <w:r w:rsidRPr="003A477A">
        <w:rPr>
          <w:i/>
        </w:rPr>
        <w:t xml:space="preserve">ubject to </w:t>
      </w:r>
      <w:r w:rsidR="00140659" w:rsidRPr="003A477A">
        <w:rPr>
          <w:i/>
        </w:rPr>
        <w:t xml:space="preserve">(a) </w:t>
      </w:r>
      <w:r w:rsidRPr="003A477A">
        <w:rPr>
          <w:i/>
        </w:rPr>
        <w:t xml:space="preserve">the provisions of a company’s memorandum or articles; and </w:t>
      </w:r>
      <w:r w:rsidR="00140659" w:rsidRPr="003A477A">
        <w:rPr>
          <w:i/>
        </w:rPr>
        <w:t xml:space="preserve">(b) </w:t>
      </w:r>
      <w:r w:rsidRPr="003A477A">
        <w:rPr>
          <w:i/>
        </w:rPr>
        <w:t>any other prior written agreement made by the shareholder, a shareholder may pledge a share held by him in a company</w:t>
      </w:r>
      <w:r w:rsidR="003A477A" w:rsidRPr="003A477A">
        <w:rPr>
          <w:i/>
        </w:rPr>
        <w:t>”</w:t>
      </w:r>
      <w:r w:rsidRPr="00420E39">
        <w:t xml:space="preserve">. Section 91 </w:t>
      </w:r>
      <w:r w:rsidR="00140659">
        <w:t xml:space="preserve">which </w:t>
      </w:r>
      <w:r w:rsidRPr="00420E39">
        <w:t xml:space="preserve">relates to the form of pledge of shares </w:t>
      </w:r>
      <w:r w:rsidR="00140659">
        <w:t>provides</w:t>
      </w:r>
      <w:r w:rsidRPr="00420E39">
        <w:t>:</w:t>
      </w:r>
    </w:p>
    <w:p w:rsidR="00AE0FB8" w:rsidRPr="00AE0FB8" w:rsidRDefault="00AE0FB8" w:rsidP="0027571A">
      <w:pPr>
        <w:pStyle w:val="Unnumberedquote"/>
        <w:ind w:left="360" w:firstLine="720"/>
        <w:rPr>
          <w:lang w:val="en-GB"/>
        </w:rPr>
      </w:pPr>
      <w:r w:rsidRPr="00AE0FB8">
        <w:rPr>
          <w:lang w:val="en-GB"/>
        </w:rPr>
        <w:lastRenderedPageBreak/>
        <w:t>Form of pledge of shares</w:t>
      </w:r>
    </w:p>
    <w:p w:rsidR="00AE0FB8" w:rsidRPr="00AE0FB8" w:rsidRDefault="00140659" w:rsidP="0027571A">
      <w:pPr>
        <w:pStyle w:val="Unnumberedquote"/>
        <w:ind w:hanging="360"/>
        <w:rPr>
          <w:lang w:val="en-GB"/>
        </w:rPr>
      </w:pPr>
      <w:r>
        <w:rPr>
          <w:lang w:val="en-GB"/>
        </w:rPr>
        <w:t>91.</w:t>
      </w:r>
      <w:r>
        <w:rPr>
          <w:lang w:val="en-GB"/>
        </w:rPr>
        <w:tab/>
      </w:r>
      <w:r w:rsidR="0027571A">
        <w:rPr>
          <w:lang w:val="en-GB"/>
        </w:rPr>
        <w:t xml:space="preserve">(1) </w:t>
      </w:r>
      <w:r w:rsidR="00AE0FB8" w:rsidRPr="00AE0FB8">
        <w:rPr>
          <w:lang w:val="en-GB"/>
        </w:rPr>
        <w:t xml:space="preserve">A pledge of shares of a company shall be in writing signed by, or with the authority of, the shareholder whose name is entered in the company’s register of members as the holder of the share to which the pledge relates.  </w:t>
      </w:r>
    </w:p>
    <w:p w:rsidR="00AE0FB8" w:rsidRPr="00AE0FB8" w:rsidRDefault="00AE0FB8" w:rsidP="00140659">
      <w:pPr>
        <w:pStyle w:val="Unnumberedquote"/>
        <w:rPr>
          <w:lang w:val="en-GB"/>
        </w:rPr>
      </w:pPr>
      <w:r w:rsidRPr="00AE0FB8">
        <w:rPr>
          <w:lang w:val="en-GB"/>
        </w:rPr>
        <w:t>(2) A pledge of shares of a company need not be in any specific form but it shall clearly indicate –</w:t>
      </w:r>
    </w:p>
    <w:p w:rsidR="0027571A" w:rsidRDefault="00AE0FB8" w:rsidP="0027571A">
      <w:pPr>
        <w:pStyle w:val="Unnumberedquote"/>
        <w:ind w:firstLine="360"/>
        <w:rPr>
          <w:lang w:val="en-GB"/>
        </w:rPr>
      </w:pPr>
      <w:r w:rsidRPr="00AE0FB8">
        <w:rPr>
          <w:lang w:val="en-GB"/>
        </w:rPr>
        <w:t>(a) the intention to create a pledge; and</w:t>
      </w:r>
    </w:p>
    <w:p w:rsidR="00AE0FB8" w:rsidRDefault="00AE0FB8" w:rsidP="0027571A">
      <w:pPr>
        <w:pStyle w:val="Unnumberedquote"/>
        <w:ind w:firstLine="360"/>
        <w:rPr>
          <w:lang w:val="en-GB"/>
        </w:rPr>
      </w:pPr>
      <w:r w:rsidRPr="00AE0FB8">
        <w:rPr>
          <w:lang w:val="en-GB"/>
        </w:rPr>
        <w:t>(b) the amount secured by the pledge or how that amount is to be calculated.</w:t>
      </w:r>
    </w:p>
    <w:p w:rsidR="0027571A" w:rsidRPr="00AE0FB8" w:rsidRDefault="0027571A" w:rsidP="0027571A">
      <w:pPr>
        <w:pStyle w:val="Unnumberedquote"/>
        <w:ind w:firstLine="360"/>
        <w:rPr>
          <w:lang w:val="en-GB"/>
        </w:rPr>
      </w:pPr>
    </w:p>
    <w:p w:rsidR="00AE0FB8" w:rsidRPr="00420E39" w:rsidRDefault="00AE0FB8" w:rsidP="00420E39">
      <w:pPr>
        <w:pStyle w:val="JudgmentText"/>
      </w:pPr>
      <w:r w:rsidRPr="00420E39">
        <w:t xml:space="preserve">Section 96 of the IBC Act </w:t>
      </w:r>
      <w:r w:rsidR="0027571A">
        <w:t xml:space="preserve">further </w:t>
      </w:r>
      <w:r w:rsidRPr="00420E39">
        <w:t>provides that the company shall enter a statement that shares are pledged</w:t>
      </w:r>
      <w:r w:rsidR="0027571A">
        <w:t>,</w:t>
      </w:r>
      <w:r w:rsidRPr="00420E39">
        <w:t xml:space="preserve"> in its register of members </w:t>
      </w:r>
      <w:r w:rsidRPr="00420E39">
        <w:rPr>
          <w:u w:val="single"/>
        </w:rPr>
        <w:t>at the written request of a shareholder</w:t>
      </w:r>
      <w:r w:rsidRPr="00420E39">
        <w:t xml:space="preserve"> who has created a pledge over shares in a company. Therefore it appears that it is not compulsory to enter pledge</w:t>
      </w:r>
      <w:r w:rsidR="0027571A">
        <w:t xml:space="preserve">s of </w:t>
      </w:r>
      <w:r w:rsidR="0027571A" w:rsidRPr="00420E39">
        <w:t>share</w:t>
      </w:r>
      <w:r w:rsidR="0027571A">
        <w:t>s</w:t>
      </w:r>
      <w:r w:rsidR="0027571A" w:rsidRPr="00420E39">
        <w:t xml:space="preserve"> </w:t>
      </w:r>
      <w:r w:rsidRPr="00420E39">
        <w:t xml:space="preserve">in the </w:t>
      </w:r>
      <w:r w:rsidR="003042CA">
        <w:t>r</w:t>
      </w:r>
      <w:r w:rsidR="003042CA" w:rsidRPr="00420E39">
        <w:t xml:space="preserve">egister of </w:t>
      </w:r>
      <w:r w:rsidR="003042CA">
        <w:t>m</w:t>
      </w:r>
      <w:r w:rsidR="003042CA" w:rsidRPr="00420E39">
        <w:t xml:space="preserve">embers </w:t>
      </w:r>
      <w:r w:rsidRPr="00420E39">
        <w:t xml:space="preserve">unless </w:t>
      </w:r>
      <w:r w:rsidR="0027571A">
        <w:t xml:space="preserve">the </w:t>
      </w:r>
      <w:r w:rsidRPr="00420E39">
        <w:t>shareholder so requests</w:t>
      </w:r>
      <w:r w:rsidR="006E7217">
        <w:t xml:space="preserve"> and the registered agent will only have knowledge of pledges on shares where this is done.</w:t>
      </w:r>
      <w:r w:rsidR="003042CA">
        <w:t xml:space="preserve"> As stated it appears that the register of members was provided by the respondent as it is no longer being requested.</w:t>
      </w:r>
    </w:p>
    <w:p w:rsidR="00AE0FB8" w:rsidRPr="00420E39" w:rsidRDefault="006E7217" w:rsidP="00420E39">
      <w:pPr>
        <w:pStyle w:val="JudgmentText"/>
      </w:pPr>
      <w:r>
        <w:t>P</w:t>
      </w:r>
      <w:r w:rsidR="00AE0FB8" w:rsidRPr="00420E39">
        <w:t>ledge</w:t>
      </w:r>
      <w:r>
        <w:t>s</w:t>
      </w:r>
      <w:r w:rsidR="00AE0FB8" w:rsidRPr="00420E39">
        <w:t xml:space="preserve"> over company property</w:t>
      </w:r>
      <w:r w:rsidR="001D67C7" w:rsidRPr="001D67C7">
        <w:t xml:space="preserve"> </w:t>
      </w:r>
      <w:r w:rsidR="001D67C7">
        <w:t>as well as</w:t>
      </w:r>
      <w:r w:rsidR="001D67C7" w:rsidRPr="00420E39">
        <w:t xml:space="preserve"> other form</w:t>
      </w:r>
      <w:r w:rsidR="001D67C7">
        <w:t>s</w:t>
      </w:r>
      <w:r w:rsidR="001D67C7" w:rsidRPr="00420E39">
        <w:t xml:space="preserve"> of charge</w:t>
      </w:r>
      <w:r w:rsidR="001D67C7">
        <w:t>s</w:t>
      </w:r>
      <w:r w:rsidR="001D67C7" w:rsidRPr="00420E39">
        <w:t xml:space="preserve"> over </w:t>
      </w:r>
      <w:r w:rsidR="001D67C7">
        <w:t xml:space="preserve">company </w:t>
      </w:r>
      <w:r w:rsidR="001D67C7" w:rsidRPr="00420E39">
        <w:t>property</w:t>
      </w:r>
      <w:r w:rsidR="001D67C7" w:rsidRPr="001D67C7">
        <w:t xml:space="preserve"> </w:t>
      </w:r>
      <w:r w:rsidR="001D67C7">
        <w:t>are</w:t>
      </w:r>
      <w:r w:rsidR="001D67C7" w:rsidRPr="00420E39">
        <w:t xml:space="preserve"> referred to as </w:t>
      </w:r>
      <w:r w:rsidR="001D67C7">
        <w:t>a ‘</w:t>
      </w:r>
      <w:r w:rsidR="001D67C7" w:rsidRPr="00420E39">
        <w:t>charge</w:t>
      </w:r>
      <w:r w:rsidR="001D67C7">
        <w:t>’ under the</w:t>
      </w:r>
      <w:r w:rsidR="00AE0FB8" w:rsidRPr="00420E39">
        <w:t xml:space="preserve"> IBC Act. It is distinguished from the abovementi</w:t>
      </w:r>
      <w:r w:rsidR="001D67C7">
        <w:t>oned pledge/charge over company</w:t>
      </w:r>
      <w:r w:rsidR="00AE0FB8" w:rsidRPr="00420E39">
        <w:t xml:space="preserve"> shares</w:t>
      </w:r>
      <w:r w:rsidR="001D67C7">
        <w:t>,</w:t>
      </w:r>
      <w:r w:rsidR="00AE0FB8" w:rsidRPr="00420E39">
        <w:t xml:space="preserve"> and as noted above it is </w:t>
      </w:r>
      <w:r w:rsidR="001D67C7">
        <w:t>dealt with</w:t>
      </w:r>
      <w:r w:rsidR="00AE0FB8" w:rsidRPr="00420E39">
        <w:t xml:space="preserve"> under Part IX – Charges over Company Property. Section 177 defines </w:t>
      </w:r>
      <w:r w:rsidR="001D67C7">
        <w:t>‘</w:t>
      </w:r>
      <w:r w:rsidR="00AE0FB8" w:rsidRPr="00420E39">
        <w:t>charge</w:t>
      </w:r>
      <w:r w:rsidR="001D67C7">
        <w:t>’</w:t>
      </w:r>
      <w:r w:rsidR="00AE0FB8" w:rsidRPr="00420E39">
        <w:t xml:space="preserve"> as </w:t>
      </w:r>
      <w:r w:rsidR="001D67C7" w:rsidRPr="00F828AF">
        <w:rPr>
          <w:i/>
        </w:rPr>
        <w:t>“</w:t>
      </w:r>
      <w:r w:rsidR="00AE0FB8" w:rsidRPr="00F828AF">
        <w:rPr>
          <w:i/>
        </w:rPr>
        <w:t>any form of security interest, including, without limitation</w:t>
      </w:r>
      <w:r w:rsidR="00F828AF" w:rsidRPr="00F828AF">
        <w:rPr>
          <w:i/>
        </w:rPr>
        <w:t xml:space="preserve"> – (a)</w:t>
      </w:r>
      <w:r w:rsidR="00AE0FB8" w:rsidRPr="00F828AF">
        <w:rPr>
          <w:i/>
        </w:rPr>
        <w:t xml:space="preserve"> a charge, by way of fixed or floating charge; </w:t>
      </w:r>
      <w:r w:rsidR="00F828AF" w:rsidRPr="00F828AF">
        <w:rPr>
          <w:i/>
        </w:rPr>
        <w:t xml:space="preserve">(b) </w:t>
      </w:r>
      <w:r w:rsidR="00AE0FB8" w:rsidRPr="00F828AF">
        <w:rPr>
          <w:i/>
        </w:rPr>
        <w:t xml:space="preserve">a mortgage; </w:t>
      </w:r>
      <w:r w:rsidR="00F828AF" w:rsidRPr="00F828AF">
        <w:rPr>
          <w:i/>
        </w:rPr>
        <w:t xml:space="preserve">(c) </w:t>
      </w:r>
      <w:r w:rsidR="00AE0FB8" w:rsidRPr="00F828AF">
        <w:rPr>
          <w:i/>
        </w:rPr>
        <w:t xml:space="preserve">a pledge; or </w:t>
      </w:r>
      <w:r w:rsidR="00F828AF" w:rsidRPr="00F828AF">
        <w:rPr>
          <w:i/>
        </w:rPr>
        <w:t xml:space="preserve">(d) </w:t>
      </w:r>
      <w:r w:rsidR="00AE0FB8" w:rsidRPr="00F828AF">
        <w:rPr>
          <w:i/>
        </w:rPr>
        <w:t>a hypothecation</w:t>
      </w:r>
      <w:r w:rsidR="00F828AF" w:rsidRPr="00F828AF">
        <w:rPr>
          <w:i/>
        </w:rPr>
        <w:t>,</w:t>
      </w:r>
      <w:r w:rsidR="00AE0FB8" w:rsidRPr="00F828AF">
        <w:rPr>
          <w:i/>
        </w:rPr>
        <w:t xml:space="preserve"> over property, wherever situated, other than an interest arising by operation of law</w:t>
      </w:r>
      <w:r w:rsidR="00F828AF" w:rsidRPr="00F828AF">
        <w:rPr>
          <w:i/>
        </w:rPr>
        <w:t>”</w:t>
      </w:r>
      <w:r w:rsidR="00AE0FB8" w:rsidRPr="00420E39">
        <w:t xml:space="preserve">. Under </w:t>
      </w:r>
      <w:r w:rsidR="00F828AF">
        <w:t>the same provision</w:t>
      </w:r>
      <w:r w:rsidR="00AE0FB8" w:rsidRPr="00420E39">
        <w:t xml:space="preserve"> </w:t>
      </w:r>
      <w:r w:rsidR="00F828AF">
        <w:t>‘</w:t>
      </w:r>
      <w:r w:rsidR="00AE0FB8" w:rsidRPr="00420E39">
        <w:t>property</w:t>
      </w:r>
      <w:r w:rsidR="00F828AF">
        <w:t>’</w:t>
      </w:r>
      <w:r w:rsidR="00AE0FB8" w:rsidRPr="00420E39">
        <w:t xml:space="preserve"> </w:t>
      </w:r>
      <w:r w:rsidR="00F828AF">
        <w:t xml:space="preserve">is defined to include </w:t>
      </w:r>
      <w:r w:rsidR="00F828AF" w:rsidRPr="006E7217">
        <w:rPr>
          <w:i/>
        </w:rPr>
        <w:t>“</w:t>
      </w:r>
      <w:r w:rsidR="00AE0FB8" w:rsidRPr="006E7217">
        <w:rPr>
          <w:i/>
        </w:rPr>
        <w:t>immovable property, movable property, money, goods, intellectual property and every other type of property wherever situated and obligations and every description of interest, whether present or future or vested or contingent, arising out of, or incidental to, property</w:t>
      </w:r>
      <w:r w:rsidR="00F828AF" w:rsidRPr="006E7217">
        <w:rPr>
          <w:i/>
        </w:rPr>
        <w:t>”</w:t>
      </w:r>
      <w:r w:rsidR="00AE0FB8" w:rsidRPr="00420E39">
        <w:t>. Under section 178, subject to its memorandum and articles, a company may, by an instrument in writing, create a charge over all or any of its property.</w:t>
      </w:r>
    </w:p>
    <w:p w:rsidR="004C7732" w:rsidRPr="004C7732" w:rsidRDefault="00F828AF" w:rsidP="00420E39">
      <w:pPr>
        <w:pStyle w:val="JudgmentText"/>
      </w:pPr>
      <w:r>
        <w:t>P</w:t>
      </w:r>
      <w:r w:rsidRPr="00420E39">
        <w:t>ursua</w:t>
      </w:r>
      <w:r>
        <w:t>nt to section 179 of the IBC Act, w</w:t>
      </w:r>
      <w:r w:rsidR="00AE0FB8" w:rsidRPr="00420E39">
        <w:t xml:space="preserve">here a charge has been created, a company shall keep at its registered office in Seychelles a register of all relevant charges and pre-existing </w:t>
      </w:r>
      <w:r w:rsidR="00AE0FB8" w:rsidRPr="004C7732">
        <w:t xml:space="preserve">charges created by the company </w:t>
      </w:r>
      <w:r w:rsidRPr="004C7732">
        <w:t xml:space="preserve">to be known as its </w:t>
      </w:r>
      <w:r w:rsidR="00AE0FB8" w:rsidRPr="004C7732">
        <w:t>Register of Charges. Details that need to be included in the Register of Charges are specified in section 179(1)</w:t>
      </w:r>
      <w:r w:rsidR="004C7732" w:rsidRPr="004C7732">
        <w:t xml:space="preserve"> </w:t>
      </w:r>
      <w:r w:rsidR="00E85C12">
        <w:t xml:space="preserve">and are </w:t>
      </w:r>
      <w:r w:rsidR="004C7732" w:rsidRPr="004C7732">
        <w:t>as follows:</w:t>
      </w:r>
    </w:p>
    <w:p w:rsidR="004C7732" w:rsidRDefault="004C7732" w:rsidP="00BB3071">
      <w:pPr>
        <w:pStyle w:val="NumberedQuotationindent1"/>
        <w:numPr>
          <w:ilvl w:val="0"/>
          <w:numId w:val="14"/>
        </w:numPr>
      </w:pPr>
      <w:r w:rsidRPr="00943061">
        <w:lastRenderedPageBreak/>
        <w:t xml:space="preserve">if the charge is a charge created by the company, the date of its creation or, if the charge is a charge existing on property acquired by the company, the date on which the property was acquired; </w:t>
      </w:r>
    </w:p>
    <w:p w:rsidR="004C7732" w:rsidRDefault="004C7732" w:rsidP="00BB3071">
      <w:pPr>
        <w:pStyle w:val="NumberedQuotationindent1"/>
        <w:numPr>
          <w:ilvl w:val="0"/>
          <w:numId w:val="14"/>
        </w:numPr>
      </w:pPr>
      <w:r w:rsidRPr="00943061">
        <w:t>a short description of the liability secured by the charge;</w:t>
      </w:r>
    </w:p>
    <w:p w:rsidR="004C7732" w:rsidRDefault="004C7732" w:rsidP="00BB3071">
      <w:pPr>
        <w:pStyle w:val="NumberedQuotationindent1"/>
        <w:numPr>
          <w:ilvl w:val="0"/>
          <w:numId w:val="14"/>
        </w:numPr>
      </w:pPr>
      <w:r w:rsidRPr="00943061">
        <w:t>a short description of the property charged;</w:t>
      </w:r>
      <w:r w:rsidRPr="004C7732">
        <w:t xml:space="preserve"> </w:t>
      </w:r>
    </w:p>
    <w:p w:rsidR="004C7732" w:rsidRDefault="004C7732" w:rsidP="00BB3071">
      <w:pPr>
        <w:pStyle w:val="NumberedQuotationindent1"/>
        <w:numPr>
          <w:ilvl w:val="0"/>
          <w:numId w:val="14"/>
        </w:numPr>
      </w:pPr>
      <w:r>
        <w:t xml:space="preserve">the </w:t>
      </w:r>
      <w:r w:rsidRPr="00943061">
        <w:t>name and address of the chargee, who may be acting as a trustee or security agent for other persons;</w:t>
      </w:r>
      <w:r w:rsidRPr="004C7732">
        <w:t xml:space="preserve"> </w:t>
      </w:r>
    </w:p>
    <w:p w:rsidR="004C7732" w:rsidRDefault="004C7732" w:rsidP="00BB3071">
      <w:pPr>
        <w:pStyle w:val="NumberedQuotationindent1"/>
        <w:numPr>
          <w:ilvl w:val="0"/>
          <w:numId w:val="14"/>
        </w:numPr>
      </w:pPr>
      <w:r>
        <w:t xml:space="preserve">details </w:t>
      </w:r>
      <w:r w:rsidRPr="00943061">
        <w:t>of any prohibition or restriction, if any, contained in the instrument creating the charge on the power of the company to create any future charge ranking in priority to or equally with the charge.</w:t>
      </w:r>
    </w:p>
    <w:p w:rsidR="004C7732" w:rsidRDefault="004C7732" w:rsidP="004C7732">
      <w:pPr>
        <w:pStyle w:val="NumberedQuotationindent1"/>
        <w:numPr>
          <w:ilvl w:val="0"/>
          <w:numId w:val="0"/>
        </w:numPr>
        <w:ind w:left="1080"/>
      </w:pPr>
    </w:p>
    <w:p w:rsidR="00AE0FB8" w:rsidRPr="00E96BC1" w:rsidRDefault="00AE0FB8" w:rsidP="00420E39">
      <w:pPr>
        <w:pStyle w:val="JudgmentText"/>
      </w:pPr>
      <w:r w:rsidRPr="004C7732">
        <w:t>Subsection (2)</w:t>
      </w:r>
      <w:r w:rsidR="00F828AF" w:rsidRPr="004C7732">
        <w:t xml:space="preserve"> of section 179</w:t>
      </w:r>
      <w:r w:rsidRPr="004C7732">
        <w:t xml:space="preserve"> provides that </w:t>
      </w:r>
      <w:r w:rsidR="00F828AF" w:rsidRPr="004C7732">
        <w:t>the R</w:t>
      </w:r>
      <w:r w:rsidRPr="004C7732">
        <w:t xml:space="preserve">egister of </w:t>
      </w:r>
      <w:r w:rsidR="00F828AF" w:rsidRPr="004C7732">
        <w:t>C</w:t>
      </w:r>
      <w:r w:rsidRPr="004C7732">
        <w:t>harges may be in such form as the directors may approve but if it is in magnetic, electronic or other data storage form, the company must be able to produce legible evidence of its contents. A company and/or director that contravenes section 179 (1) shall be liable to penalties provided under section 179 (3) and (4).</w:t>
      </w:r>
      <w:r w:rsidRPr="00420E39">
        <w:t xml:space="preserve"> As noted earlier a company shall also furnish </w:t>
      </w:r>
      <w:r w:rsidR="00F828AF">
        <w:t>the R</w:t>
      </w:r>
      <w:r w:rsidRPr="00420E39">
        <w:t xml:space="preserve">egister of </w:t>
      </w:r>
      <w:r w:rsidR="00F828AF">
        <w:t>C</w:t>
      </w:r>
      <w:r w:rsidRPr="00420E39">
        <w:t>harge</w:t>
      </w:r>
      <w:r w:rsidR="00F828AF">
        <w:t>s</w:t>
      </w:r>
      <w:r w:rsidRPr="00420E39">
        <w:t xml:space="preserve"> (if </w:t>
      </w:r>
      <w:r w:rsidRPr="00E96BC1">
        <w:t xml:space="preserve">any) </w:t>
      </w:r>
      <w:r w:rsidR="00F828AF" w:rsidRPr="00E96BC1">
        <w:t xml:space="preserve">pursuant to a request under </w:t>
      </w:r>
      <w:r w:rsidRPr="00E96BC1">
        <w:t>section 173</w:t>
      </w:r>
      <w:r w:rsidR="00893087" w:rsidRPr="00E96BC1">
        <w:t>(2)</w:t>
      </w:r>
      <w:r w:rsidR="004C7732" w:rsidRPr="00E96BC1">
        <w:t xml:space="preserve"> of the same Act</w:t>
      </w:r>
      <w:r w:rsidR="00893087" w:rsidRPr="00E96BC1">
        <w:t xml:space="preserve"> (see paragraph</w:t>
      </w:r>
      <w:r w:rsidR="00E96BC1" w:rsidRPr="00E96BC1">
        <w:t>s</w:t>
      </w:r>
      <w:r w:rsidR="00893087" w:rsidRPr="00E96BC1">
        <w:t xml:space="preserve"> [</w:t>
      </w:r>
      <w:r w:rsidR="00F74D05" w:rsidRPr="00E96BC1">
        <w:t>19</w:t>
      </w:r>
      <w:r w:rsidR="00893087" w:rsidRPr="00E96BC1">
        <w:t xml:space="preserve">] </w:t>
      </w:r>
      <w:r w:rsidR="00E96BC1" w:rsidRPr="00E96BC1">
        <w:t xml:space="preserve">and [20] </w:t>
      </w:r>
      <w:r w:rsidR="00893087" w:rsidRPr="00E96BC1">
        <w:t>herein)</w:t>
      </w:r>
      <w:r w:rsidRPr="00E96BC1">
        <w:t xml:space="preserve">. </w:t>
      </w:r>
    </w:p>
    <w:p w:rsidR="0078537B" w:rsidRDefault="00AE0FB8" w:rsidP="0078537B">
      <w:pPr>
        <w:pStyle w:val="JudgmentText"/>
      </w:pPr>
      <w:r w:rsidRPr="00420E39">
        <w:t>Section 181</w:t>
      </w:r>
      <w:r w:rsidR="006D533C">
        <w:t>(1)</w:t>
      </w:r>
      <w:r w:rsidRPr="00420E39">
        <w:t xml:space="preserve"> of the IBC Act </w:t>
      </w:r>
      <w:r w:rsidR="00967C5B">
        <w:t>further provides</w:t>
      </w:r>
      <w:r w:rsidRPr="00420E39">
        <w:t xml:space="preserve"> that where a company creates a relevant charge, an application to the Registrar to register the </w:t>
      </w:r>
      <w:r w:rsidRPr="00F74D05">
        <w:t xml:space="preserve">charge </w:t>
      </w:r>
      <w:r w:rsidRPr="00F74D05">
        <w:rPr>
          <w:u w:val="single"/>
        </w:rPr>
        <w:t>may</w:t>
      </w:r>
      <w:r w:rsidRPr="00F74D05">
        <w:t xml:space="preserve"> be made. In</w:t>
      </w:r>
      <w:r w:rsidRPr="00420E39">
        <w:t xml:space="preserve"> such </w:t>
      </w:r>
      <w:r w:rsidR="00967C5B">
        <w:t xml:space="preserve">a </w:t>
      </w:r>
      <w:r w:rsidRPr="00420E39">
        <w:t xml:space="preserve">case, the Registrar shall keep </w:t>
      </w:r>
      <w:r w:rsidR="006D533C">
        <w:t>a</w:t>
      </w:r>
      <w:r w:rsidRPr="00420E39">
        <w:t xml:space="preserve"> Register of Registered Charges</w:t>
      </w:r>
      <w:r w:rsidR="006D533C">
        <w:t xml:space="preserve"> with respect to each company  containing information regarding each charge registered (section 181(3)</w:t>
      </w:r>
      <w:r w:rsidRPr="00420E39">
        <w:t xml:space="preserve">. Where a charge has been registered, </w:t>
      </w:r>
      <w:r w:rsidR="00967C5B">
        <w:t>any person may ascertain w</w:t>
      </w:r>
      <w:r w:rsidRPr="00420E39">
        <w:t xml:space="preserve">hether an IBC has any registered charge </w:t>
      </w:r>
      <w:r w:rsidR="00967C5B">
        <w:t>by</w:t>
      </w:r>
      <w:r w:rsidRPr="00420E39">
        <w:t xml:space="preserve"> requesting </w:t>
      </w:r>
      <w:r w:rsidR="00967C5B">
        <w:t xml:space="preserve">a </w:t>
      </w:r>
      <w:r w:rsidRPr="00420E39">
        <w:t>Certificate of Official Search under section 352</w:t>
      </w:r>
      <w:r w:rsidR="006D533C">
        <w:t>(1)</w:t>
      </w:r>
      <w:r w:rsidRPr="00420E39">
        <w:t xml:space="preserve">, which provides that any person, on payment of the specified fee, may request the Registrar for a certificate of official search in respect of any company. </w:t>
      </w:r>
      <w:r w:rsidR="00967C5B">
        <w:t xml:space="preserve">The </w:t>
      </w:r>
      <w:r w:rsidRPr="00420E39">
        <w:t xml:space="preserve">Certificate contains certain particulars in respect of an IBC </w:t>
      </w:r>
      <w:r w:rsidR="00967C5B">
        <w:t>including</w:t>
      </w:r>
      <w:r w:rsidR="00967C5B" w:rsidRPr="00420E39">
        <w:t>, among other</w:t>
      </w:r>
      <w:r w:rsidR="00967C5B">
        <w:t>s</w:t>
      </w:r>
      <w:r w:rsidR="00967C5B" w:rsidRPr="00420E39">
        <w:t>,</w:t>
      </w:r>
      <w:r w:rsidR="00967C5B">
        <w:t xml:space="preserve"> </w:t>
      </w:r>
      <w:r w:rsidRPr="00420E39">
        <w:t>the number of outstanding and discharged registered charges</w:t>
      </w:r>
      <w:r w:rsidR="006D533C">
        <w:t xml:space="preserve"> (section 352(1)(i))</w:t>
      </w:r>
      <w:r w:rsidRPr="00420E39">
        <w:t xml:space="preserve">. Certificates of official search for both IBCs are </w:t>
      </w:r>
      <w:r w:rsidR="00F74D05">
        <w:t>contained in the</w:t>
      </w:r>
      <w:r w:rsidRPr="00420E39">
        <w:t xml:space="preserve"> bundle of documents enclosed with the Order for Dismissal mentioned earlier (pages 48 and 50). The Certificates show that at the time of their issue there were no outstanding or discharged registered charges</w:t>
      </w:r>
      <w:r w:rsidR="0078537B">
        <w:t xml:space="preserve"> in relation to both companies.</w:t>
      </w:r>
      <w:r w:rsidR="006D533C">
        <w:t xml:space="preserve"> </w:t>
      </w:r>
      <w:r w:rsidRPr="00420E39">
        <w:t xml:space="preserve">However, from the wording of section 181 it appears that it is not compulsory </w:t>
      </w:r>
      <w:r w:rsidR="006D533C">
        <w:t xml:space="preserve">for </w:t>
      </w:r>
      <w:r w:rsidR="00967C5B">
        <w:t>a</w:t>
      </w:r>
      <w:r w:rsidRPr="00420E39">
        <w:t xml:space="preserve"> charge </w:t>
      </w:r>
      <w:r w:rsidR="006D533C" w:rsidRPr="00420E39">
        <w:t xml:space="preserve">to </w:t>
      </w:r>
      <w:r w:rsidR="006D533C">
        <w:t xml:space="preserve">be </w:t>
      </w:r>
      <w:r w:rsidR="006D533C" w:rsidRPr="00420E39">
        <w:lastRenderedPageBreak/>
        <w:t>register</w:t>
      </w:r>
      <w:r w:rsidR="006D533C">
        <w:t>ed</w:t>
      </w:r>
      <w:r w:rsidR="006D533C" w:rsidRPr="00420E39">
        <w:t xml:space="preserve"> </w:t>
      </w:r>
      <w:r w:rsidRPr="00420E39">
        <w:t xml:space="preserve">with the Registrar. </w:t>
      </w:r>
      <w:r w:rsidR="00967C5B">
        <w:t xml:space="preserve">Hence where </w:t>
      </w:r>
      <w:r w:rsidRPr="00420E39">
        <w:t xml:space="preserve">a charge was created but not registered, </w:t>
      </w:r>
      <w:r w:rsidR="00967C5B">
        <w:t xml:space="preserve">the </w:t>
      </w:r>
      <w:r w:rsidRPr="00420E39">
        <w:t xml:space="preserve">Certificate of </w:t>
      </w:r>
      <w:r w:rsidR="00967C5B" w:rsidRPr="00420E39">
        <w:t xml:space="preserve">Official Search </w:t>
      </w:r>
      <w:r w:rsidRPr="00420E39">
        <w:t>will not show any charges</w:t>
      </w:r>
      <w:r w:rsidR="00967C5B">
        <w:t xml:space="preserve">. </w:t>
      </w:r>
    </w:p>
    <w:p w:rsidR="00061F13" w:rsidRDefault="0078537B" w:rsidP="00061F13">
      <w:pPr>
        <w:pStyle w:val="JudgmentText"/>
      </w:pPr>
      <w:r>
        <w:t>However, as stated above,</w:t>
      </w:r>
      <w:r w:rsidR="00967C5B">
        <w:t xml:space="preserve"> </w:t>
      </w:r>
      <w:r w:rsidR="00967C5B" w:rsidRPr="00420E39">
        <w:t>if there are any charges</w:t>
      </w:r>
      <w:r w:rsidR="00967C5B">
        <w:t>, it is mandatory for the r</w:t>
      </w:r>
      <w:r w:rsidR="00AE0FB8" w:rsidRPr="00420E39">
        <w:t xml:space="preserve">egistered </w:t>
      </w:r>
      <w:r w:rsidR="00967C5B">
        <w:t>a</w:t>
      </w:r>
      <w:r w:rsidR="00AE0FB8" w:rsidRPr="00420E39">
        <w:t xml:space="preserve">gent </w:t>
      </w:r>
      <w:r w:rsidR="00967C5B">
        <w:t>to keep a R</w:t>
      </w:r>
      <w:r w:rsidR="00AE0FB8" w:rsidRPr="00420E39">
        <w:t>e</w:t>
      </w:r>
      <w:r>
        <w:t xml:space="preserve">gister of Charges at its office under section </w:t>
      </w:r>
      <w:r w:rsidR="00E85C12">
        <w:t>179.</w:t>
      </w:r>
      <w:r>
        <w:t xml:space="preserve"> </w:t>
      </w:r>
      <w:r w:rsidR="00AE0FB8" w:rsidRPr="00420E39">
        <w:t xml:space="preserve">Nevertheless, as </w:t>
      </w:r>
      <w:r>
        <w:t xml:space="preserve">also </w:t>
      </w:r>
      <w:r w:rsidR="00AE0FB8" w:rsidRPr="00420E39">
        <w:t xml:space="preserve">stated above, </w:t>
      </w:r>
      <w:r>
        <w:t>where</w:t>
      </w:r>
      <w:r w:rsidRPr="00420E39">
        <w:t xml:space="preserve"> charges </w:t>
      </w:r>
      <w:r w:rsidR="00061F13">
        <w:t xml:space="preserve">were </w:t>
      </w:r>
      <w:r w:rsidRPr="00420E39">
        <w:t>created</w:t>
      </w:r>
      <w:r>
        <w:t>,</w:t>
      </w:r>
      <w:r w:rsidRPr="00420E39">
        <w:t xml:space="preserve"> </w:t>
      </w:r>
      <w:r>
        <w:t xml:space="preserve">no such </w:t>
      </w:r>
      <w:r w:rsidR="00AE0FB8" w:rsidRPr="00420E39">
        <w:t xml:space="preserve">document </w:t>
      </w:r>
      <w:r>
        <w:t>will exist or be in the registered agent’s possession.</w:t>
      </w:r>
      <w:r w:rsidR="00061F13">
        <w:t xml:space="preserve"> </w:t>
      </w:r>
    </w:p>
    <w:p w:rsidR="00F74D05" w:rsidRDefault="00F74D05" w:rsidP="00BB3071">
      <w:pPr>
        <w:pStyle w:val="JudgmentText"/>
      </w:pPr>
      <w:r>
        <w:t xml:space="preserve">In the circumstances the Court </w:t>
      </w:r>
      <w:r w:rsidR="003042CA">
        <w:t xml:space="preserve">can only </w:t>
      </w:r>
      <w:r>
        <w:t>order the respondent t</w:t>
      </w:r>
      <w:r w:rsidR="00061F13">
        <w:t>o disclose any R</w:t>
      </w:r>
      <w:r w:rsidR="00061F13" w:rsidRPr="00420E39">
        <w:t>e</w:t>
      </w:r>
      <w:r w:rsidR="00061F13">
        <w:t>gister of Charges kept at its office.</w:t>
      </w:r>
    </w:p>
    <w:p w:rsidR="00AE0FB8" w:rsidRPr="00AE0FB8" w:rsidRDefault="00AE0FB8" w:rsidP="00A13379">
      <w:pPr>
        <w:pStyle w:val="Jjmntheading2"/>
        <w:rPr>
          <w:lang w:val="en-GB"/>
        </w:rPr>
      </w:pPr>
      <w:r w:rsidRPr="00AE0FB8">
        <w:rPr>
          <w:lang w:val="en-GB"/>
        </w:rPr>
        <w:t>Any other relevant documentation and/or information held by the respondent relating to Kirkwell Inc. and Shanklin Holdings Ltd</w:t>
      </w:r>
    </w:p>
    <w:p w:rsidR="00AE0FB8" w:rsidRPr="00420E39" w:rsidRDefault="00AE0FB8" w:rsidP="00651DC9">
      <w:pPr>
        <w:pStyle w:val="JudgmentText"/>
      </w:pPr>
      <w:r w:rsidRPr="00420E39">
        <w:t>The request</w:t>
      </w:r>
      <w:r w:rsidR="00651DC9">
        <w:t xml:space="preserve"> for </w:t>
      </w:r>
      <w:r w:rsidR="00651DC9" w:rsidRPr="002C4E34">
        <w:rPr>
          <w:i/>
        </w:rPr>
        <w:t>“[a]ny other relevant documentation and/or information held by the respondent relating to Kirkwell Inc. and Shanklin Holdings Ltd”</w:t>
      </w:r>
      <w:r w:rsidRPr="00420E39">
        <w:t xml:space="preserve"> is quite broad</w:t>
      </w:r>
      <w:r w:rsidR="00651DC9">
        <w:t>. As</w:t>
      </w:r>
      <w:r w:rsidRPr="00420E39">
        <w:t xml:space="preserve"> noted above</w:t>
      </w:r>
      <w:r w:rsidR="002C4E34">
        <w:t>,</w:t>
      </w:r>
      <w:r w:rsidRPr="00420E39">
        <w:t xml:space="preserve"> </w:t>
      </w:r>
      <w:r w:rsidR="00651DC9">
        <w:t>a</w:t>
      </w:r>
      <w:r w:rsidR="00651DC9" w:rsidRPr="00420E39">
        <w:t xml:space="preserve"> registered agent </w:t>
      </w:r>
      <w:r w:rsidRPr="00420E39">
        <w:t xml:space="preserve">has an obligation to keep only certain documents and if </w:t>
      </w:r>
      <w:r w:rsidR="00651DC9">
        <w:t>it has</w:t>
      </w:r>
      <w:r w:rsidRPr="00420E39">
        <w:t xml:space="preserve"> not provided any of these documents the </w:t>
      </w:r>
      <w:r w:rsidR="00651DC9">
        <w:t>a</w:t>
      </w:r>
      <w:r w:rsidRPr="00420E39">
        <w:t xml:space="preserve">pplicant </w:t>
      </w:r>
      <w:r w:rsidR="00651DC9">
        <w:t>should specify which of those documents have not been provided.</w:t>
      </w:r>
      <w:r w:rsidRPr="00420E39">
        <w:t xml:space="preserve"> Any further documents and information beyond the scope of </w:t>
      </w:r>
      <w:r w:rsidR="00651DC9">
        <w:t xml:space="preserve">those </w:t>
      </w:r>
      <w:r w:rsidRPr="00420E39">
        <w:t xml:space="preserve">required </w:t>
      </w:r>
      <w:r w:rsidR="00651DC9">
        <w:t xml:space="preserve">to be kept by the registered agent should </w:t>
      </w:r>
      <w:r w:rsidRPr="00420E39">
        <w:t>be requested from the IBCs and their directors.</w:t>
      </w:r>
    </w:p>
    <w:p w:rsidR="00AE0FB8" w:rsidRPr="00AE0FB8" w:rsidRDefault="00A13379" w:rsidP="00A13379">
      <w:pPr>
        <w:pStyle w:val="Jjmntheading1"/>
        <w:rPr>
          <w:rFonts w:eastAsiaTheme="minorEastAsia"/>
          <w:i/>
          <w:lang w:val="en-GB"/>
        </w:rPr>
      </w:pPr>
      <w:r>
        <w:rPr>
          <w:lang w:val="en-GB"/>
        </w:rPr>
        <w:t>Decision</w:t>
      </w:r>
    </w:p>
    <w:p w:rsidR="00420E39" w:rsidRPr="004B30EB" w:rsidRDefault="00AE0FB8" w:rsidP="00F5793C">
      <w:pPr>
        <w:pStyle w:val="JudgmentText"/>
      </w:pPr>
      <w:r w:rsidRPr="004B30EB">
        <w:t>The Norwich Pharmacal order for disclosure granted on the 18</w:t>
      </w:r>
      <w:r w:rsidRPr="004B30EB">
        <w:rPr>
          <w:vertAlign w:val="superscript"/>
        </w:rPr>
        <w:t>th</w:t>
      </w:r>
      <w:r w:rsidRPr="004B30EB">
        <w:t xml:space="preserve"> February 2021 is for disclosure of documents or information in the respondent's knowledge or possession in respect of </w:t>
      </w:r>
      <w:r w:rsidR="00E85C12" w:rsidRPr="004B30EB">
        <w:t xml:space="preserve">the </w:t>
      </w:r>
      <w:r w:rsidRPr="004B30EB">
        <w:t>two IBCs</w:t>
      </w:r>
      <w:r w:rsidR="00E85C12" w:rsidRPr="004B30EB">
        <w:t xml:space="preserve"> Kirkwell and Shanklin</w:t>
      </w:r>
      <w:r w:rsidRPr="004B30EB">
        <w:t>. In the present application</w:t>
      </w:r>
      <w:r w:rsidR="00E85C12" w:rsidRPr="004B30EB">
        <w:t>,</w:t>
      </w:r>
      <w:r w:rsidRPr="004B30EB">
        <w:t xml:space="preserve"> Counsel</w:t>
      </w:r>
      <w:r w:rsidR="00E85C12" w:rsidRPr="004B30EB">
        <w:t xml:space="preserve"> for the applicant has requested for </w:t>
      </w:r>
      <w:r w:rsidRPr="004B30EB">
        <w:rPr>
          <w:b/>
        </w:rPr>
        <w:t>documents</w:t>
      </w:r>
      <w:r w:rsidRPr="004B30EB">
        <w:t xml:space="preserve"> listed at </w:t>
      </w:r>
      <w:r w:rsidR="002C4E34" w:rsidRPr="004B30EB">
        <w:t>p</w:t>
      </w:r>
      <w:r w:rsidRPr="004B30EB">
        <w:t xml:space="preserve">aragraph 22(a) </w:t>
      </w:r>
      <w:r w:rsidR="00F5793C" w:rsidRPr="004B30EB">
        <w:t xml:space="preserve">of his submissions </w:t>
      </w:r>
      <w:r w:rsidR="00026956" w:rsidRPr="004B30EB">
        <w:t>namely: any nominee or other trust documents</w:t>
      </w:r>
      <w:r w:rsidR="009D79E4" w:rsidRPr="004B30EB">
        <w:t>,</w:t>
      </w:r>
      <w:r w:rsidR="00026956" w:rsidRPr="004B30EB">
        <w:t xml:space="preserve"> copies of powers of attorney</w:t>
      </w:r>
      <w:r w:rsidR="009D79E4" w:rsidRPr="004B30EB">
        <w:t xml:space="preserve"> and</w:t>
      </w:r>
      <w:r w:rsidR="00026956" w:rsidRPr="004B30EB">
        <w:t xml:space="preserve"> copies of instructions relating to any transfer or pledge of assets</w:t>
      </w:r>
      <w:r w:rsidR="009D79E4" w:rsidRPr="004B30EB">
        <w:t xml:space="preserve"> and proof of any such transfer or pledge of assets</w:t>
      </w:r>
      <w:r w:rsidR="00026956" w:rsidRPr="004B30EB">
        <w:t>.</w:t>
      </w:r>
      <w:r w:rsidR="00F5793C" w:rsidRPr="004B30EB">
        <w:t xml:space="preserve"> Counsel has also requested for </w:t>
      </w:r>
      <w:r w:rsidRPr="004B30EB">
        <w:rPr>
          <w:b/>
        </w:rPr>
        <w:t>information</w:t>
      </w:r>
      <w:r w:rsidRPr="004B30EB">
        <w:t xml:space="preserve"> listed at Paragraph 22(c) </w:t>
      </w:r>
      <w:r w:rsidR="00F5793C" w:rsidRPr="004B30EB">
        <w:t xml:space="preserve">of his submissions </w:t>
      </w:r>
      <w:r w:rsidRPr="004B30EB">
        <w:t xml:space="preserve">which relates to assets </w:t>
      </w:r>
      <w:r w:rsidR="00F5793C" w:rsidRPr="004B30EB">
        <w:t>held for</w:t>
      </w:r>
      <w:r w:rsidR="009D79E4" w:rsidRPr="004B30EB">
        <w:t xml:space="preserve">mally or informally by the IBCs, any </w:t>
      </w:r>
      <w:r w:rsidRPr="004B30EB">
        <w:t xml:space="preserve">transfer or pledge </w:t>
      </w:r>
      <w:r w:rsidR="00F5793C" w:rsidRPr="004B30EB">
        <w:t>of such assets</w:t>
      </w:r>
      <w:r w:rsidRPr="004B30EB">
        <w:t xml:space="preserve"> as well as any other relevant information</w:t>
      </w:r>
      <w:r w:rsidR="002C4E34" w:rsidRPr="004B30EB">
        <w:t xml:space="preserve"> that the respondent has in relation to the IBCs</w:t>
      </w:r>
      <w:r w:rsidRPr="004B30EB">
        <w:t xml:space="preserve">. </w:t>
      </w:r>
    </w:p>
    <w:p w:rsidR="00420E39" w:rsidRPr="004B30EB" w:rsidRDefault="006F2C7D" w:rsidP="00420E39">
      <w:pPr>
        <w:pStyle w:val="JudgmentText"/>
      </w:pPr>
      <w:r w:rsidRPr="004B30EB">
        <w:lastRenderedPageBreak/>
        <w:t>The a</w:t>
      </w:r>
      <w:r w:rsidR="00AE0FB8" w:rsidRPr="004B30EB">
        <w:t xml:space="preserve">bility to produce documents and information is </w:t>
      </w:r>
      <w:r w:rsidRPr="004B30EB">
        <w:t>d</w:t>
      </w:r>
      <w:r w:rsidR="004B30EB">
        <w:t>ifferent</w:t>
      </w:r>
      <w:r w:rsidR="00AE0FB8" w:rsidRPr="004B30EB">
        <w:t xml:space="preserve"> from an obligation to do so. The </w:t>
      </w:r>
      <w:r w:rsidRPr="004B30EB">
        <w:t>registered a</w:t>
      </w:r>
      <w:r w:rsidR="00AE0FB8" w:rsidRPr="004B30EB">
        <w:t xml:space="preserve">gent </w:t>
      </w:r>
      <w:r w:rsidR="003814F0" w:rsidRPr="004B30EB">
        <w:t xml:space="preserve">of an IBC </w:t>
      </w:r>
      <w:r w:rsidR="00AE0FB8" w:rsidRPr="004B30EB">
        <w:t xml:space="preserve">is </w:t>
      </w:r>
      <w:r w:rsidR="00D001FE" w:rsidRPr="004B30EB">
        <w:t>legally r</w:t>
      </w:r>
      <w:r w:rsidR="00AE0FB8" w:rsidRPr="004B30EB">
        <w:t>equired</w:t>
      </w:r>
      <w:r w:rsidRPr="004B30EB">
        <w:t xml:space="preserve"> </w:t>
      </w:r>
      <w:r w:rsidR="00AE0FB8" w:rsidRPr="004B30EB">
        <w:t>to keep certain documents in relation to its clients</w:t>
      </w:r>
      <w:r w:rsidR="004B30EB">
        <w:t>, some of which it has an obligation to produce upon request being made</w:t>
      </w:r>
      <w:r w:rsidR="00AE0FB8" w:rsidRPr="004B30EB">
        <w:t xml:space="preserve">. An IBC also has its own obligations to keep </w:t>
      </w:r>
      <w:r w:rsidR="00D001FE" w:rsidRPr="004B30EB">
        <w:t xml:space="preserve">certain </w:t>
      </w:r>
      <w:r w:rsidR="00AE0FB8" w:rsidRPr="004B30EB">
        <w:t>records and provide them upon request</w:t>
      </w:r>
      <w:r w:rsidRPr="004B30EB">
        <w:t xml:space="preserve"> being made</w:t>
      </w:r>
      <w:r w:rsidR="00AE0FB8" w:rsidRPr="004B30EB">
        <w:t xml:space="preserve">. </w:t>
      </w:r>
      <w:r w:rsidR="003814F0" w:rsidRPr="004B30EB">
        <w:t>T</w:t>
      </w:r>
      <w:r w:rsidR="00AE0FB8" w:rsidRPr="004B30EB">
        <w:t xml:space="preserve">he current request however, is </w:t>
      </w:r>
      <w:r w:rsidR="004B30EB" w:rsidRPr="004B30EB">
        <w:t>addressed to the registered agent</w:t>
      </w:r>
      <w:r w:rsidR="004B30EB">
        <w:t xml:space="preserve"> and </w:t>
      </w:r>
      <w:r w:rsidR="00AE0FB8" w:rsidRPr="004B30EB">
        <w:t xml:space="preserve">not </w:t>
      </w:r>
      <w:r w:rsidR="004B30EB">
        <w:t>to the</w:t>
      </w:r>
      <w:r w:rsidR="00AE0FB8" w:rsidRPr="004B30EB">
        <w:t xml:space="preserve"> IBC.</w:t>
      </w:r>
    </w:p>
    <w:p w:rsidR="00420E39" w:rsidRDefault="00D24435" w:rsidP="00420E39">
      <w:pPr>
        <w:pStyle w:val="JudgmentText"/>
      </w:pPr>
      <w:r w:rsidRPr="004B30EB">
        <w:t>A</w:t>
      </w:r>
      <w:r w:rsidR="00AE0FB8" w:rsidRPr="004B30EB">
        <w:t xml:space="preserve"> </w:t>
      </w:r>
      <w:r w:rsidR="00C45EF3" w:rsidRPr="004B30EB">
        <w:t xml:space="preserve">registered agent </w:t>
      </w:r>
      <w:r w:rsidR="00AE0FB8" w:rsidRPr="004B30EB">
        <w:t>may request certain information from third parties</w:t>
      </w:r>
      <w:r w:rsidRPr="004B30EB">
        <w:t xml:space="preserve"> including the IBCs to which its provides services and/or the directors of such IBCs</w:t>
      </w:r>
      <w:r w:rsidR="00AE0FB8" w:rsidRPr="004B30EB">
        <w:t xml:space="preserve">, </w:t>
      </w:r>
      <w:r w:rsidR="006F2C7D" w:rsidRPr="004B30EB">
        <w:t>but</w:t>
      </w:r>
      <w:r w:rsidR="00AE0FB8" w:rsidRPr="004B30EB">
        <w:t xml:space="preserve"> </w:t>
      </w:r>
      <w:r w:rsidRPr="004B30EB">
        <w:t>the registered agent is</w:t>
      </w:r>
      <w:r w:rsidR="00AE0FB8" w:rsidRPr="004B30EB">
        <w:t xml:space="preserve"> not obliged to do so </w:t>
      </w:r>
      <w:r w:rsidRPr="004B30EB">
        <w:t xml:space="preserve">unless it is required to keep such </w:t>
      </w:r>
      <w:r w:rsidR="00AE0FB8" w:rsidRPr="004B30EB">
        <w:t>information</w:t>
      </w:r>
      <w:r w:rsidRPr="004B30EB">
        <w:t>.</w:t>
      </w:r>
      <w:r w:rsidR="00C45EF3" w:rsidRPr="004B30EB">
        <w:t xml:space="preserve"> </w:t>
      </w:r>
      <w:r w:rsidRPr="004B30EB">
        <w:t>I</w:t>
      </w:r>
      <w:r w:rsidR="00C45EF3" w:rsidRPr="004B30EB">
        <w:t>f the</w:t>
      </w:r>
      <w:r w:rsidR="00AE0FB8" w:rsidRPr="004B30EB">
        <w:t xml:space="preserve"> third parties refuse to provide the information</w:t>
      </w:r>
      <w:r w:rsidR="00C45EF3" w:rsidRPr="004B30EB">
        <w:t xml:space="preserve"> to </w:t>
      </w:r>
      <w:r w:rsidR="00AE0FB8" w:rsidRPr="004B30EB">
        <w:t xml:space="preserve">the </w:t>
      </w:r>
      <w:r w:rsidR="00C45EF3" w:rsidRPr="004B30EB">
        <w:t>registered a</w:t>
      </w:r>
      <w:r w:rsidR="00AE0FB8" w:rsidRPr="004B30EB">
        <w:t xml:space="preserve">gent </w:t>
      </w:r>
      <w:r w:rsidR="00C45EF3" w:rsidRPr="004B30EB">
        <w:t xml:space="preserve">the latter </w:t>
      </w:r>
      <w:r w:rsidR="00AE0FB8" w:rsidRPr="004B30EB">
        <w:t>cannot compel them to</w:t>
      </w:r>
      <w:r w:rsidR="00C45EF3" w:rsidRPr="004B30EB">
        <w:t xml:space="preserve"> do so</w:t>
      </w:r>
      <w:r w:rsidR="00AE0FB8" w:rsidRPr="004B30EB">
        <w:t xml:space="preserve">. </w:t>
      </w:r>
      <w:r w:rsidR="00C45EF3" w:rsidRPr="004B30EB">
        <w:t>The r</w:t>
      </w:r>
      <w:r w:rsidR="00AE0FB8" w:rsidRPr="004B30EB">
        <w:t xml:space="preserve">egistered </w:t>
      </w:r>
      <w:r w:rsidR="00C45EF3" w:rsidRPr="004B30EB">
        <w:t>a</w:t>
      </w:r>
      <w:r w:rsidR="00AE0FB8" w:rsidRPr="004B30EB">
        <w:t>gent may</w:t>
      </w:r>
      <w:r w:rsidR="00C45EF3" w:rsidRPr="004B30EB">
        <w:t xml:space="preserve"> only</w:t>
      </w:r>
      <w:r w:rsidR="00AE0FB8" w:rsidRPr="004B30EB">
        <w:t xml:space="preserve"> report non-compliance </w:t>
      </w:r>
      <w:r w:rsidR="00C45EF3" w:rsidRPr="004B30EB">
        <w:t xml:space="preserve">by the IBC with its “record-keeping requirements” in relation to documents and records </w:t>
      </w:r>
      <w:r w:rsidR="00AE0FB8" w:rsidRPr="004B30EB">
        <w:t xml:space="preserve">to the Financial Services Authority or the Registrar </w:t>
      </w:r>
      <w:r w:rsidR="00C45EF3" w:rsidRPr="004B30EB">
        <w:t xml:space="preserve">which may </w:t>
      </w:r>
      <w:r w:rsidR="003814F0" w:rsidRPr="004B30EB">
        <w:t xml:space="preserve">then </w:t>
      </w:r>
      <w:r w:rsidR="00C45EF3" w:rsidRPr="004B30EB">
        <w:t>apply the prescribed sanctions for the non-compliance.</w:t>
      </w:r>
      <w:r w:rsidR="00AE0FB8" w:rsidRPr="004B30EB">
        <w:t xml:space="preserve"> </w:t>
      </w:r>
    </w:p>
    <w:p w:rsidR="00906259" w:rsidRDefault="004D1EB5" w:rsidP="00420E39">
      <w:pPr>
        <w:pStyle w:val="JudgmentText"/>
      </w:pPr>
      <w:r>
        <w:t>Having analysed the relevant legal provisions</w:t>
      </w:r>
      <w:r w:rsidR="004B30EB">
        <w:t xml:space="preserve"> </w:t>
      </w:r>
      <w:r>
        <w:t xml:space="preserve">relating to the obligations and duties of a registered agent of an IBC in light of the application for further disclosure of documents and information, </w:t>
      </w:r>
      <w:r w:rsidR="00906259">
        <w:t>I make the following Orders:</w:t>
      </w:r>
    </w:p>
    <w:p w:rsidR="00906259" w:rsidRDefault="00906259" w:rsidP="00BB3071">
      <w:pPr>
        <w:pStyle w:val="JudgmentText"/>
        <w:numPr>
          <w:ilvl w:val="0"/>
          <w:numId w:val="20"/>
        </w:numPr>
      </w:pPr>
      <w:r>
        <w:t xml:space="preserve">The respondent shall </w:t>
      </w:r>
      <w:r w:rsidR="004D1EB5">
        <w:t xml:space="preserve"> </w:t>
      </w:r>
      <w:r>
        <w:t xml:space="preserve">not later than 14 days from the date of this Order disclose the following documents </w:t>
      </w:r>
      <w:r w:rsidR="00F14E3C">
        <w:t>and/</w:t>
      </w:r>
      <w:r>
        <w:t xml:space="preserve">or information in the respondent’s </w:t>
      </w:r>
      <w:r w:rsidR="00B209D6">
        <w:t xml:space="preserve">possession or </w:t>
      </w:r>
      <w:r>
        <w:t>knowledge in respect of Kirkwell Inc</w:t>
      </w:r>
      <w:r w:rsidR="00B209D6">
        <w:t>.</w:t>
      </w:r>
      <w:r>
        <w:t xml:space="preserve"> and Shanklin Holdings Ltd:</w:t>
      </w:r>
    </w:p>
    <w:p w:rsidR="00906259" w:rsidRPr="0018325D" w:rsidRDefault="00B209D6" w:rsidP="00BB3071">
      <w:pPr>
        <w:pStyle w:val="JudgmentText"/>
        <w:numPr>
          <w:ilvl w:val="0"/>
          <w:numId w:val="21"/>
        </w:numPr>
      </w:pPr>
      <w:r>
        <w:t>C</w:t>
      </w:r>
      <w:r w:rsidR="00906259" w:rsidRPr="0018325D">
        <w:t>onfirm whether it acts as, has provided or arranged for others to provide a nominee shareholder for Kirkwell and/or Shanklin, and if it does or has</w:t>
      </w:r>
      <w:r w:rsidR="00906259">
        <w:t>,</w:t>
      </w:r>
      <w:r w:rsidR="00906259" w:rsidRPr="0018325D">
        <w:t xml:space="preserve"> disclose the nominee agreement required to be kept pursuant to paragraph 24.2 of the Code for ICSPs.</w:t>
      </w:r>
    </w:p>
    <w:p w:rsidR="00906259" w:rsidRPr="0018325D" w:rsidRDefault="00906259" w:rsidP="00BB3071">
      <w:pPr>
        <w:pStyle w:val="JudgmentText"/>
        <w:numPr>
          <w:ilvl w:val="0"/>
          <w:numId w:val="21"/>
        </w:numPr>
      </w:pPr>
      <w:r w:rsidRPr="0018325D">
        <w:t xml:space="preserve">If </w:t>
      </w:r>
      <w:r w:rsidR="00752AA4">
        <w:t>the respondent has not already done so,</w:t>
      </w:r>
      <w:r w:rsidRPr="0018325D">
        <w:t xml:space="preserve"> confirm the nature of the relationship between the Carey Group and ACT, if any.</w:t>
      </w:r>
    </w:p>
    <w:p w:rsidR="00906259" w:rsidRDefault="00906259" w:rsidP="00BB3071">
      <w:pPr>
        <w:pStyle w:val="JudgmentText"/>
        <w:numPr>
          <w:ilvl w:val="0"/>
          <w:numId w:val="21"/>
        </w:numPr>
      </w:pPr>
      <w:r w:rsidRPr="0018325D">
        <w:t xml:space="preserve">If the </w:t>
      </w:r>
      <w:r w:rsidR="00752AA4">
        <w:t>respondent has not already</w:t>
      </w:r>
      <w:r w:rsidR="00752AA4" w:rsidRPr="0018325D">
        <w:t xml:space="preserve"> </w:t>
      </w:r>
      <w:r w:rsidR="00752AA4">
        <w:t xml:space="preserve">disclosed the </w:t>
      </w:r>
      <w:r w:rsidRPr="0018325D">
        <w:t>register of</w:t>
      </w:r>
      <w:r w:rsidR="00752AA4">
        <w:t xml:space="preserve"> beneficial owners,</w:t>
      </w:r>
      <w:r w:rsidRPr="0018325D">
        <w:t xml:space="preserve"> disclose the identity of any nominee(s) holding interest on behalf of the beneficial owner, the particulars and details of the interest held by such nominee and any relevant information regarding such nominee and interest.</w:t>
      </w:r>
    </w:p>
    <w:p w:rsidR="00752AA4" w:rsidRDefault="00B209D6" w:rsidP="00BB3071">
      <w:pPr>
        <w:pStyle w:val="JudgmentText"/>
        <w:numPr>
          <w:ilvl w:val="0"/>
          <w:numId w:val="21"/>
        </w:numPr>
      </w:pPr>
      <w:r>
        <w:lastRenderedPageBreak/>
        <w:t>C</w:t>
      </w:r>
      <w:r w:rsidR="00752AA4" w:rsidRPr="0018325D">
        <w:t>onfirm whether</w:t>
      </w:r>
      <w:r w:rsidR="00752AA4">
        <w:t xml:space="preserve"> it has provided nominee director services to </w:t>
      </w:r>
      <w:r w:rsidR="00752AA4" w:rsidRPr="0018325D">
        <w:t>Kirkwell and/or Shanklin</w:t>
      </w:r>
      <w:r w:rsidR="00752AA4">
        <w:t>, directly through one of its own directors or indirectly through an employee/professional officer, and if it has provided</w:t>
      </w:r>
      <w:r w:rsidR="00752AA4" w:rsidRPr="006931E3">
        <w:t xml:space="preserve"> </w:t>
      </w:r>
      <w:r w:rsidR="00752AA4">
        <w:t>nominee director services directly through one of its own directors, provide any powers of attorney issued by such director.</w:t>
      </w:r>
    </w:p>
    <w:p w:rsidR="00752AA4" w:rsidRDefault="00752AA4" w:rsidP="00BB3071">
      <w:pPr>
        <w:pStyle w:val="JudgmentText"/>
        <w:numPr>
          <w:ilvl w:val="0"/>
          <w:numId w:val="21"/>
        </w:numPr>
      </w:pPr>
      <w:r>
        <w:t>If it has provided</w:t>
      </w:r>
      <w:r w:rsidRPr="006931E3">
        <w:t xml:space="preserve"> </w:t>
      </w:r>
      <w:r>
        <w:t>nominee director services directly through one of its own directors</w:t>
      </w:r>
      <w:r w:rsidRPr="00CD6E88">
        <w:t xml:space="preserve"> </w:t>
      </w:r>
      <w:r>
        <w:t xml:space="preserve">to </w:t>
      </w:r>
      <w:r w:rsidRPr="0018325D">
        <w:t>Kirkwell and/or Shanklin</w:t>
      </w:r>
      <w:r>
        <w:t>, disclose</w:t>
      </w:r>
      <w:r w:rsidRPr="0018325D">
        <w:t xml:space="preserve"> </w:t>
      </w:r>
      <w:r>
        <w:t>any information that it may have regarding assets of the companies.</w:t>
      </w:r>
    </w:p>
    <w:p w:rsidR="00752AA4" w:rsidRPr="00420E39" w:rsidRDefault="00B209D6" w:rsidP="00BB3071">
      <w:pPr>
        <w:pStyle w:val="JudgmentText"/>
        <w:numPr>
          <w:ilvl w:val="0"/>
          <w:numId w:val="21"/>
        </w:numPr>
      </w:pPr>
      <w:r>
        <w:t>D</w:t>
      </w:r>
      <w:r w:rsidR="00752AA4">
        <w:t xml:space="preserve">isclose any accounting records in its possession </w:t>
      </w:r>
      <w:r>
        <w:t>which show</w:t>
      </w:r>
      <w:r w:rsidR="00752AA4">
        <w:t xml:space="preserve"> the assets of the company.</w:t>
      </w:r>
    </w:p>
    <w:p w:rsidR="00752AA4" w:rsidRPr="0018325D" w:rsidRDefault="00B209D6" w:rsidP="00BB3071">
      <w:pPr>
        <w:pStyle w:val="JudgmentText"/>
        <w:numPr>
          <w:ilvl w:val="0"/>
          <w:numId w:val="21"/>
        </w:numPr>
      </w:pPr>
      <w:r>
        <w:t>D</w:t>
      </w:r>
      <w:r w:rsidR="00752AA4">
        <w:t>isclose any R</w:t>
      </w:r>
      <w:r w:rsidR="00752AA4" w:rsidRPr="00420E39">
        <w:t>e</w:t>
      </w:r>
      <w:r w:rsidR="00752AA4">
        <w:t xml:space="preserve">gister of Charges created by </w:t>
      </w:r>
      <w:r w:rsidR="00752AA4" w:rsidRPr="0018325D">
        <w:t>Kirkwell and/or Shanklin</w:t>
      </w:r>
      <w:r w:rsidR="00752AA4">
        <w:t xml:space="preserve"> kept at its office.</w:t>
      </w:r>
    </w:p>
    <w:p w:rsidR="00C932A0" w:rsidRDefault="00C932A0" w:rsidP="00BB3071">
      <w:pPr>
        <w:pStyle w:val="JudgmentText"/>
        <w:numPr>
          <w:ilvl w:val="0"/>
          <w:numId w:val="20"/>
        </w:numPr>
      </w:pPr>
      <w:r>
        <w:t xml:space="preserve">The respondent shall verify the disclosure made pursuant to paragraph (a) above not later than 14 days from the date of this Order by serving on the applicant’s attorney an affidavit sworn by an authorised officer of the respondent, exhibiting copies of any documents disclosed. </w:t>
      </w:r>
      <w:r w:rsidRPr="004D1EB5">
        <w:t xml:space="preserve">If the respondent is unable to provide the documents and/or information as ordered, it should explain in </w:t>
      </w:r>
      <w:r>
        <w:t>the</w:t>
      </w:r>
      <w:r w:rsidRPr="004D1EB5">
        <w:t xml:space="preserve"> affidavit the reasons for such inability</w:t>
      </w:r>
      <w:r>
        <w:t>.</w:t>
      </w:r>
    </w:p>
    <w:p w:rsidR="00C932A0" w:rsidRDefault="00C932A0" w:rsidP="00BB3071">
      <w:pPr>
        <w:pStyle w:val="JudgmentText"/>
        <w:numPr>
          <w:ilvl w:val="0"/>
          <w:numId w:val="20"/>
        </w:numPr>
      </w:pPr>
      <w:r>
        <w:t xml:space="preserve">The respondent’s reasonable costs including </w:t>
      </w:r>
      <w:r w:rsidR="00B209D6">
        <w:t>its</w:t>
      </w:r>
      <w:r>
        <w:t xml:space="preserve"> costs and expenses of complying with this Order shall be borne by the applicant. </w:t>
      </w:r>
    </w:p>
    <w:p w:rsidR="00061F13" w:rsidRPr="004D1EB5" w:rsidRDefault="00C932A0" w:rsidP="00BB3071">
      <w:pPr>
        <w:pStyle w:val="JudgmentText"/>
        <w:numPr>
          <w:ilvl w:val="0"/>
          <w:numId w:val="20"/>
        </w:numPr>
      </w:pPr>
      <w:r>
        <w:t>This Order is to be served on the respondent forthwith</w:t>
      </w:r>
      <w:r w:rsidR="00061F13" w:rsidRPr="004D1EB5">
        <w:t>.</w:t>
      </w:r>
    </w:p>
    <w:p w:rsidR="00DC57CE" w:rsidRPr="00293995" w:rsidRDefault="00DC57CE" w:rsidP="00DC57CE">
      <w:pPr>
        <w:pStyle w:val="ListParagraph"/>
        <w:spacing w:after="240" w:line="360" w:lineRule="auto"/>
        <w:ind w:left="0"/>
        <w:contextualSpacing w:val="0"/>
        <w:jc w:val="both"/>
        <w:rPr>
          <w:rFonts w:ascii="Times New Roman" w:hAnsi="Times New Roman" w:cs="Times New Roman"/>
          <w:sz w:val="24"/>
          <w:szCs w:val="24"/>
        </w:rPr>
      </w:pPr>
      <w:r w:rsidRPr="00293995">
        <w:rPr>
          <w:rFonts w:ascii="Times New Roman" w:hAnsi="Times New Roman" w:cs="Times New Roman"/>
          <w:sz w:val="24"/>
          <w:szCs w:val="24"/>
        </w:rPr>
        <w:t xml:space="preserve">Signed, dated and delivered at Ile du Port on </w:t>
      </w:r>
      <w:r w:rsidR="00C932A0">
        <w:rPr>
          <w:rFonts w:ascii="Times New Roman" w:hAnsi="Times New Roman" w:cs="Times New Roman"/>
          <w:sz w:val="24"/>
          <w:szCs w:val="24"/>
        </w:rPr>
        <w:t>21</w:t>
      </w:r>
      <w:r w:rsidR="00C932A0" w:rsidRPr="00C932A0">
        <w:rPr>
          <w:rFonts w:ascii="Times New Roman" w:hAnsi="Times New Roman" w:cs="Times New Roman"/>
          <w:sz w:val="24"/>
          <w:szCs w:val="24"/>
          <w:vertAlign w:val="superscript"/>
        </w:rPr>
        <w:t>st</w:t>
      </w:r>
      <w:r w:rsidR="00C932A0">
        <w:rPr>
          <w:rFonts w:ascii="Times New Roman" w:hAnsi="Times New Roman" w:cs="Times New Roman"/>
          <w:sz w:val="24"/>
          <w:szCs w:val="24"/>
        </w:rPr>
        <w:t xml:space="preserve"> March</w:t>
      </w:r>
      <w:r w:rsidR="00AD351A">
        <w:rPr>
          <w:rFonts w:ascii="Times New Roman" w:hAnsi="Times New Roman" w:cs="Times New Roman"/>
          <w:sz w:val="24"/>
          <w:szCs w:val="24"/>
        </w:rPr>
        <w:t xml:space="preserve"> 2022</w:t>
      </w:r>
      <w:r w:rsidRPr="00293995">
        <w:rPr>
          <w:rFonts w:ascii="Times New Roman" w:hAnsi="Times New Roman" w:cs="Times New Roman"/>
          <w:sz w:val="24"/>
          <w:szCs w:val="24"/>
        </w:rPr>
        <w:t>.</w:t>
      </w:r>
    </w:p>
    <w:p w:rsidR="00DC57CE" w:rsidRDefault="00DC57CE" w:rsidP="00DC57CE">
      <w:pPr>
        <w:pStyle w:val="ListParagraph"/>
        <w:spacing w:line="360" w:lineRule="auto"/>
        <w:ind w:left="0"/>
        <w:contextualSpacing w:val="0"/>
        <w:jc w:val="both"/>
        <w:rPr>
          <w:rFonts w:ascii="Times New Roman" w:hAnsi="Times New Roman" w:cs="Times New Roman"/>
          <w:sz w:val="24"/>
          <w:szCs w:val="24"/>
        </w:rPr>
      </w:pPr>
    </w:p>
    <w:p w:rsidR="001C3EA2" w:rsidRDefault="001C3EA2" w:rsidP="00DC57CE">
      <w:pPr>
        <w:pStyle w:val="ListParagraph"/>
        <w:spacing w:line="360" w:lineRule="auto"/>
        <w:ind w:left="0"/>
        <w:contextualSpacing w:val="0"/>
        <w:jc w:val="both"/>
        <w:rPr>
          <w:rFonts w:ascii="Times New Roman" w:hAnsi="Times New Roman" w:cs="Times New Roman"/>
          <w:sz w:val="24"/>
          <w:szCs w:val="24"/>
        </w:rPr>
      </w:pPr>
    </w:p>
    <w:p w:rsidR="001C3EA2" w:rsidRDefault="001C3EA2" w:rsidP="00DC57CE">
      <w:pPr>
        <w:pStyle w:val="ListParagraph"/>
        <w:spacing w:line="360" w:lineRule="auto"/>
        <w:ind w:left="0"/>
        <w:contextualSpacing w:val="0"/>
        <w:jc w:val="both"/>
        <w:rPr>
          <w:rFonts w:ascii="Times New Roman" w:hAnsi="Times New Roman" w:cs="Times New Roman"/>
          <w:sz w:val="24"/>
          <w:szCs w:val="24"/>
        </w:rPr>
      </w:pPr>
    </w:p>
    <w:p w:rsidR="00DC57CE" w:rsidRDefault="00DC57CE" w:rsidP="00AD351A">
      <w:pPr>
        <w:pStyle w:val="ListParagraph"/>
        <w:ind w:left="0"/>
        <w:contextualSpacing w:val="0"/>
        <w:jc w:val="both"/>
      </w:pPr>
      <w:r w:rsidRPr="00293995">
        <w:rPr>
          <w:rFonts w:ascii="Times New Roman" w:hAnsi="Times New Roman" w:cs="Times New Roman"/>
          <w:sz w:val="24"/>
          <w:szCs w:val="24"/>
        </w:rPr>
        <w:t>E. Carolus</w:t>
      </w:r>
      <w:r w:rsidR="00293995">
        <w:rPr>
          <w:rFonts w:ascii="Times New Roman" w:hAnsi="Times New Roman" w:cs="Times New Roman"/>
          <w:sz w:val="24"/>
          <w:szCs w:val="24"/>
        </w:rPr>
        <w:t xml:space="preserve"> </w:t>
      </w:r>
      <w:r w:rsidRPr="00293995">
        <w:rPr>
          <w:rFonts w:ascii="Times New Roman" w:hAnsi="Times New Roman" w:cs="Times New Roman"/>
          <w:sz w:val="24"/>
          <w:szCs w:val="24"/>
        </w:rPr>
        <w:t>J</w:t>
      </w:r>
    </w:p>
    <w:sectPr w:rsidR="00DC57CE" w:rsidSect="009B495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06EA" w:rsidRDefault="00B006EA" w:rsidP="006A68E2">
      <w:pPr>
        <w:spacing w:after="0" w:line="240" w:lineRule="auto"/>
      </w:pPr>
      <w:r>
        <w:separator/>
      </w:r>
    </w:p>
  </w:endnote>
  <w:endnote w:type="continuationSeparator" w:id="0">
    <w:p w:rsidR="00B006EA" w:rsidRDefault="00B006EA" w:rsidP="006A6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7007354"/>
      <w:docPartObj>
        <w:docPartGallery w:val="Page Numbers (Bottom of Page)"/>
        <w:docPartUnique/>
      </w:docPartObj>
    </w:sdtPr>
    <w:sdtEndPr>
      <w:rPr>
        <w:noProof/>
      </w:rPr>
    </w:sdtEndPr>
    <w:sdtContent>
      <w:p w:rsidR="001903A8" w:rsidRDefault="001903A8">
        <w:pPr>
          <w:pStyle w:val="Footer"/>
          <w:jc w:val="center"/>
        </w:pPr>
        <w:r>
          <w:fldChar w:fldCharType="begin"/>
        </w:r>
        <w:r>
          <w:instrText xml:space="preserve"> PAGE   \* MERGEFORMAT </w:instrText>
        </w:r>
        <w:r>
          <w:fldChar w:fldCharType="separate"/>
        </w:r>
        <w:r w:rsidR="0089308B">
          <w:rPr>
            <w:noProof/>
          </w:rPr>
          <w:t>2</w:t>
        </w:r>
        <w:r>
          <w:rPr>
            <w:noProof/>
          </w:rPr>
          <w:fldChar w:fldCharType="end"/>
        </w:r>
      </w:p>
    </w:sdtContent>
  </w:sdt>
  <w:p w:rsidR="001903A8" w:rsidRDefault="001903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06EA" w:rsidRDefault="00B006EA" w:rsidP="006A68E2">
      <w:pPr>
        <w:spacing w:after="0" w:line="240" w:lineRule="auto"/>
      </w:pPr>
      <w:r>
        <w:separator/>
      </w:r>
    </w:p>
  </w:footnote>
  <w:footnote w:type="continuationSeparator" w:id="0">
    <w:p w:rsidR="00B006EA" w:rsidRDefault="00B006EA" w:rsidP="006A68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242C4"/>
    <w:multiLevelType w:val="hybridMultilevel"/>
    <w:tmpl w:val="7A241682"/>
    <w:lvl w:ilvl="0" w:tplc="75CA6B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76479D"/>
    <w:multiLevelType w:val="hybridMultilevel"/>
    <w:tmpl w:val="A5FC66B6"/>
    <w:lvl w:ilvl="0" w:tplc="8D0EFC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2FA3364"/>
    <w:multiLevelType w:val="hybridMultilevel"/>
    <w:tmpl w:val="D35028C4"/>
    <w:lvl w:ilvl="0" w:tplc="0088CACE">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0CA1D92"/>
    <w:multiLevelType w:val="hybridMultilevel"/>
    <w:tmpl w:val="D2F23F36"/>
    <w:lvl w:ilvl="0" w:tplc="F1F878C6">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24DD5EB2"/>
    <w:multiLevelType w:val="hybridMultilevel"/>
    <w:tmpl w:val="A5FC66B6"/>
    <w:lvl w:ilvl="0" w:tplc="8D0EFC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7CF6148"/>
    <w:multiLevelType w:val="hybridMultilevel"/>
    <w:tmpl w:val="B76C354A"/>
    <w:lvl w:ilvl="0" w:tplc="E9248A24">
      <w:start w:val="1"/>
      <w:numFmt w:val="decimal"/>
      <w:pStyle w:val="NumberedJudgmentparagraph"/>
      <w:lvlText w:val="[%1]"/>
      <w:lvlJc w:val="left"/>
      <w:pPr>
        <w:ind w:left="360" w:hanging="360"/>
      </w:pPr>
      <w:rPr>
        <w:rFonts w:ascii="Times New Roman" w:hAnsi="Times New Roman" w:hint="default"/>
        <w:b w:val="0"/>
        <w:i w:val="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E0F320C"/>
    <w:multiLevelType w:val="hybridMultilevel"/>
    <w:tmpl w:val="A68CEEAA"/>
    <w:lvl w:ilvl="0" w:tplc="2D520D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07542D2"/>
    <w:multiLevelType w:val="multilevel"/>
    <w:tmpl w:val="1CC89892"/>
    <w:numStyleLink w:val="Judgments"/>
  </w:abstractNum>
  <w:abstractNum w:abstractNumId="8" w15:restartNumberingAfterBreak="0">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9" w15:restartNumberingAfterBreak="0">
    <w:nsid w:val="34E85909"/>
    <w:multiLevelType w:val="hybridMultilevel"/>
    <w:tmpl w:val="26F4C8E8"/>
    <w:lvl w:ilvl="0" w:tplc="3A565592">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C7A4ADA"/>
    <w:multiLevelType w:val="hybridMultilevel"/>
    <w:tmpl w:val="A6DCDE34"/>
    <w:lvl w:ilvl="0" w:tplc="8D0EFC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66E327C"/>
    <w:multiLevelType w:val="hybridMultilevel"/>
    <w:tmpl w:val="D35028C4"/>
    <w:lvl w:ilvl="0" w:tplc="0088CACE">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82A421A"/>
    <w:multiLevelType w:val="hybridMultilevel"/>
    <w:tmpl w:val="B784E90A"/>
    <w:lvl w:ilvl="0" w:tplc="C1F2E3AA">
      <w:start w:val="1"/>
      <w:numFmt w:val="lowerRoman"/>
      <w:pStyle w:val="NumberedQuotationindent1"/>
      <w:lvlText w:val="(%1)"/>
      <w:lvlJc w:val="left"/>
      <w:pPr>
        <w:ind w:left="1080" w:hanging="360"/>
      </w:pPr>
      <w:rPr>
        <w:rFonts w:ascii="Times New Roman" w:eastAsiaTheme="minorHAnsi" w:hAnsi="Times New Roman" w:cs="Times New Roman"/>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B234952"/>
    <w:multiLevelType w:val="hybridMultilevel"/>
    <w:tmpl w:val="6028700C"/>
    <w:lvl w:ilvl="0" w:tplc="F076A9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3A640F2"/>
    <w:multiLevelType w:val="hybridMultilevel"/>
    <w:tmpl w:val="6028700C"/>
    <w:lvl w:ilvl="0" w:tplc="F076A9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4106B16"/>
    <w:multiLevelType w:val="hybridMultilevel"/>
    <w:tmpl w:val="D79E4A14"/>
    <w:lvl w:ilvl="0" w:tplc="659A576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5"/>
  </w:num>
  <w:num w:numId="2">
    <w:abstractNumId w:val="8"/>
  </w:num>
  <w:num w:numId="3">
    <w:abstractNumId w:val="7"/>
    <w:lvlOverride w:ilvl="0">
      <w:lvl w:ilvl="0">
        <w:start w:val="1"/>
        <w:numFmt w:val="decimal"/>
        <w:pStyle w:val="JudgmentText"/>
        <w:lvlText w:val="[%1]"/>
        <w:lvlJc w:val="left"/>
        <w:pPr>
          <w:ind w:left="720" w:hanging="720"/>
        </w:pPr>
        <w:rPr>
          <w:rFonts w:ascii="Times New Roman" w:hAnsi="Times New Roman" w:hint="default"/>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4">
    <w:abstractNumId w:val="12"/>
  </w:num>
  <w:num w:numId="5">
    <w:abstractNumId w:val="7"/>
    <w:lvlOverride w:ilvl="0">
      <w:lvl w:ilvl="0">
        <w:start w:val="1"/>
        <w:numFmt w:val="decimal"/>
        <w:pStyle w:val="JudgmentText"/>
        <w:lvlText w:val="[%1]"/>
        <w:lvlJc w:val="left"/>
        <w:pPr>
          <w:ind w:left="720" w:hanging="720"/>
        </w:pPr>
        <w:rPr>
          <w:rFonts w:ascii="Times New Roman" w:hAnsi="Times New Roman" w:hint="default"/>
          <w:b w:val="0"/>
          <w:i w:val="0"/>
          <w:sz w:val="24"/>
        </w:rPr>
      </w:lvl>
    </w:lvlOverride>
    <w:lvlOverride w:ilvl="1">
      <w:lvl w:ilvl="1">
        <w:start w:val="1"/>
        <w:numFmt w:val="lowerLetter"/>
        <w:lvlText w:val="%2."/>
        <w:lvlJc w:val="left"/>
        <w:pPr>
          <w:ind w:left="2340" w:hanging="720"/>
        </w:pPr>
        <w:rPr>
          <w:rFonts w:hint="default"/>
          <w:b w:val="0"/>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1713"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6">
    <w:abstractNumId w:val="6"/>
  </w:num>
  <w:num w:numId="7">
    <w:abstractNumId w:val="9"/>
  </w:num>
  <w:num w:numId="8">
    <w:abstractNumId w:val="7"/>
    <w:lvlOverride w:ilvl="0">
      <w:startOverride w:val="1"/>
      <w:lvl w:ilvl="0">
        <w:start w:val="1"/>
        <w:numFmt w:val="decimal"/>
        <w:pStyle w:val="JudgmentText"/>
        <w:lvlText w:val="[%1]"/>
        <w:lvlJc w:val="left"/>
        <w:pPr>
          <w:ind w:left="720" w:hanging="720"/>
        </w:pPr>
        <w:rPr>
          <w:rFonts w:ascii="Times New Roman" w:hAnsi="Times New Roman" w:hint="default"/>
          <w:sz w:val="24"/>
        </w:rPr>
      </w:lvl>
    </w:lvlOverride>
    <w:lvlOverride w:ilvl="1">
      <w:startOverride w:val="1"/>
      <w:lvl w:ilvl="1">
        <w:start w:val="1"/>
        <w:numFmt w:val="lowerLetter"/>
        <w:lvlText w:val="%2."/>
        <w:lvlJc w:val="left"/>
        <w:pPr>
          <w:ind w:left="1440" w:hanging="720"/>
        </w:pPr>
        <w:rPr>
          <w:rFonts w:hint="default"/>
        </w:rPr>
      </w:lvl>
    </w:lvlOverride>
    <w:lvlOverride w:ilvl="2">
      <w:startOverride w:val="1"/>
      <w:lvl w:ilvl="2">
        <w:start w:val="1"/>
        <w:numFmt w:val="lowerRoman"/>
        <w:lvlText w:val="%3."/>
        <w:lvlJc w:val="right"/>
        <w:pPr>
          <w:ind w:left="2160" w:hanging="720"/>
        </w:pPr>
        <w:rPr>
          <w:rFonts w:hint="default"/>
        </w:rPr>
      </w:lvl>
    </w:lvlOverride>
    <w:lvlOverride w:ilvl="3">
      <w:startOverride w:val="14"/>
      <w:lvl w:ilvl="3">
        <w:start w:val="14"/>
        <w:numFmt w:val="decimal"/>
        <w:lvlText w:val="%4."/>
        <w:lvlJc w:val="left"/>
        <w:pPr>
          <w:ind w:left="2880" w:hanging="720"/>
        </w:pPr>
        <w:rPr>
          <w:rFonts w:hint="default"/>
        </w:rPr>
      </w:lvl>
    </w:lvlOverride>
  </w:num>
  <w:num w:numId="9">
    <w:abstractNumId w:val="15"/>
  </w:num>
  <w:num w:numId="10">
    <w:abstractNumId w:val="3"/>
  </w:num>
  <w:num w:numId="11">
    <w:abstractNumId w:val="7"/>
    <w:lvlOverride w:ilvl="0">
      <w:startOverride w:val="1"/>
      <w:lvl w:ilvl="0">
        <w:start w:val="1"/>
        <w:numFmt w:val="decimal"/>
        <w:pStyle w:val="JudgmentText"/>
        <w:lvlText w:val="[%1]"/>
        <w:lvlJc w:val="left"/>
        <w:pPr>
          <w:ind w:left="720" w:hanging="720"/>
        </w:pPr>
        <w:rPr>
          <w:rFonts w:ascii="Times New Roman" w:hAnsi="Times New Roman" w:hint="default"/>
          <w:sz w:val="24"/>
        </w:rPr>
      </w:lvl>
    </w:lvlOverride>
    <w:lvlOverride w:ilvl="1">
      <w:startOverride w:val="1"/>
      <w:lvl w:ilvl="1">
        <w:start w:val="1"/>
        <w:numFmt w:val="lowerLetter"/>
        <w:lvlText w:val="%2."/>
        <w:lvlJc w:val="left"/>
        <w:pPr>
          <w:ind w:left="1440" w:hanging="720"/>
        </w:pPr>
        <w:rPr>
          <w:rFonts w:hint="default"/>
        </w:rPr>
      </w:lvl>
    </w:lvlOverride>
    <w:lvlOverride w:ilvl="2">
      <w:startOverride w:val="1"/>
      <w:lvl w:ilvl="2">
        <w:start w:val="1"/>
        <w:numFmt w:val="lowerRoman"/>
        <w:lvlText w:val="%3."/>
        <w:lvlJc w:val="right"/>
        <w:pPr>
          <w:ind w:left="2160" w:hanging="720"/>
        </w:pPr>
        <w:rPr>
          <w:rFonts w:hint="default"/>
        </w:rPr>
      </w:lvl>
    </w:lvlOverride>
    <w:lvlOverride w:ilvl="3">
      <w:startOverride w:val="39"/>
      <w:lvl w:ilvl="3">
        <w:start w:val="39"/>
        <w:numFmt w:val="decimal"/>
        <w:lvlText w:val="%4."/>
        <w:lvlJc w:val="left"/>
        <w:pPr>
          <w:ind w:left="2880" w:hanging="720"/>
        </w:pPr>
        <w:rPr>
          <w:rFonts w:hint="default"/>
        </w:rPr>
      </w:lvl>
    </w:lvlOverride>
  </w:num>
  <w:num w:numId="12">
    <w:abstractNumId w:val="7"/>
    <w:lvlOverride w:ilvl="0">
      <w:startOverride w:val="1"/>
      <w:lvl w:ilvl="0">
        <w:start w:val="1"/>
        <w:numFmt w:val="decimal"/>
        <w:pStyle w:val="JudgmentText"/>
        <w:lvlText w:val="[%1]"/>
        <w:lvlJc w:val="left"/>
        <w:pPr>
          <w:ind w:left="720" w:hanging="720"/>
        </w:pPr>
        <w:rPr>
          <w:rFonts w:ascii="Times New Roman" w:hAnsi="Times New Roman" w:hint="default"/>
          <w:sz w:val="24"/>
        </w:rPr>
      </w:lvl>
    </w:lvlOverride>
    <w:lvlOverride w:ilvl="1">
      <w:startOverride w:val="1"/>
      <w:lvl w:ilvl="1">
        <w:start w:val="1"/>
        <w:numFmt w:val="lowerLetter"/>
        <w:lvlText w:val="%2."/>
        <w:lvlJc w:val="left"/>
        <w:pPr>
          <w:ind w:left="1440" w:hanging="720"/>
        </w:pPr>
        <w:rPr>
          <w:rFonts w:hint="default"/>
        </w:rPr>
      </w:lvl>
    </w:lvlOverride>
    <w:lvlOverride w:ilvl="2">
      <w:startOverride w:val="1"/>
      <w:lvl w:ilvl="2">
        <w:start w:val="1"/>
        <w:numFmt w:val="lowerRoman"/>
        <w:lvlText w:val="%3."/>
        <w:lvlJc w:val="right"/>
        <w:pPr>
          <w:ind w:left="2160" w:hanging="720"/>
        </w:pPr>
        <w:rPr>
          <w:rFonts w:hint="default"/>
        </w:rPr>
      </w:lvl>
    </w:lvlOverride>
    <w:lvlOverride w:ilvl="3">
      <w:startOverride w:val="128"/>
      <w:lvl w:ilvl="3">
        <w:start w:val="128"/>
        <w:numFmt w:val="decimal"/>
        <w:lvlText w:val="%4."/>
        <w:lvlJc w:val="left"/>
        <w:pPr>
          <w:ind w:left="2880" w:hanging="720"/>
        </w:pPr>
        <w:rPr>
          <w:rFonts w:hint="default"/>
        </w:rPr>
      </w:lvl>
    </w:lvlOverride>
  </w:num>
  <w:num w:numId="13">
    <w:abstractNumId w:val="7"/>
    <w:lvlOverride w:ilvl="0">
      <w:startOverride w:val="1"/>
      <w:lvl w:ilvl="0">
        <w:start w:val="1"/>
        <w:numFmt w:val="decimal"/>
        <w:pStyle w:val="JudgmentText"/>
        <w:lvlText w:val="[%1]"/>
        <w:lvlJc w:val="left"/>
        <w:pPr>
          <w:ind w:left="720" w:hanging="720"/>
        </w:pPr>
        <w:rPr>
          <w:rFonts w:ascii="Times New Roman" w:hAnsi="Times New Roman" w:hint="default"/>
          <w:sz w:val="24"/>
        </w:rPr>
      </w:lvl>
    </w:lvlOverride>
    <w:lvlOverride w:ilvl="1">
      <w:startOverride w:val="1"/>
      <w:lvl w:ilvl="1">
        <w:start w:val="1"/>
        <w:numFmt w:val="lowerLetter"/>
        <w:lvlText w:val="%2."/>
        <w:lvlJc w:val="left"/>
        <w:pPr>
          <w:ind w:left="1440" w:hanging="720"/>
        </w:pPr>
        <w:rPr>
          <w:rFonts w:hint="default"/>
        </w:rPr>
      </w:lvl>
    </w:lvlOverride>
    <w:lvlOverride w:ilvl="2">
      <w:startOverride w:val="1"/>
      <w:lvl w:ilvl="2">
        <w:start w:val="1"/>
        <w:numFmt w:val="lowerRoman"/>
        <w:lvlText w:val="%3."/>
        <w:lvlJc w:val="right"/>
        <w:pPr>
          <w:ind w:left="2160" w:hanging="720"/>
        </w:pPr>
        <w:rPr>
          <w:rFonts w:hint="default"/>
        </w:rPr>
      </w:lvl>
    </w:lvlOverride>
    <w:lvlOverride w:ilvl="3">
      <w:startOverride w:val="174"/>
      <w:lvl w:ilvl="3">
        <w:start w:val="174"/>
        <w:numFmt w:val="decimal"/>
        <w:lvlText w:val="%4."/>
        <w:lvlJc w:val="left"/>
        <w:pPr>
          <w:ind w:left="2880" w:hanging="720"/>
        </w:pPr>
        <w:rPr>
          <w:rFonts w:hint="default"/>
        </w:rPr>
      </w:lvl>
    </w:lvlOverride>
  </w:num>
  <w:num w:numId="14">
    <w:abstractNumId w:val="0"/>
  </w:num>
  <w:num w:numId="15">
    <w:abstractNumId w:val="10"/>
  </w:num>
  <w:num w:numId="16">
    <w:abstractNumId w:val="14"/>
  </w:num>
  <w:num w:numId="17">
    <w:abstractNumId w:val="13"/>
  </w:num>
  <w:num w:numId="18">
    <w:abstractNumId w:val="1"/>
  </w:num>
  <w:num w:numId="19">
    <w:abstractNumId w:val="11"/>
  </w:num>
  <w:num w:numId="20">
    <w:abstractNumId w:val="4"/>
  </w:num>
  <w:num w:numId="21">
    <w:abstractNumId w:val="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1C6"/>
    <w:rsid w:val="00000AF3"/>
    <w:rsid w:val="00025CDF"/>
    <w:rsid w:val="00025E48"/>
    <w:rsid w:val="00026956"/>
    <w:rsid w:val="0003329A"/>
    <w:rsid w:val="00040193"/>
    <w:rsid w:val="00045B61"/>
    <w:rsid w:val="00046006"/>
    <w:rsid w:val="00051A19"/>
    <w:rsid w:val="000604CF"/>
    <w:rsid w:val="00061F13"/>
    <w:rsid w:val="00066F19"/>
    <w:rsid w:val="00067A78"/>
    <w:rsid w:val="00071B84"/>
    <w:rsid w:val="000740B8"/>
    <w:rsid w:val="000846F7"/>
    <w:rsid w:val="0008560D"/>
    <w:rsid w:val="00086842"/>
    <w:rsid w:val="0009242F"/>
    <w:rsid w:val="00095255"/>
    <w:rsid w:val="00097D19"/>
    <w:rsid w:val="000A04AA"/>
    <w:rsid w:val="000A129A"/>
    <w:rsid w:val="000C3740"/>
    <w:rsid w:val="000D14C9"/>
    <w:rsid w:val="000D189B"/>
    <w:rsid w:val="000D4043"/>
    <w:rsid w:val="000D728C"/>
    <w:rsid w:val="000E2BFD"/>
    <w:rsid w:val="000E3AB1"/>
    <w:rsid w:val="00106D16"/>
    <w:rsid w:val="001135C2"/>
    <w:rsid w:val="00116FCD"/>
    <w:rsid w:val="00134CE9"/>
    <w:rsid w:val="00140659"/>
    <w:rsid w:val="001428B9"/>
    <w:rsid w:val="00144F9F"/>
    <w:rsid w:val="00145A7D"/>
    <w:rsid w:val="00146E35"/>
    <w:rsid w:val="0016490E"/>
    <w:rsid w:val="00165398"/>
    <w:rsid w:val="001712F4"/>
    <w:rsid w:val="001723B1"/>
    <w:rsid w:val="0018325D"/>
    <w:rsid w:val="00184CB5"/>
    <w:rsid w:val="001902EC"/>
    <w:rsid w:val="001903A8"/>
    <w:rsid w:val="00195ECC"/>
    <w:rsid w:val="001B5795"/>
    <w:rsid w:val="001C3EA2"/>
    <w:rsid w:val="001C78EC"/>
    <w:rsid w:val="001D33D2"/>
    <w:rsid w:val="001D67C7"/>
    <w:rsid w:val="001E2111"/>
    <w:rsid w:val="001E66D2"/>
    <w:rsid w:val="001E7DB0"/>
    <w:rsid w:val="002015F8"/>
    <w:rsid w:val="00203158"/>
    <w:rsid w:val="00206580"/>
    <w:rsid w:val="00212006"/>
    <w:rsid w:val="0021402A"/>
    <w:rsid w:val="00214DB4"/>
    <w:rsid w:val="0021728C"/>
    <w:rsid w:val="002255D2"/>
    <w:rsid w:val="002263CD"/>
    <w:rsid w:val="00226FAF"/>
    <w:rsid w:val="00234F6B"/>
    <w:rsid w:val="00235626"/>
    <w:rsid w:val="00237DAB"/>
    <w:rsid w:val="002422A2"/>
    <w:rsid w:val="00242B31"/>
    <w:rsid w:val="00242BDE"/>
    <w:rsid w:val="00243AE1"/>
    <w:rsid w:val="002463D2"/>
    <w:rsid w:val="00251D02"/>
    <w:rsid w:val="00256B59"/>
    <w:rsid w:val="00260D76"/>
    <w:rsid w:val="0027571A"/>
    <w:rsid w:val="00280595"/>
    <w:rsid w:val="00283954"/>
    <w:rsid w:val="00292957"/>
    <w:rsid w:val="00293995"/>
    <w:rsid w:val="00294D08"/>
    <w:rsid w:val="002B27A1"/>
    <w:rsid w:val="002B3AE2"/>
    <w:rsid w:val="002B3B18"/>
    <w:rsid w:val="002C4E34"/>
    <w:rsid w:val="002C6D1D"/>
    <w:rsid w:val="002D4EB8"/>
    <w:rsid w:val="002E10E0"/>
    <w:rsid w:val="002E2541"/>
    <w:rsid w:val="002E2AE3"/>
    <w:rsid w:val="002E520D"/>
    <w:rsid w:val="002F0AE0"/>
    <w:rsid w:val="002F4AD0"/>
    <w:rsid w:val="003034D2"/>
    <w:rsid w:val="003042CA"/>
    <w:rsid w:val="003054CE"/>
    <w:rsid w:val="00311AE2"/>
    <w:rsid w:val="003137B8"/>
    <w:rsid w:val="003159AD"/>
    <w:rsid w:val="003253D9"/>
    <w:rsid w:val="00343CDA"/>
    <w:rsid w:val="00343D1E"/>
    <w:rsid w:val="00344425"/>
    <w:rsid w:val="00344D09"/>
    <w:rsid w:val="00345C4F"/>
    <w:rsid w:val="00346D7F"/>
    <w:rsid w:val="003615E7"/>
    <w:rsid w:val="00365087"/>
    <w:rsid w:val="003674E9"/>
    <w:rsid w:val="00373932"/>
    <w:rsid w:val="00374F59"/>
    <w:rsid w:val="00380619"/>
    <w:rsid w:val="003814F0"/>
    <w:rsid w:val="00393E2E"/>
    <w:rsid w:val="00394067"/>
    <w:rsid w:val="00396ED2"/>
    <w:rsid w:val="003A477A"/>
    <w:rsid w:val="003A6C9E"/>
    <w:rsid w:val="003A7335"/>
    <w:rsid w:val="003C550B"/>
    <w:rsid w:val="003D137C"/>
    <w:rsid w:val="003D2C0A"/>
    <w:rsid w:val="003D7E0D"/>
    <w:rsid w:val="003E077B"/>
    <w:rsid w:val="003E2E94"/>
    <w:rsid w:val="003E6A33"/>
    <w:rsid w:val="003F1ED3"/>
    <w:rsid w:val="003F4867"/>
    <w:rsid w:val="003F505C"/>
    <w:rsid w:val="003F65DE"/>
    <w:rsid w:val="00401783"/>
    <w:rsid w:val="00403F4C"/>
    <w:rsid w:val="00405958"/>
    <w:rsid w:val="00407D8C"/>
    <w:rsid w:val="004102DF"/>
    <w:rsid w:val="00412994"/>
    <w:rsid w:val="00420E39"/>
    <w:rsid w:val="00421205"/>
    <w:rsid w:val="004253A1"/>
    <w:rsid w:val="00425FDC"/>
    <w:rsid w:val="004454F7"/>
    <w:rsid w:val="004502EF"/>
    <w:rsid w:val="0045229B"/>
    <w:rsid w:val="00460CCE"/>
    <w:rsid w:val="004613B6"/>
    <w:rsid w:val="00463B4E"/>
    <w:rsid w:val="00465069"/>
    <w:rsid w:val="0046580E"/>
    <w:rsid w:val="0047046F"/>
    <w:rsid w:val="0047167F"/>
    <w:rsid w:val="00472219"/>
    <w:rsid w:val="0047264D"/>
    <w:rsid w:val="00472E5B"/>
    <w:rsid w:val="00490541"/>
    <w:rsid w:val="00496F9E"/>
    <w:rsid w:val="00497EB0"/>
    <w:rsid w:val="004A2599"/>
    <w:rsid w:val="004B30EB"/>
    <w:rsid w:val="004B3107"/>
    <w:rsid w:val="004C16E0"/>
    <w:rsid w:val="004C6814"/>
    <w:rsid w:val="004C7732"/>
    <w:rsid w:val="004D1EB5"/>
    <w:rsid w:val="004D7271"/>
    <w:rsid w:val="004D7647"/>
    <w:rsid w:val="004E0CA6"/>
    <w:rsid w:val="004E581F"/>
    <w:rsid w:val="004E7227"/>
    <w:rsid w:val="004E7C97"/>
    <w:rsid w:val="004F24CF"/>
    <w:rsid w:val="004F2C59"/>
    <w:rsid w:val="00505999"/>
    <w:rsid w:val="00513B59"/>
    <w:rsid w:val="0052262B"/>
    <w:rsid w:val="00532ECC"/>
    <w:rsid w:val="00540782"/>
    <w:rsid w:val="0054153E"/>
    <w:rsid w:val="00541A61"/>
    <w:rsid w:val="0054673D"/>
    <w:rsid w:val="005520CD"/>
    <w:rsid w:val="0056656E"/>
    <w:rsid w:val="00572B3D"/>
    <w:rsid w:val="0057551A"/>
    <w:rsid w:val="005777FC"/>
    <w:rsid w:val="00581FB7"/>
    <w:rsid w:val="00583CAE"/>
    <w:rsid w:val="00583D89"/>
    <w:rsid w:val="005A29BD"/>
    <w:rsid w:val="005A4121"/>
    <w:rsid w:val="005A42E4"/>
    <w:rsid w:val="005A5FCB"/>
    <w:rsid w:val="005A634F"/>
    <w:rsid w:val="005A7CA5"/>
    <w:rsid w:val="005B12AA"/>
    <w:rsid w:val="005B505C"/>
    <w:rsid w:val="005C2667"/>
    <w:rsid w:val="005C6CB8"/>
    <w:rsid w:val="005C7E57"/>
    <w:rsid w:val="005D7CDA"/>
    <w:rsid w:val="005E690F"/>
    <w:rsid w:val="006006FA"/>
    <w:rsid w:val="00611AEF"/>
    <w:rsid w:val="0061354A"/>
    <w:rsid w:val="00635504"/>
    <w:rsid w:val="006361D2"/>
    <w:rsid w:val="00647324"/>
    <w:rsid w:val="00651DC9"/>
    <w:rsid w:val="00652326"/>
    <w:rsid w:val="00652E85"/>
    <w:rsid w:val="0065456F"/>
    <w:rsid w:val="00662CEA"/>
    <w:rsid w:val="006648EB"/>
    <w:rsid w:val="006658AA"/>
    <w:rsid w:val="006659AA"/>
    <w:rsid w:val="00665BCC"/>
    <w:rsid w:val="00672296"/>
    <w:rsid w:val="006914B6"/>
    <w:rsid w:val="00692C1F"/>
    <w:rsid w:val="006931E3"/>
    <w:rsid w:val="006A39DE"/>
    <w:rsid w:val="006A68E2"/>
    <w:rsid w:val="006B727A"/>
    <w:rsid w:val="006C042F"/>
    <w:rsid w:val="006C262A"/>
    <w:rsid w:val="006C4EEF"/>
    <w:rsid w:val="006C6225"/>
    <w:rsid w:val="006D2053"/>
    <w:rsid w:val="006D533C"/>
    <w:rsid w:val="006E11B8"/>
    <w:rsid w:val="006E7217"/>
    <w:rsid w:val="006F2475"/>
    <w:rsid w:val="006F2C7D"/>
    <w:rsid w:val="006F7D9C"/>
    <w:rsid w:val="0070371E"/>
    <w:rsid w:val="00711DE6"/>
    <w:rsid w:val="00714732"/>
    <w:rsid w:val="00722761"/>
    <w:rsid w:val="00725C29"/>
    <w:rsid w:val="00727086"/>
    <w:rsid w:val="0073740C"/>
    <w:rsid w:val="007467FB"/>
    <w:rsid w:val="00746925"/>
    <w:rsid w:val="0074792D"/>
    <w:rsid w:val="00752AA4"/>
    <w:rsid w:val="00760C2A"/>
    <w:rsid w:val="007640D8"/>
    <w:rsid w:val="0078537B"/>
    <w:rsid w:val="0078660A"/>
    <w:rsid w:val="00786A14"/>
    <w:rsid w:val="00796B89"/>
    <w:rsid w:val="007971C6"/>
    <w:rsid w:val="007A0940"/>
    <w:rsid w:val="007A2A35"/>
    <w:rsid w:val="007A37F1"/>
    <w:rsid w:val="007A4AB0"/>
    <w:rsid w:val="007A5C97"/>
    <w:rsid w:val="007A6EB9"/>
    <w:rsid w:val="007B43D4"/>
    <w:rsid w:val="007B4C4A"/>
    <w:rsid w:val="007B7ACE"/>
    <w:rsid w:val="007C0CFA"/>
    <w:rsid w:val="007C215E"/>
    <w:rsid w:val="007C4D92"/>
    <w:rsid w:val="007C6002"/>
    <w:rsid w:val="007D25FE"/>
    <w:rsid w:val="007D52B3"/>
    <w:rsid w:val="007D5750"/>
    <w:rsid w:val="007D5FD4"/>
    <w:rsid w:val="007D7944"/>
    <w:rsid w:val="007F5079"/>
    <w:rsid w:val="008001C8"/>
    <w:rsid w:val="008102B2"/>
    <w:rsid w:val="008263DE"/>
    <w:rsid w:val="008318E0"/>
    <w:rsid w:val="00831FE2"/>
    <w:rsid w:val="00837D2A"/>
    <w:rsid w:val="00843C9D"/>
    <w:rsid w:val="00845976"/>
    <w:rsid w:val="00846A9F"/>
    <w:rsid w:val="00854160"/>
    <w:rsid w:val="00856A87"/>
    <w:rsid w:val="00857453"/>
    <w:rsid w:val="0085762B"/>
    <w:rsid w:val="008577B7"/>
    <w:rsid w:val="008621E3"/>
    <w:rsid w:val="00867257"/>
    <w:rsid w:val="00871668"/>
    <w:rsid w:val="00880C70"/>
    <w:rsid w:val="00882817"/>
    <w:rsid w:val="00885E26"/>
    <w:rsid w:val="00893087"/>
    <w:rsid w:val="0089308B"/>
    <w:rsid w:val="008A672C"/>
    <w:rsid w:val="008B6751"/>
    <w:rsid w:val="008C58B1"/>
    <w:rsid w:val="008E1907"/>
    <w:rsid w:val="008E771B"/>
    <w:rsid w:val="00906259"/>
    <w:rsid w:val="00906991"/>
    <w:rsid w:val="00906C38"/>
    <w:rsid w:val="00911CB7"/>
    <w:rsid w:val="009171BB"/>
    <w:rsid w:val="0092102F"/>
    <w:rsid w:val="00935845"/>
    <w:rsid w:val="00941706"/>
    <w:rsid w:val="00946D68"/>
    <w:rsid w:val="009539C2"/>
    <w:rsid w:val="0095668A"/>
    <w:rsid w:val="00961E8D"/>
    <w:rsid w:val="00967ADB"/>
    <w:rsid w:val="00967C5B"/>
    <w:rsid w:val="009760F6"/>
    <w:rsid w:val="009938AD"/>
    <w:rsid w:val="009A2633"/>
    <w:rsid w:val="009A4A0A"/>
    <w:rsid w:val="009A769C"/>
    <w:rsid w:val="009B0521"/>
    <w:rsid w:val="009B495E"/>
    <w:rsid w:val="009B627B"/>
    <w:rsid w:val="009C740E"/>
    <w:rsid w:val="009D79E4"/>
    <w:rsid w:val="009E2834"/>
    <w:rsid w:val="009E618E"/>
    <w:rsid w:val="009E7E25"/>
    <w:rsid w:val="009F0DEB"/>
    <w:rsid w:val="009F10EF"/>
    <w:rsid w:val="009F125D"/>
    <w:rsid w:val="009F5DCE"/>
    <w:rsid w:val="00A00373"/>
    <w:rsid w:val="00A02C57"/>
    <w:rsid w:val="00A03683"/>
    <w:rsid w:val="00A05234"/>
    <w:rsid w:val="00A13379"/>
    <w:rsid w:val="00A2058F"/>
    <w:rsid w:val="00A212DD"/>
    <w:rsid w:val="00A27E67"/>
    <w:rsid w:val="00A31B41"/>
    <w:rsid w:val="00A33FDF"/>
    <w:rsid w:val="00A34A9E"/>
    <w:rsid w:val="00A44851"/>
    <w:rsid w:val="00A44861"/>
    <w:rsid w:val="00A4599D"/>
    <w:rsid w:val="00A46982"/>
    <w:rsid w:val="00A50577"/>
    <w:rsid w:val="00A5237D"/>
    <w:rsid w:val="00A55469"/>
    <w:rsid w:val="00A67E14"/>
    <w:rsid w:val="00A70994"/>
    <w:rsid w:val="00A7185F"/>
    <w:rsid w:val="00A71DB0"/>
    <w:rsid w:val="00A83F5B"/>
    <w:rsid w:val="00A840A9"/>
    <w:rsid w:val="00A85E7E"/>
    <w:rsid w:val="00A9515D"/>
    <w:rsid w:val="00AA41AE"/>
    <w:rsid w:val="00AA4647"/>
    <w:rsid w:val="00AB267B"/>
    <w:rsid w:val="00AB5F07"/>
    <w:rsid w:val="00AC4D74"/>
    <w:rsid w:val="00AD351A"/>
    <w:rsid w:val="00AD43CF"/>
    <w:rsid w:val="00AE0FB8"/>
    <w:rsid w:val="00AE1BC1"/>
    <w:rsid w:val="00AE6427"/>
    <w:rsid w:val="00AE708B"/>
    <w:rsid w:val="00B006EA"/>
    <w:rsid w:val="00B03209"/>
    <w:rsid w:val="00B060CB"/>
    <w:rsid w:val="00B0745F"/>
    <w:rsid w:val="00B13E20"/>
    <w:rsid w:val="00B209D6"/>
    <w:rsid w:val="00B20AE4"/>
    <w:rsid w:val="00B24013"/>
    <w:rsid w:val="00B24F7A"/>
    <w:rsid w:val="00B337E8"/>
    <w:rsid w:val="00B37DA6"/>
    <w:rsid w:val="00B40F92"/>
    <w:rsid w:val="00B521DD"/>
    <w:rsid w:val="00B65775"/>
    <w:rsid w:val="00B7263C"/>
    <w:rsid w:val="00B92EF6"/>
    <w:rsid w:val="00B950DF"/>
    <w:rsid w:val="00BA0A78"/>
    <w:rsid w:val="00BA5A9C"/>
    <w:rsid w:val="00BB1A3E"/>
    <w:rsid w:val="00BB3071"/>
    <w:rsid w:val="00BC02C7"/>
    <w:rsid w:val="00BC73B1"/>
    <w:rsid w:val="00BD7FCF"/>
    <w:rsid w:val="00BF00B6"/>
    <w:rsid w:val="00BF1944"/>
    <w:rsid w:val="00BF7675"/>
    <w:rsid w:val="00C06C75"/>
    <w:rsid w:val="00C207D0"/>
    <w:rsid w:val="00C2466E"/>
    <w:rsid w:val="00C365BC"/>
    <w:rsid w:val="00C44392"/>
    <w:rsid w:val="00C448A6"/>
    <w:rsid w:val="00C45EF3"/>
    <w:rsid w:val="00C462CC"/>
    <w:rsid w:val="00C465F2"/>
    <w:rsid w:val="00C60EA3"/>
    <w:rsid w:val="00C76602"/>
    <w:rsid w:val="00C7723F"/>
    <w:rsid w:val="00C840A0"/>
    <w:rsid w:val="00C932A0"/>
    <w:rsid w:val="00C97639"/>
    <w:rsid w:val="00C97AE3"/>
    <w:rsid w:val="00CA10CA"/>
    <w:rsid w:val="00CA71F2"/>
    <w:rsid w:val="00CB19F5"/>
    <w:rsid w:val="00CB21F6"/>
    <w:rsid w:val="00CC3DDC"/>
    <w:rsid w:val="00CC437E"/>
    <w:rsid w:val="00CC77E3"/>
    <w:rsid w:val="00CD09C7"/>
    <w:rsid w:val="00CD3BB0"/>
    <w:rsid w:val="00CD6860"/>
    <w:rsid w:val="00CD6E88"/>
    <w:rsid w:val="00CE09B9"/>
    <w:rsid w:val="00CE4B4A"/>
    <w:rsid w:val="00CF71C9"/>
    <w:rsid w:val="00D001FE"/>
    <w:rsid w:val="00D035CF"/>
    <w:rsid w:val="00D045CD"/>
    <w:rsid w:val="00D06B53"/>
    <w:rsid w:val="00D14662"/>
    <w:rsid w:val="00D20B1C"/>
    <w:rsid w:val="00D22B62"/>
    <w:rsid w:val="00D24435"/>
    <w:rsid w:val="00D31F1B"/>
    <w:rsid w:val="00D33DBF"/>
    <w:rsid w:val="00D360C2"/>
    <w:rsid w:val="00D42287"/>
    <w:rsid w:val="00D62AD4"/>
    <w:rsid w:val="00D64CCE"/>
    <w:rsid w:val="00D64ED7"/>
    <w:rsid w:val="00D710E7"/>
    <w:rsid w:val="00D7165E"/>
    <w:rsid w:val="00D75E6F"/>
    <w:rsid w:val="00D8462D"/>
    <w:rsid w:val="00D856BE"/>
    <w:rsid w:val="00D87C44"/>
    <w:rsid w:val="00D96597"/>
    <w:rsid w:val="00DA1EE7"/>
    <w:rsid w:val="00DB736E"/>
    <w:rsid w:val="00DC4128"/>
    <w:rsid w:val="00DC47BF"/>
    <w:rsid w:val="00DC57CE"/>
    <w:rsid w:val="00DD4AD1"/>
    <w:rsid w:val="00DD6ED6"/>
    <w:rsid w:val="00DD79CC"/>
    <w:rsid w:val="00DE1AB5"/>
    <w:rsid w:val="00DE1DC3"/>
    <w:rsid w:val="00DE405D"/>
    <w:rsid w:val="00DF1788"/>
    <w:rsid w:val="00E06253"/>
    <w:rsid w:val="00E1659A"/>
    <w:rsid w:val="00E17020"/>
    <w:rsid w:val="00E17CD3"/>
    <w:rsid w:val="00E42C29"/>
    <w:rsid w:val="00E43C30"/>
    <w:rsid w:val="00E50DD9"/>
    <w:rsid w:val="00E5430F"/>
    <w:rsid w:val="00E57EAD"/>
    <w:rsid w:val="00E60F49"/>
    <w:rsid w:val="00E65945"/>
    <w:rsid w:val="00E674E6"/>
    <w:rsid w:val="00E7009D"/>
    <w:rsid w:val="00E81FBE"/>
    <w:rsid w:val="00E8249F"/>
    <w:rsid w:val="00E830CC"/>
    <w:rsid w:val="00E85C12"/>
    <w:rsid w:val="00E96BC1"/>
    <w:rsid w:val="00E97CC6"/>
    <w:rsid w:val="00EA68A6"/>
    <w:rsid w:val="00EA6B8B"/>
    <w:rsid w:val="00EB0E51"/>
    <w:rsid w:val="00EC1380"/>
    <w:rsid w:val="00ED0BFC"/>
    <w:rsid w:val="00ED2759"/>
    <w:rsid w:val="00EF13E2"/>
    <w:rsid w:val="00EF225B"/>
    <w:rsid w:val="00F13C4F"/>
    <w:rsid w:val="00F14E3C"/>
    <w:rsid w:val="00F14E8A"/>
    <w:rsid w:val="00F220B1"/>
    <w:rsid w:val="00F267D3"/>
    <w:rsid w:val="00F3269F"/>
    <w:rsid w:val="00F33B83"/>
    <w:rsid w:val="00F400C5"/>
    <w:rsid w:val="00F405CA"/>
    <w:rsid w:val="00F41052"/>
    <w:rsid w:val="00F43D6E"/>
    <w:rsid w:val="00F4560B"/>
    <w:rsid w:val="00F53EF3"/>
    <w:rsid w:val="00F57321"/>
    <w:rsid w:val="00F5793C"/>
    <w:rsid w:val="00F601B0"/>
    <w:rsid w:val="00F609FF"/>
    <w:rsid w:val="00F67168"/>
    <w:rsid w:val="00F744E7"/>
    <w:rsid w:val="00F74D05"/>
    <w:rsid w:val="00F77FCB"/>
    <w:rsid w:val="00F813B6"/>
    <w:rsid w:val="00F828AF"/>
    <w:rsid w:val="00F9130C"/>
    <w:rsid w:val="00F92401"/>
    <w:rsid w:val="00FA3D0F"/>
    <w:rsid w:val="00FB1032"/>
    <w:rsid w:val="00FB23FC"/>
    <w:rsid w:val="00FB2BD3"/>
    <w:rsid w:val="00FB7DA3"/>
    <w:rsid w:val="00FC0447"/>
    <w:rsid w:val="00FC113D"/>
    <w:rsid w:val="00FC5673"/>
    <w:rsid w:val="00FC79E7"/>
    <w:rsid w:val="00FD33FF"/>
    <w:rsid w:val="00FE60F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8B1B0C-5C78-4907-AAC0-27D7BC70C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B49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E771B"/>
    <w:pPr>
      <w:ind w:left="720"/>
      <w:contextualSpacing/>
    </w:pPr>
  </w:style>
  <w:style w:type="paragraph" w:styleId="BalloonText">
    <w:name w:val="Balloon Text"/>
    <w:basedOn w:val="Normal"/>
    <w:link w:val="BalloonTextChar"/>
    <w:uiPriority w:val="99"/>
    <w:semiHidden/>
    <w:unhideWhenUsed/>
    <w:rsid w:val="007227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761"/>
    <w:rPr>
      <w:rFonts w:ascii="Segoe UI" w:hAnsi="Segoe UI" w:cs="Segoe UI"/>
      <w:sz w:val="18"/>
      <w:szCs w:val="18"/>
    </w:rPr>
  </w:style>
  <w:style w:type="paragraph" w:styleId="Header">
    <w:name w:val="header"/>
    <w:basedOn w:val="Normal"/>
    <w:link w:val="HeaderChar"/>
    <w:uiPriority w:val="99"/>
    <w:unhideWhenUsed/>
    <w:rsid w:val="006A68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8E2"/>
  </w:style>
  <w:style w:type="paragraph" w:styleId="Footer">
    <w:name w:val="footer"/>
    <w:basedOn w:val="Normal"/>
    <w:link w:val="FooterChar"/>
    <w:uiPriority w:val="99"/>
    <w:unhideWhenUsed/>
    <w:rsid w:val="006A6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8E2"/>
  </w:style>
  <w:style w:type="character" w:styleId="CommentReference">
    <w:name w:val="annotation reference"/>
    <w:basedOn w:val="DefaultParagraphFont"/>
    <w:uiPriority w:val="99"/>
    <w:semiHidden/>
    <w:unhideWhenUsed/>
    <w:rsid w:val="005A5FCB"/>
    <w:rPr>
      <w:sz w:val="16"/>
      <w:szCs w:val="16"/>
    </w:rPr>
  </w:style>
  <w:style w:type="paragraph" w:styleId="CommentText">
    <w:name w:val="annotation text"/>
    <w:basedOn w:val="Normal"/>
    <w:link w:val="CommentTextChar"/>
    <w:uiPriority w:val="99"/>
    <w:semiHidden/>
    <w:unhideWhenUsed/>
    <w:rsid w:val="005A5FCB"/>
    <w:pPr>
      <w:spacing w:line="240" w:lineRule="auto"/>
    </w:pPr>
    <w:rPr>
      <w:sz w:val="20"/>
      <w:szCs w:val="20"/>
    </w:rPr>
  </w:style>
  <w:style w:type="character" w:customStyle="1" w:styleId="CommentTextChar">
    <w:name w:val="Comment Text Char"/>
    <w:basedOn w:val="DefaultParagraphFont"/>
    <w:link w:val="CommentText"/>
    <w:uiPriority w:val="99"/>
    <w:semiHidden/>
    <w:rsid w:val="005A5FCB"/>
    <w:rPr>
      <w:sz w:val="20"/>
      <w:szCs w:val="20"/>
    </w:rPr>
  </w:style>
  <w:style w:type="paragraph" w:styleId="CommentSubject">
    <w:name w:val="annotation subject"/>
    <w:basedOn w:val="CommentText"/>
    <w:next w:val="CommentText"/>
    <w:link w:val="CommentSubjectChar"/>
    <w:uiPriority w:val="99"/>
    <w:semiHidden/>
    <w:unhideWhenUsed/>
    <w:rsid w:val="005A5FCB"/>
    <w:rPr>
      <w:b/>
      <w:bCs/>
    </w:rPr>
  </w:style>
  <w:style w:type="character" w:customStyle="1" w:styleId="CommentSubjectChar">
    <w:name w:val="Comment Subject Char"/>
    <w:basedOn w:val="CommentTextChar"/>
    <w:link w:val="CommentSubject"/>
    <w:uiPriority w:val="99"/>
    <w:semiHidden/>
    <w:rsid w:val="005A5FCB"/>
    <w:rPr>
      <w:b/>
      <w:bCs/>
      <w:sz w:val="20"/>
      <w:szCs w:val="20"/>
    </w:rPr>
  </w:style>
  <w:style w:type="paragraph" w:customStyle="1" w:styleId="NumberedJudgmentparagraph">
    <w:name w:val="Numbered Judgment paragraph"/>
    <w:basedOn w:val="ListParagraph"/>
    <w:link w:val="NumberedJudgmentparagraphChar"/>
    <w:rsid w:val="00025CDF"/>
    <w:pPr>
      <w:numPr>
        <w:numId w:val="1"/>
      </w:numPr>
      <w:spacing w:after="0" w:line="480" w:lineRule="auto"/>
    </w:pPr>
    <w:rPr>
      <w:rFonts w:ascii="Times New Roman" w:hAnsi="Times New Roman" w:cs="Times New Roman"/>
      <w:sz w:val="24"/>
      <w:szCs w:val="24"/>
    </w:rPr>
  </w:style>
  <w:style w:type="character" w:customStyle="1" w:styleId="ListParagraphChar">
    <w:name w:val="List Paragraph Char"/>
    <w:basedOn w:val="DefaultParagraphFont"/>
    <w:link w:val="ListParagraph"/>
    <w:uiPriority w:val="34"/>
    <w:rsid w:val="00025CDF"/>
  </w:style>
  <w:style w:type="character" w:customStyle="1" w:styleId="NumberedJudgmentparagraphChar">
    <w:name w:val="Numbered Judgment paragraph Char"/>
    <w:basedOn w:val="ListParagraphChar"/>
    <w:link w:val="NumberedJudgmentparagraph"/>
    <w:rsid w:val="00025CDF"/>
    <w:rPr>
      <w:rFonts w:ascii="Times New Roman" w:hAnsi="Times New Roman" w:cs="Times New Roman"/>
      <w:sz w:val="24"/>
      <w:szCs w:val="24"/>
    </w:rPr>
  </w:style>
  <w:style w:type="paragraph" w:customStyle="1" w:styleId="NumberedQuotationindent1">
    <w:name w:val="Numbered Quotation indent 1"/>
    <w:basedOn w:val="ListParagraph"/>
    <w:link w:val="NumberedQuotationindent1Char"/>
    <w:qFormat/>
    <w:rsid w:val="008001C8"/>
    <w:pPr>
      <w:numPr>
        <w:numId w:val="4"/>
      </w:numPr>
      <w:spacing w:after="0" w:line="276" w:lineRule="auto"/>
      <w:jc w:val="both"/>
    </w:pPr>
    <w:rPr>
      <w:rFonts w:ascii="Times New Roman" w:hAnsi="Times New Roman" w:cs="Times New Roman"/>
      <w:i/>
      <w:sz w:val="24"/>
      <w:szCs w:val="24"/>
    </w:rPr>
  </w:style>
  <w:style w:type="character" w:customStyle="1" w:styleId="NumberedQuotationindent1Char">
    <w:name w:val="Numbered Quotation indent 1 Char"/>
    <w:basedOn w:val="ListParagraphChar"/>
    <w:link w:val="NumberedQuotationindent1"/>
    <w:rsid w:val="008001C8"/>
    <w:rPr>
      <w:rFonts w:ascii="Times New Roman" w:hAnsi="Times New Roman" w:cs="Times New Roman"/>
      <w:i/>
      <w:sz w:val="24"/>
      <w:szCs w:val="24"/>
    </w:rPr>
  </w:style>
  <w:style w:type="paragraph" w:customStyle="1" w:styleId="Jjmntheading2">
    <w:name w:val="Jjmnt heading 2"/>
    <w:basedOn w:val="Normal"/>
    <w:link w:val="Jjmntheading2Char"/>
    <w:qFormat/>
    <w:rsid w:val="00662CEA"/>
    <w:pPr>
      <w:keepNext/>
    </w:pPr>
    <w:rPr>
      <w:rFonts w:ascii="Times New Roman" w:hAnsi="Times New Roman" w:cs="Times New Roman"/>
      <w:i/>
      <w:sz w:val="24"/>
      <w:szCs w:val="24"/>
    </w:rPr>
  </w:style>
  <w:style w:type="numbering" w:customStyle="1" w:styleId="Judgments">
    <w:name w:val="Judgments"/>
    <w:uiPriority w:val="99"/>
    <w:rsid w:val="00662CEA"/>
    <w:pPr>
      <w:numPr>
        <w:numId w:val="2"/>
      </w:numPr>
    </w:pPr>
  </w:style>
  <w:style w:type="character" w:customStyle="1" w:styleId="Jjmntheading2Char">
    <w:name w:val="Jjmnt heading 2 Char"/>
    <w:basedOn w:val="DefaultParagraphFont"/>
    <w:link w:val="Jjmntheading2"/>
    <w:rsid w:val="00662CEA"/>
    <w:rPr>
      <w:rFonts w:ascii="Times New Roman" w:hAnsi="Times New Roman" w:cs="Times New Roman"/>
      <w:i/>
      <w:sz w:val="24"/>
      <w:szCs w:val="24"/>
    </w:rPr>
  </w:style>
  <w:style w:type="paragraph" w:customStyle="1" w:styleId="JudgmentText">
    <w:name w:val="Judgment Text"/>
    <w:basedOn w:val="ListParagraph"/>
    <w:qFormat/>
    <w:rsid w:val="00662CEA"/>
    <w:pPr>
      <w:numPr>
        <w:numId w:val="3"/>
      </w:numPr>
      <w:spacing w:after="240" w:line="360" w:lineRule="auto"/>
      <w:contextualSpacing w:val="0"/>
      <w:jc w:val="both"/>
    </w:pPr>
    <w:rPr>
      <w:rFonts w:ascii="Times New Roman" w:eastAsia="Times New Roman" w:hAnsi="Times New Roman" w:cs="Times New Roman"/>
      <w:sz w:val="24"/>
      <w:szCs w:val="24"/>
      <w:lang w:val="en-GB"/>
    </w:rPr>
  </w:style>
  <w:style w:type="paragraph" w:customStyle="1" w:styleId="Jjmntheading1">
    <w:name w:val="Jjmnt heading 1"/>
    <w:basedOn w:val="Jjmntheading2"/>
    <w:link w:val="Jjmntheading1Char"/>
    <w:qFormat/>
    <w:rsid w:val="00D33DBF"/>
    <w:rPr>
      <w:b/>
      <w:i w:val="0"/>
    </w:rPr>
  </w:style>
  <w:style w:type="paragraph" w:customStyle="1" w:styleId="Unnumberedquote">
    <w:name w:val="Unnumbered quote"/>
    <w:basedOn w:val="NumberedQuotationindent1"/>
    <w:link w:val="UnnumberedquoteChar"/>
    <w:qFormat/>
    <w:rsid w:val="008001C8"/>
    <w:pPr>
      <w:numPr>
        <w:numId w:val="0"/>
      </w:numPr>
      <w:ind w:left="1440"/>
    </w:pPr>
  </w:style>
  <w:style w:type="character" w:customStyle="1" w:styleId="Jjmntheading1Char">
    <w:name w:val="Jjmnt heading 1 Char"/>
    <w:basedOn w:val="Jjmntheading2Char"/>
    <w:link w:val="Jjmntheading1"/>
    <w:rsid w:val="00D33DBF"/>
    <w:rPr>
      <w:rFonts w:ascii="Times New Roman" w:hAnsi="Times New Roman" w:cs="Times New Roman"/>
      <w:b/>
      <w:i w:val="0"/>
      <w:sz w:val="24"/>
      <w:szCs w:val="24"/>
    </w:rPr>
  </w:style>
  <w:style w:type="paragraph" w:customStyle="1" w:styleId="Unnumberedjjmntparagraph">
    <w:name w:val="Unnumbered jjmnt paragraph"/>
    <w:basedOn w:val="Unnumberedquote"/>
    <w:link w:val="UnnumberedjjmntparagraphChar"/>
    <w:qFormat/>
    <w:rsid w:val="003A6C9E"/>
    <w:pPr>
      <w:spacing w:line="480" w:lineRule="auto"/>
      <w:ind w:left="720"/>
    </w:pPr>
    <w:rPr>
      <w:i w:val="0"/>
    </w:rPr>
  </w:style>
  <w:style w:type="character" w:customStyle="1" w:styleId="UnnumberedquoteChar">
    <w:name w:val="Unnumbered quote Char"/>
    <w:basedOn w:val="NumberedQuotationindent1Char"/>
    <w:link w:val="Unnumberedquote"/>
    <w:rsid w:val="008001C8"/>
    <w:rPr>
      <w:rFonts w:ascii="Times New Roman" w:hAnsi="Times New Roman" w:cs="Times New Roman"/>
      <w:i/>
      <w:sz w:val="24"/>
      <w:szCs w:val="24"/>
    </w:rPr>
  </w:style>
  <w:style w:type="character" w:customStyle="1" w:styleId="UnnumberedjjmntparagraphChar">
    <w:name w:val="Unnumbered jjmnt paragraph Char"/>
    <w:basedOn w:val="UnnumberedquoteChar"/>
    <w:link w:val="Unnumberedjjmntparagraph"/>
    <w:rsid w:val="003A6C9E"/>
    <w:rPr>
      <w:rFonts w:ascii="Times New Roman" w:hAnsi="Times New Roman" w:cs="Times New Roman"/>
      <w:i w:val="0"/>
      <w:sz w:val="24"/>
      <w:szCs w:val="24"/>
    </w:rPr>
  </w:style>
  <w:style w:type="paragraph" w:customStyle="1" w:styleId="Partynames-Caps">
    <w:name w:val="Party names - Caps"/>
    <w:aliases w:val="bold"/>
    <w:basedOn w:val="Normal"/>
    <w:link w:val="Partynames-CapsChar"/>
    <w:rsid w:val="00214DB4"/>
    <w:pPr>
      <w:tabs>
        <w:tab w:val="left" w:pos="540"/>
        <w:tab w:val="left" w:pos="5580"/>
      </w:tabs>
      <w:spacing w:after="0" w:line="276" w:lineRule="auto"/>
    </w:pPr>
    <w:rPr>
      <w:rFonts w:ascii="Times New Roman" w:hAnsi="Times New Roman" w:cs="Times New Roman"/>
      <w:b/>
      <w:sz w:val="24"/>
      <w:szCs w:val="24"/>
    </w:rPr>
  </w:style>
  <w:style w:type="paragraph" w:customStyle="1" w:styleId="Partynames">
    <w:name w:val="Party names"/>
    <w:basedOn w:val="Partynames-Caps"/>
    <w:link w:val="PartynamesChar"/>
    <w:qFormat/>
    <w:rsid w:val="00214DB4"/>
    <w:pPr>
      <w:spacing w:before="240" w:line="240" w:lineRule="auto"/>
    </w:pPr>
  </w:style>
  <w:style w:type="character" w:customStyle="1" w:styleId="Partynames-CapsChar">
    <w:name w:val="Party names - Caps Char"/>
    <w:aliases w:val="bold Char"/>
    <w:basedOn w:val="DefaultParagraphFont"/>
    <w:link w:val="Partynames-Caps"/>
    <w:rsid w:val="00214DB4"/>
    <w:rPr>
      <w:rFonts w:ascii="Times New Roman" w:hAnsi="Times New Roman" w:cs="Times New Roman"/>
      <w:b/>
      <w:sz w:val="24"/>
      <w:szCs w:val="24"/>
    </w:rPr>
  </w:style>
  <w:style w:type="paragraph" w:customStyle="1" w:styleId="Attorneysnames">
    <w:name w:val="Attorneys names"/>
    <w:basedOn w:val="Normal"/>
    <w:link w:val="AttorneysnamesChar"/>
    <w:qFormat/>
    <w:rsid w:val="00214DB4"/>
    <w:pPr>
      <w:tabs>
        <w:tab w:val="left" w:pos="540"/>
        <w:tab w:val="left" w:pos="4092"/>
        <w:tab w:val="left" w:pos="5580"/>
      </w:tabs>
      <w:spacing w:after="0" w:line="240" w:lineRule="auto"/>
    </w:pPr>
    <w:rPr>
      <w:rFonts w:ascii="Times New Roman" w:hAnsi="Times New Roman" w:cs="Times New Roman"/>
      <w:i/>
      <w:sz w:val="24"/>
      <w:szCs w:val="24"/>
    </w:rPr>
  </w:style>
  <w:style w:type="character" w:customStyle="1" w:styleId="PartynamesChar">
    <w:name w:val="Party names Char"/>
    <w:basedOn w:val="Partynames-CapsChar"/>
    <w:link w:val="Partynames"/>
    <w:rsid w:val="00214DB4"/>
    <w:rPr>
      <w:rFonts w:ascii="Times New Roman" w:hAnsi="Times New Roman" w:cs="Times New Roman"/>
      <w:b/>
      <w:sz w:val="24"/>
      <w:szCs w:val="24"/>
    </w:rPr>
  </w:style>
  <w:style w:type="character" w:customStyle="1" w:styleId="AttorneysnamesChar">
    <w:name w:val="Attorneys names Char"/>
    <w:basedOn w:val="DefaultParagraphFont"/>
    <w:link w:val="Attorneysnames"/>
    <w:rsid w:val="00214DB4"/>
    <w:rPr>
      <w:rFonts w:ascii="Times New Roman" w:hAnsi="Times New Roman" w:cs="Times New Roman"/>
      <w:i/>
      <w:sz w:val="24"/>
      <w:szCs w:val="24"/>
    </w:rPr>
  </w:style>
  <w:style w:type="paragraph" w:styleId="FootnoteText">
    <w:name w:val="footnote text"/>
    <w:basedOn w:val="Normal"/>
    <w:link w:val="FootnoteTextChar"/>
    <w:uiPriority w:val="99"/>
    <w:semiHidden/>
    <w:unhideWhenUsed/>
    <w:rsid w:val="00AE0FB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E0FB8"/>
    <w:rPr>
      <w:sz w:val="20"/>
      <w:szCs w:val="20"/>
    </w:rPr>
  </w:style>
  <w:style w:type="character" w:styleId="Hyperlink">
    <w:name w:val="Hyperlink"/>
    <w:basedOn w:val="DefaultParagraphFont"/>
    <w:uiPriority w:val="99"/>
    <w:unhideWhenUsed/>
    <w:rsid w:val="00AE0FB8"/>
    <w:rPr>
      <w:color w:val="0000FF"/>
      <w:u w:val="single"/>
    </w:rPr>
  </w:style>
  <w:style w:type="numbering" w:customStyle="1" w:styleId="Judgments1">
    <w:name w:val="Judgments1"/>
    <w:uiPriority w:val="99"/>
    <w:rsid w:val="00AE0FB8"/>
  </w:style>
  <w:style w:type="character" w:styleId="FootnoteReference">
    <w:name w:val="footnote reference"/>
    <w:basedOn w:val="DefaultParagraphFont"/>
    <w:uiPriority w:val="99"/>
    <w:unhideWhenUsed/>
    <w:rsid w:val="00AE0FB8"/>
    <w:rPr>
      <w:vertAlign w:val="superscript"/>
    </w:rPr>
  </w:style>
  <w:style w:type="character" w:styleId="FollowedHyperlink">
    <w:name w:val="FollowedHyperlink"/>
    <w:basedOn w:val="DefaultParagraphFont"/>
    <w:uiPriority w:val="99"/>
    <w:semiHidden/>
    <w:unhideWhenUsed/>
    <w:rsid w:val="00AE0FB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142519">
      <w:bodyDiv w:val="1"/>
      <w:marLeft w:val="0"/>
      <w:marRight w:val="0"/>
      <w:marTop w:val="0"/>
      <w:marBottom w:val="0"/>
      <w:divBdr>
        <w:top w:val="none" w:sz="0" w:space="0" w:color="auto"/>
        <w:left w:val="none" w:sz="0" w:space="0" w:color="auto"/>
        <w:bottom w:val="none" w:sz="0" w:space="0" w:color="auto"/>
        <w:right w:val="none" w:sz="0" w:space="0" w:color="auto"/>
      </w:divBdr>
    </w:div>
    <w:div w:id="1235821560">
      <w:bodyDiv w:val="1"/>
      <w:marLeft w:val="0"/>
      <w:marRight w:val="0"/>
      <w:marTop w:val="0"/>
      <w:marBottom w:val="0"/>
      <w:divBdr>
        <w:top w:val="none" w:sz="0" w:space="0" w:color="auto"/>
        <w:left w:val="none" w:sz="0" w:space="0" w:color="auto"/>
        <w:bottom w:val="none" w:sz="0" w:space="0" w:color="auto"/>
        <w:right w:val="none" w:sz="0" w:space="0" w:color="auto"/>
      </w:divBdr>
    </w:div>
    <w:div w:id="1576892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EE857E-AD81-49C1-A591-295A876F0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9252</Words>
  <Characters>52741</Characters>
  <Application>Microsoft Office Word</Application>
  <DocSecurity>0</DocSecurity>
  <Lines>439</Lines>
  <Paragraphs>123</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61870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e.carolus</dc:creator>
  <cp:keywords/>
  <dc:description/>
  <cp:lastModifiedBy>Georgia Barbe</cp:lastModifiedBy>
  <cp:revision>3</cp:revision>
  <cp:lastPrinted>2022-02-23T07:24:00Z</cp:lastPrinted>
  <dcterms:created xsi:type="dcterms:W3CDTF">2022-03-21T11:07:00Z</dcterms:created>
  <dcterms:modified xsi:type="dcterms:W3CDTF">2022-03-21T11:07:00Z</dcterms:modified>
</cp:coreProperties>
</file>