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5A" w:rsidRDefault="00A5785A" w:rsidP="00A5785A">
      <w:pPr>
        <w:tabs>
          <w:tab w:val="left" w:pos="4092"/>
        </w:tabs>
        <w:spacing w:after="0" w:line="240" w:lineRule="auto"/>
        <w:jc w:val="center"/>
        <w:rPr>
          <w:rFonts w:ascii="Times New Roman" w:hAnsi="Times New Roman"/>
          <w:b/>
          <w:sz w:val="24"/>
          <w:szCs w:val="24"/>
        </w:rPr>
      </w:pPr>
      <w:r>
        <w:rPr>
          <w:rFonts w:ascii="Times New Roman" w:hAnsi="Times New Roman"/>
          <w:b/>
          <w:sz w:val="24"/>
          <w:szCs w:val="24"/>
        </w:rPr>
        <w:t xml:space="preserve">SUPREME COURT OF SEYCHELLES </w:t>
      </w:r>
    </w:p>
    <w:p w:rsidR="00A5785A" w:rsidRDefault="00A5785A" w:rsidP="00A5785A">
      <w:pPr>
        <w:pBdr>
          <w:bottom w:val="single" w:sz="4" w:space="1" w:color="auto"/>
        </w:pBdr>
        <w:tabs>
          <w:tab w:val="left" w:pos="4092"/>
        </w:tabs>
        <w:spacing w:line="240" w:lineRule="auto"/>
        <w:jc w:val="center"/>
        <w:rPr>
          <w:rFonts w:ascii="Times New Roman" w:hAnsi="Times New Roman"/>
          <w:b/>
          <w:sz w:val="24"/>
          <w:szCs w:val="24"/>
        </w:rPr>
      </w:pPr>
    </w:p>
    <w:p w:rsidR="00A5785A" w:rsidRDefault="00A5785A" w:rsidP="00A5785A">
      <w:pPr>
        <w:spacing w:after="0" w:line="240" w:lineRule="auto"/>
        <w:ind w:left="5580"/>
        <w:rPr>
          <w:rFonts w:ascii="Times New Roman" w:hAnsi="Times New Roman"/>
          <w:b/>
          <w:sz w:val="24"/>
          <w:szCs w:val="24"/>
          <w:u w:val="single"/>
        </w:rPr>
      </w:pPr>
      <w:r>
        <w:rPr>
          <w:rFonts w:ascii="Times New Roman" w:hAnsi="Times New Roman"/>
          <w:b/>
          <w:sz w:val="24"/>
          <w:szCs w:val="24"/>
          <w:u w:val="single"/>
        </w:rPr>
        <w:t>Reportable</w:t>
      </w:r>
    </w:p>
    <w:p w:rsidR="00A5785A" w:rsidRDefault="00A5785A" w:rsidP="00A5785A">
      <w:pPr>
        <w:spacing w:after="0" w:line="240" w:lineRule="auto"/>
        <w:ind w:left="5580"/>
        <w:rPr>
          <w:rFonts w:ascii="Times New Roman" w:hAnsi="Times New Roman"/>
          <w:sz w:val="24"/>
          <w:szCs w:val="24"/>
        </w:rPr>
      </w:pPr>
      <w:r>
        <w:rPr>
          <w:rFonts w:ascii="Times New Roman" w:hAnsi="Times New Roman"/>
          <w:sz w:val="24"/>
          <w:szCs w:val="24"/>
        </w:rPr>
        <w:t>[2022] SCSC …</w:t>
      </w:r>
    </w:p>
    <w:p w:rsidR="00A5785A" w:rsidRDefault="00A5785A" w:rsidP="00A5785A">
      <w:pPr>
        <w:spacing w:after="0" w:line="240" w:lineRule="auto"/>
        <w:ind w:left="5580"/>
        <w:rPr>
          <w:rFonts w:ascii="Times New Roman" w:hAnsi="Times New Roman"/>
          <w:sz w:val="24"/>
          <w:szCs w:val="24"/>
        </w:rPr>
      </w:pPr>
      <w:r>
        <w:rPr>
          <w:rFonts w:ascii="Times New Roman" w:hAnsi="Times New Roman"/>
          <w:sz w:val="24"/>
          <w:szCs w:val="24"/>
        </w:rPr>
        <w:t>Civil Appeal 15/2020</w:t>
      </w:r>
    </w:p>
    <w:p w:rsidR="00A5785A" w:rsidRDefault="00A5785A" w:rsidP="00A5785A">
      <w:pPr>
        <w:spacing w:after="0" w:line="240" w:lineRule="auto"/>
        <w:ind w:left="5580"/>
        <w:rPr>
          <w:rFonts w:ascii="Times New Roman" w:hAnsi="Times New Roman"/>
          <w:sz w:val="24"/>
          <w:szCs w:val="24"/>
        </w:rPr>
      </w:pPr>
      <w:r>
        <w:rPr>
          <w:rFonts w:ascii="Times New Roman" w:hAnsi="Times New Roman"/>
          <w:sz w:val="24"/>
          <w:szCs w:val="24"/>
        </w:rPr>
        <w:t>(Appeal from RB 13/2020)</w:t>
      </w:r>
    </w:p>
    <w:p w:rsidR="00A5785A" w:rsidRDefault="00A5785A" w:rsidP="00A5785A">
      <w:pPr>
        <w:spacing w:after="0" w:line="240" w:lineRule="auto"/>
        <w:ind w:left="5580"/>
        <w:rPr>
          <w:rFonts w:ascii="Times New Roman" w:hAnsi="Times New Roman"/>
          <w:sz w:val="24"/>
          <w:szCs w:val="24"/>
        </w:rPr>
      </w:pPr>
    </w:p>
    <w:p w:rsidR="00A5785A" w:rsidRDefault="00A5785A" w:rsidP="00A5785A">
      <w:pPr>
        <w:tabs>
          <w:tab w:val="left" w:pos="540"/>
          <w:tab w:val="left" w:pos="4092"/>
        </w:tabs>
        <w:spacing w:after="0" w:line="240" w:lineRule="auto"/>
        <w:rPr>
          <w:rFonts w:ascii="Times New Roman" w:hAnsi="Times New Roman"/>
          <w:sz w:val="24"/>
          <w:szCs w:val="24"/>
        </w:rPr>
      </w:pPr>
      <w:r>
        <w:rPr>
          <w:rFonts w:ascii="Times New Roman" w:hAnsi="Times New Roman"/>
          <w:sz w:val="24"/>
          <w:szCs w:val="24"/>
        </w:rPr>
        <w:t>In the matter between:</w:t>
      </w:r>
    </w:p>
    <w:p w:rsidR="00A5785A" w:rsidRDefault="00A5785A" w:rsidP="00A5785A">
      <w:pPr>
        <w:pStyle w:val="Partynames"/>
        <w:spacing w:before="0"/>
      </w:pPr>
    </w:p>
    <w:p w:rsidR="00A5785A" w:rsidRDefault="00A5785A" w:rsidP="00A5785A">
      <w:pPr>
        <w:pStyle w:val="Partynames"/>
        <w:spacing w:before="0"/>
      </w:pPr>
      <w:r>
        <w:t xml:space="preserve">EDEN HOLISTIC SPA </w:t>
      </w:r>
    </w:p>
    <w:p w:rsidR="00A5785A" w:rsidRDefault="00A5785A" w:rsidP="00A5785A">
      <w:pPr>
        <w:pStyle w:val="Partynames"/>
        <w:tabs>
          <w:tab w:val="left" w:pos="5550"/>
        </w:tabs>
        <w:spacing w:before="0"/>
      </w:pPr>
      <w:r>
        <w:t>(PROPRIETARY) LIMITED</w:t>
      </w:r>
      <w:r>
        <w:tab/>
        <w:t>Appellant</w:t>
      </w:r>
    </w:p>
    <w:p w:rsidR="00A5785A" w:rsidRDefault="00A5785A" w:rsidP="00A5785A">
      <w:pPr>
        <w:pStyle w:val="Attorneysnames"/>
      </w:pPr>
      <w:r>
        <w:t>(</w:t>
      </w:r>
      <w:proofErr w:type="gramStart"/>
      <w:r>
        <w:t>rep</w:t>
      </w:r>
      <w:proofErr w:type="gramEnd"/>
      <w:r>
        <w:t>. by Serge Rouillon)</w:t>
      </w:r>
    </w:p>
    <w:p w:rsidR="00A5785A" w:rsidRDefault="00A5785A" w:rsidP="00A5785A">
      <w:pPr>
        <w:tabs>
          <w:tab w:val="left" w:pos="540"/>
          <w:tab w:val="left" w:pos="4092"/>
          <w:tab w:val="left" w:pos="5580"/>
        </w:tabs>
        <w:spacing w:after="0" w:line="240" w:lineRule="auto"/>
        <w:rPr>
          <w:rFonts w:ascii="Times New Roman" w:hAnsi="Times New Roman"/>
          <w:sz w:val="24"/>
          <w:szCs w:val="24"/>
        </w:rPr>
      </w:pPr>
    </w:p>
    <w:p w:rsidR="00A5785A" w:rsidRDefault="00A5785A" w:rsidP="00A5785A">
      <w:pPr>
        <w:tabs>
          <w:tab w:val="left" w:pos="540"/>
          <w:tab w:val="left" w:pos="4092"/>
          <w:tab w:val="left" w:pos="5580"/>
        </w:tabs>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p>
    <w:p w:rsidR="00A5785A" w:rsidRDefault="00A5785A" w:rsidP="00A5785A">
      <w:pPr>
        <w:tabs>
          <w:tab w:val="left" w:pos="540"/>
          <w:tab w:val="left" w:pos="5580"/>
          <w:tab w:val="left" w:pos="6480"/>
        </w:tabs>
        <w:spacing w:after="0" w:line="240" w:lineRule="auto"/>
        <w:rPr>
          <w:rFonts w:ascii="Times New Roman" w:hAnsi="Times New Roman"/>
          <w:b/>
          <w:sz w:val="24"/>
          <w:szCs w:val="24"/>
        </w:rPr>
      </w:pPr>
    </w:p>
    <w:p w:rsidR="00A5785A" w:rsidRDefault="00A5785A" w:rsidP="00A5785A">
      <w:pPr>
        <w:pStyle w:val="Partynames"/>
      </w:pPr>
      <w:r>
        <w:t>WOODLANDS HOLDINGS LIMITED</w:t>
      </w:r>
      <w:r>
        <w:tab/>
        <w:t>Respondent</w:t>
      </w:r>
    </w:p>
    <w:p w:rsidR="00A5785A" w:rsidRDefault="00A5785A" w:rsidP="00A5785A">
      <w:pPr>
        <w:tabs>
          <w:tab w:val="left" w:pos="540"/>
          <w:tab w:val="left" w:pos="4092"/>
        </w:tabs>
        <w:spacing w:after="0" w:line="240" w:lineRule="auto"/>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rep</w:t>
      </w:r>
      <w:proofErr w:type="gramEnd"/>
      <w:r>
        <w:rPr>
          <w:rFonts w:ascii="Times New Roman" w:hAnsi="Times New Roman"/>
          <w:i/>
          <w:sz w:val="24"/>
          <w:szCs w:val="24"/>
        </w:rPr>
        <w:t>. by Frank Elizabeth)</w:t>
      </w:r>
    </w:p>
    <w:p w:rsidR="00A5785A" w:rsidRDefault="00A5785A" w:rsidP="00A5785A">
      <w:pPr>
        <w:pBdr>
          <w:bottom w:val="single" w:sz="4" w:space="1" w:color="auto"/>
        </w:pBdr>
        <w:tabs>
          <w:tab w:val="left" w:pos="540"/>
          <w:tab w:val="left" w:pos="5580"/>
        </w:tabs>
        <w:spacing w:after="0" w:line="240" w:lineRule="auto"/>
        <w:rPr>
          <w:rFonts w:ascii="Times New Roman" w:hAnsi="Times New Roman"/>
          <w:i/>
          <w:sz w:val="24"/>
          <w:szCs w:val="24"/>
        </w:rPr>
      </w:pPr>
    </w:p>
    <w:p w:rsidR="00A5785A" w:rsidRDefault="00A5785A" w:rsidP="00A5785A">
      <w:pPr>
        <w:spacing w:before="120" w:after="0" w:line="240" w:lineRule="auto"/>
        <w:ind w:left="1886" w:hanging="1886"/>
        <w:rPr>
          <w:rFonts w:ascii="Times New Roman" w:hAnsi="Times New Roman"/>
          <w:sz w:val="24"/>
          <w:szCs w:val="24"/>
        </w:rPr>
      </w:pPr>
      <w:r>
        <w:rPr>
          <w:rFonts w:ascii="Times New Roman" w:hAnsi="Times New Roman"/>
          <w:b/>
          <w:sz w:val="24"/>
          <w:szCs w:val="24"/>
        </w:rPr>
        <w:t>Neutral Citation: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 xml:space="preserve">Eden Holistic Spa (Pty) Limited v Woodlands Holdings Limited </w:t>
      </w:r>
      <w:r>
        <w:rPr>
          <w:rFonts w:ascii="Times New Roman" w:hAnsi="Times New Roman"/>
          <w:sz w:val="24"/>
          <w:szCs w:val="24"/>
        </w:rPr>
        <w:t>(CA 15/2020) 2022 SCSC… (24 March 2022).</w:t>
      </w:r>
    </w:p>
    <w:p w:rsidR="00A5785A" w:rsidRDefault="00A5785A" w:rsidP="00A5785A">
      <w:pPr>
        <w:spacing w:after="0" w:line="240" w:lineRule="auto"/>
        <w:ind w:left="1890" w:hanging="1890"/>
        <w:rPr>
          <w:rFonts w:ascii="Times New Roman" w:hAnsi="Times New Roman"/>
          <w:sz w:val="24"/>
          <w:szCs w:val="24"/>
        </w:rPr>
      </w:pPr>
      <w:r>
        <w:rPr>
          <w:rFonts w:ascii="Times New Roman" w:hAnsi="Times New Roman"/>
          <w:b/>
          <w:sz w:val="24"/>
          <w:szCs w:val="24"/>
        </w:rPr>
        <w:t xml:space="preserve">Before: </w:t>
      </w:r>
      <w:r>
        <w:rPr>
          <w:rFonts w:ascii="Times New Roman" w:hAnsi="Times New Roman"/>
          <w:b/>
          <w:sz w:val="24"/>
          <w:szCs w:val="24"/>
        </w:rPr>
        <w:tab/>
      </w:r>
      <w:r>
        <w:rPr>
          <w:rFonts w:ascii="Times New Roman" w:hAnsi="Times New Roman"/>
          <w:sz w:val="24"/>
          <w:szCs w:val="24"/>
        </w:rPr>
        <w:t>Dodin J.</w:t>
      </w:r>
    </w:p>
    <w:p w:rsidR="00A5785A" w:rsidRDefault="00A5785A" w:rsidP="00A5785A">
      <w:pPr>
        <w:spacing w:after="0" w:line="240" w:lineRule="auto"/>
        <w:ind w:left="1890" w:hanging="1890"/>
        <w:rPr>
          <w:rFonts w:ascii="Times New Roman" w:hAnsi="Times New Roman"/>
          <w:sz w:val="24"/>
          <w:szCs w:val="24"/>
        </w:rPr>
      </w:pPr>
      <w:r>
        <w:rPr>
          <w:rFonts w:ascii="Times New Roman" w:hAnsi="Times New Roman"/>
          <w:b/>
          <w:sz w:val="24"/>
          <w:szCs w:val="24"/>
        </w:rPr>
        <w:t xml:space="preserve">Summary: </w:t>
      </w:r>
      <w:r>
        <w:rPr>
          <w:rFonts w:ascii="Times New Roman" w:hAnsi="Times New Roman"/>
          <w:b/>
          <w:sz w:val="24"/>
          <w:szCs w:val="24"/>
        </w:rPr>
        <w:tab/>
      </w:r>
      <w:r>
        <w:rPr>
          <w:rFonts w:ascii="Times New Roman" w:hAnsi="Times New Roman"/>
          <w:sz w:val="24"/>
          <w:szCs w:val="24"/>
        </w:rPr>
        <w:t>Appeal from Rent Board - Control of Rent and Tenancy Agreement Act</w:t>
      </w:r>
    </w:p>
    <w:p w:rsidR="00A5785A" w:rsidRDefault="00A5785A" w:rsidP="00A5785A">
      <w:pPr>
        <w:tabs>
          <w:tab w:val="left" w:pos="720"/>
          <w:tab w:val="left" w:pos="1440"/>
          <w:tab w:val="left" w:pos="2160"/>
          <w:tab w:val="left" w:pos="6945"/>
        </w:tabs>
        <w:spacing w:after="0" w:line="240" w:lineRule="auto"/>
        <w:ind w:left="1890" w:hanging="1890"/>
        <w:rPr>
          <w:rFonts w:ascii="Times New Roman" w:hAnsi="Times New Roman"/>
          <w:sz w:val="24"/>
          <w:szCs w:val="24"/>
        </w:rPr>
      </w:pPr>
      <w:r>
        <w:rPr>
          <w:rFonts w:ascii="Times New Roman" w:hAnsi="Times New Roman"/>
          <w:b/>
          <w:sz w:val="24"/>
          <w:szCs w:val="24"/>
        </w:rPr>
        <w:t xml:space="preserve">Heard: </w:t>
      </w:r>
      <w:r>
        <w:rPr>
          <w:rFonts w:ascii="Times New Roman" w:hAnsi="Times New Roman"/>
          <w:sz w:val="24"/>
          <w:szCs w:val="24"/>
        </w:rPr>
        <w:tab/>
      </w:r>
      <w:r>
        <w:rPr>
          <w:rFonts w:ascii="Times New Roman" w:hAnsi="Times New Roman"/>
          <w:sz w:val="24"/>
          <w:szCs w:val="24"/>
        </w:rPr>
        <w:tab/>
        <w:t>Written submissions</w:t>
      </w:r>
      <w:r>
        <w:rPr>
          <w:rFonts w:ascii="Times New Roman" w:hAnsi="Times New Roman"/>
          <w:sz w:val="24"/>
          <w:szCs w:val="24"/>
        </w:rPr>
        <w:tab/>
      </w:r>
    </w:p>
    <w:p w:rsidR="00A5785A" w:rsidRDefault="00A5785A" w:rsidP="00A5785A">
      <w:pPr>
        <w:pBdr>
          <w:bottom w:val="single" w:sz="4" w:space="1" w:color="auto"/>
        </w:pBdr>
        <w:spacing w:after="0" w:line="240" w:lineRule="auto"/>
        <w:ind w:left="1890" w:hanging="1890"/>
        <w:rPr>
          <w:rFonts w:ascii="Times New Roman" w:hAnsi="Times New Roman"/>
          <w:sz w:val="24"/>
          <w:szCs w:val="24"/>
        </w:rPr>
      </w:pPr>
      <w:r>
        <w:rPr>
          <w:rFonts w:ascii="Times New Roman" w:hAnsi="Times New Roman"/>
          <w:b/>
          <w:sz w:val="24"/>
          <w:szCs w:val="24"/>
        </w:rPr>
        <w:t>Delivered:</w:t>
      </w:r>
      <w:r>
        <w:rPr>
          <w:rFonts w:ascii="Times New Roman" w:hAnsi="Times New Roman"/>
          <w:b/>
          <w:sz w:val="24"/>
          <w:szCs w:val="24"/>
        </w:rPr>
        <w:tab/>
      </w:r>
      <w:r>
        <w:rPr>
          <w:rFonts w:ascii="Times New Roman" w:hAnsi="Times New Roman"/>
          <w:sz w:val="24"/>
          <w:szCs w:val="24"/>
        </w:rPr>
        <w:t>24 March 2022</w:t>
      </w:r>
    </w:p>
    <w:p w:rsidR="00A5785A" w:rsidRDefault="00A5785A" w:rsidP="00A5785A">
      <w:pPr>
        <w:tabs>
          <w:tab w:val="left" w:pos="2892"/>
        </w:tabs>
        <w:spacing w:before="120" w:after="0" w:line="240" w:lineRule="auto"/>
        <w:jc w:val="center"/>
        <w:rPr>
          <w:rFonts w:ascii="Times New Roman" w:hAnsi="Times New Roman"/>
          <w:b/>
          <w:sz w:val="24"/>
          <w:szCs w:val="24"/>
        </w:rPr>
      </w:pPr>
      <w:r>
        <w:rPr>
          <w:rFonts w:ascii="Times New Roman" w:hAnsi="Times New Roman"/>
          <w:b/>
          <w:sz w:val="24"/>
          <w:szCs w:val="24"/>
        </w:rPr>
        <w:t xml:space="preserve">ORDER </w:t>
      </w:r>
    </w:p>
    <w:p w:rsidR="00A5785A" w:rsidRDefault="00A5785A" w:rsidP="00A5785A">
      <w:pPr>
        <w:tabs>
          <w:tab w:val="left" w:pos="2892"/>
        </w:tabs>
        <w:spacing w:before="120" w:after="0" w:line="240" w:lineRule="auto"/>
        <w:jc w:val="center"/>
        <w:rPr>
          <w:rFonts w:ascii="Times New Roman" w:hAnsi="Times New Roman"/>
          <w:b/>
          <w:sz w:val="24"/>
          <w:szCs w:val="24"/>
        </w:rPr>
      </w:pPr>
    </w:p>
    <w:p w:rsidR="00A5785A" w:rsidRDefault="00A5785A" w:rsidP="00A5785A">
      <w:pPr>
        <w:pBdr>
          <w:top w:val="single" w:sz="4" w:space="1" w:color="auto"/>
          <w:bottom w:val="single" w:sz="4" w:space="1" w:color="auto"/>
        </w:pBdr>
        <w:tabs>
          <w:tab w:val="left" w:pos="2892"/>
        </w:tabs>
        <w:spacing w:after="0" w:line="240" w:lineRule="auto"/>
        <w:rPr>
          <w:rFonts w:ascii="Times New Roman" w:hAnsi="Times New Roman"/>
          <w:b/>
          <w:sz w:val="24"/>
          <w:szCs w:val="24"/>
        </w:rPr>
      </w:pPr>
    </w:p>
    <w:p w:rsidR="00A5785A" w:rsidRDefault="00F630F9" w:rsidP="00A5785A">
      <w:pPr>
        <w:pBdr>
          <w:top w:val="single" w:sz="4" w:space="1" w:color="auto"/>
          <w:bottom w:val="single" w:sz="4" w:space="1" w:color="auto"/>
        </w:pBdr>
        <w:spacing w:before="120" w:after="120" w:line="240" w:lineRule="auto"/>
        <w:jc w:val="center"/>
        <w:rPr>
          <w:rFonts w:ascii="Times New Roman" w:hAnsi="Times New Roman"/>
          <w:b/>
          <w:sz w:val="24"/>
          <w:szCs w:val="24"/>
        </w:rPr>
      </w:pPr>
      <w:r>
        <w:rPr>
          <w:rFonts w:ascii="Times New Roman" w:hAnsi="Times New Roman"/>
          <w:b/>
          <w:sz w:val="24"/>
          <w:szCs w:val="24"/>
        </w:rPr>
        <w:t>JUDG</w:t>
      </w:r>
      <w:r w:rsidR="00A5785A">
        <w:rPr>
          <w:rFonts w:ascii="Times New Roman" w:hAnsi="Times New Roman"/>
          <w:b/>
          <w:sz w:val="24"/>
          <w:szCs w:val="24"/>
        </w:rPr>
        <w:t>MENT</w:t>
      </w:r>
    </w:p>
    <w:p w:rsidR="00A5785A" w:rsidRDefault="00A5785A" w:rsidP="00A5785A">
      <w:pPr>
        <w:pBdr>
          <w:top w:val="single" w:sz="4" w:space="1" w:color="auto"/>
          <w:bottom w:val="single" w:sz="4" w:space="1" w:color="auto"/>
        </w:pBdr>
        <w:tabs>
          <w:tab w:val="left" w:pos="2892"/>
        </w:tabs>
        <w:spacing w:after="0" w:line="276" w:lineRule="auto"/>
        <w:rPr>
          <w:rFonts w:ascii="Times New Roman" w:hAnsi="Times New Roman"/>
          <w:b/>
          <w:sz w:val="24"/>
          <w:szCs w:val="24"/>
        </w:rPr>
      </w:pPr>
    </w:p>
    <w:p w:rsidR="00A5785A" w:rsidRDefault="00A5785A" w:rsidP="00A5785A">
      <w:pPr>
        <w:rPr>
          <w:rFonts w:ascii="Times New Roman" w:hAnsi="Times New Roman"/>
          <w:sz w:val="24"/>
          <w:szCs w:val="24"/>
        </w:rPr>
      </w:pPr>
    </w:p>
    <w:p w:rsidR="00A5785A" w:rsidRDefault="00A5785A" w:rsidP="004378F6">
      <w:pPr>
        <w:pStyle w:val="JudgmentText"/>
        <w:numPr>
          <w:ilvl w:val="0"/>
          <w:numId w:val="0"/>
        </w:numPr>
        <w:tabs>
          <w:tab w:val="left" w:pos="720"/>
        </w:tabs>
        <w:spacing w:line="480" w:lineRule="auto"/>
        <w:ind w:left="720" w:hanging="720"/>
        <w:rPr>
          <w:b/>
        </w:rPr>
      </w:pPr>
      <w:bookmarkStart w:id="0" w:name="_GoBack"/>
      <w:r>
        <w:rPr>
          <w:b/>
        </w:rPr>
        <w:t>DODIN J.</w:t>
      </w:r>
    </w:p>
    <w:p w:rsidR="004F436D" w:rsidRPr="00842C2E" w:rsidRDefault="00A5785A" w:rsidP="004378F6">
      <w:pPr>
        <w:pStyle w:val="JudgmentText"/>
        <w:tabs>
          <w:tab w:val="clear" w:pos="360"/>
          <w:tab w:val="num" w:pos="720"/>
        </w:tabs>
        <w:ind w:hanging="720"/>
        <w:rPr>
          <w:rFonts w:cs="Times New Roman"/>
        </w:rPr>
      </w:pPr>
      <w:r>
        <w:t xml:space="preserve">The Appellant being dissatisfied with the </w:t>
      </w:r>
      <w:r w:rsidR="00842C2E">
        <w:t>judgment</w:t>
      </w:r>
      <w:r>
        <w:t xml:space="preserve"> of the Rent Board delivered on 11</w:t>
      </w:r>
      <w:r w:rsidRPr="00842C2E">
        <w:rPr>
          <w:vertAlign w:val="superscript"/>
        </w:rPr>
        <w:t>th</w:t>
      </w:r>
      <w:r w:rsidR="00842C2E">
        <w:t xml:space="preserve"> September, 2020, appeals</w:t>
      </w:r>
      <w:r>
        <w:t xml:space="preserve"> to the Supreme Court </w:t>
      </w:r>
      <w:r w:rsidR="004F436D" w:rsidRPr="00842C2E">
        <w:rPr>
          <w:rFonts w:cs="Times New Roman"/>
        </w:rPr>
        <w:t xml:space="preserve">against the judgment of the Rent Board in case RB13 </w:t>
      </w:r>
      <w:r w:rsidR="00842C2E">
        <w:rPr>
          <w:rFonts w:cs="Times New Roman"/>
        </w:rPr>
        <w:t>raising the following grounds:</w:t>
      </w:r>
    </w:p>
    <w:p w:rsidR="004F436D" w:rsidRDefault="004F436D"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sidRPr="00842C2E">
        <w:rPr>
          <w:rFonts w:ascii="Times New Roman" w:hAnsi="Times New Roman" w:cs="Times New Roman"/>
          <w:i/>
          <w:sz w:val="24"/>
          <w:szCs w:val="24"/>
        </w:rPr>
        <w:t xml:space="preserve">The Rent Board erred in law and fact in taking into consideration and making an award against the Appellant on a belated claim for a sum </w:t>
      </w:r>
      <w:r w:rsidRPr="00842C2E">
        <w:rPr>
          <w:rFonts w:ascii="Times New Roman" w:hAnsi="Times New Roman" w:cs="Times New Roman"/>
          <w:i/>
          <w:sz w:val="24"/>
          <w:szCs w:val="24"/>
        </w:rPr>
        <w:lastRenderedPageBreak/>
        <w:t>representing an insufficient deposit payment when the item had never been pleaded or raised until the trial;</w:t>
      </w:r>
    </w:p>
    <w:p w:rsidR="00842C2E" w:rsidRPr="00842C2E" w:rsidRDefault="00842C2E" w:rsidP="00842C2E">
      <w:pPr>
        <w:pStyle w:val="ListParagraph"/>
        <w:spacing w:after="0" w:line="360" w:lineRule="auto"/>
        <w:ind w:left="1620" w:right="810"/>
        <w:jc w:val="both"/>
        <w:rPr>
          <w:rFonts w:ascii="Times New Roman" w:hAnsi="Times New Roman" w:cs="Times New Roman"/>
          <w:i/>
          <w:sz w:val="24"/>
          <w:szCs w:val="24"/>
        </w:rPr>
      </w:pPr>
    </w:p>
    <w:p w:rsidR="004F436D" w:rsidRDefault="004F436D"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sidRPr="00842C2E">
        <w:rPr>
          <w:rFonts w:ascii="Times New Roman" w:hAnsi="Times New Roman" w:cs="Times New Roman"/>
          <w:i/>
          <w:sz w:val="24"/>
          <w:szCs w:val="24"/>
        </w:rPr>
        <w:t>The Rent Board erred in making a judgment against the Appellant for payment of the belated claim which included an alleged insufficient deposit payment when the Appellant had no chance or advance warning to prepare of the claim until the hearing of the case.</w:t>
      </w:r>
    </w:p>
    <w:p w:rsidR="00842C2E" w:rsidRPr="00842C2E" w:rsidRDefault="00842C2E" w:rsidP="00842C2E">
      <w:pPr>
        <w:pStyle w:val="ListParagraph"/>
        <w:rPr>
          <w:rFonts w:ascii="Times New Roman" w:hAnsi="Times New Roman" w:cs="Times New Roman"/>
          <w:i/>
          <w:sz w:val="24"/>
          <w:szCs w:val="24"/>
        </w:rPr>
      </w:pPr>
    </w:p>
    <w:p w:rsidR="004F436D" w:rsidRDefault="004F436D"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sidRPr="00842C2E">
        <w:rPr>
          <w:rFonts w:ascii="Times New Roman" w:hAnsi="Times New Roman" w:cs="Times New Roman"/>
          <w:i/>
          <w:sz w:val="24"/>
          <w:szCs w:val="24"/>
        </w:rPr>
        <w:t>The Rent Board erred in fact in failing to note the letters of the Appellant concluding all matters in terms of the contractual tenancy of the parties produced as exhibits where the issue of deposit is not challenged by the Respondent in any correspondence or pleadings.</w:t>
      </w:r>
    </w:p>
    <w:p w:rsidR="00842C2E" w:rsidRPr="00842C2E" w:rsidRDefault="00842C2E" w:rsidP="00842C2E">
      <w:pPr>
        <w:spacing w:after="0" w:line="360" w:lineRule="auto"/>
        <w:ind w:right="810"/>
        <w:jc w:val="both"/>
        <w:rPr>
          <w:rFonts w:ascii="Times New Roman" w:hAnsi="Times New Roman" w:cs="Times New Roman"/>
          <w:i/>
          <w:sz w:val="24"/>
          <w:szCs w:val="24"/>
        </w:rPr>
      </w:pPr>
    </w:p>
    <w:p w:rsidR="004F436D" w:rsidRDefault="004F436D"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sidRPr="00842C2E">
        <w:rPr>
          <w:rFonts w:ascii="Times New Roman" w:hAnsi="Times New Roman" w:cs="Times New Roman"/>
          <w:i/>
          <w:sz w:val="24"/>
          <w:szCs w:val="24"/>
        </w:rPr>
        <w:t>The Rent Board erred in fact in failing to note the discrepancy of the sums claimed as arrears of rent which when added to an insufficient deposit amount does not add up to the amount claimed as arrears or for damage in the application for eviction.</w:t>
      </w:r>
    </w:p>
    <w:p w:rsidR="00842C2E" w:rsidRPr="00842C2E" w:rsidRDefault="00842C2E" w:rsidP="00842C2E">
      <w:pPr>
        <w:spacing w:after="0" w:line="360" w:lineRule="auto"/>
        <w:ind w:right="810"/>
        <w:jc w:val="both"/>
        <w:rPr>
          <w:rFonts w:ascii="Times New Roman" w:hAnsi="Times New Roman" w:cs="Times New Roman"/>
          <w:i/>
          <w:sz w:val="24"/>
          <w:szCs w:val="24"/>
        </w:rPr>
      </w:pPr>
    </w:p>
    <w:p w:rsidR="004F436D" w:rsidRDefault="00842C2E"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Pr>
          <w:rFonts w:ascii="Times New Roman" w:hAnsi="Times New Roman" w:cs="Times New Roman"/>
          <w:i/>
          <w:sz w:val="24"/>
          <w:szCs w:val="24"/>
        </w:rPr>
        <w:t>The Rent Board erred in l</w:t>
      </w:r>
      <w:r w:rsidR="004F436D" w:rsidRPr="00842C2E">
        <w:rPr>
          <w:rFonts w:ascii="Times New Roman" w:hAnsi="Times New Roman" w:cs="Times New Roman"/>
          <w:i/>
          <w:sz w:val="24"/>
          <w:szCs w:val="24"/>
        </w:rPr>
        <w:t>aw generally in failing to look discerningly at all pleadings and evidence of the parties and the lack of certainty in dealing with two corporate entities and the figures produced by the Landlord before the Rent Board to justify its claim.</w:t>
      </w:r>
    </w:p>
    <w:p w:rsidR="00842C2E" w:rsidRPr="00842C2E" w:rsidRDefault="00842C2E" w:rsidP="00842C2E">
      <w:pPr>
        <w:spacing w:after="0" w:line="360" w:lineRule="auto"/>
        <w:ind w:right="810"/>
        <w:jc w:val="both"/>
        <w:rPr>
          <w:rFonts w:ascii="Times New Roman" w:hAnsi="Times New Roman" w:cs="Times New Roman"/>
          <w:i/>
          <w:sz w:val="24"/>
          <w:szCs w:val="24"/>
        </w:rPr>
      </w:pPr>
    </w:p>
    <w:p w:rsidR="004F436D" w:rsidRDefault="004F436D" w:rsidP="00842C2E">
      <w:pPr>
        <w:pStyle w:val="ListParagraph"/>
        <w:numPr>
          <w:ilvl w:val="0"/>
          <w:numId w:val="4"/>
        </w:numPr>
        <w:spacing w:after="0" w:line="360" w:lineRule="auto"/>
        <w:ind w:left="1620" w:right="810"/>
        <w:jc w:val="both"/>
        <w:rPr>
          <w:rFonts w:ascii="Times New Roman" w:hAnsi="Times New Roman" w:cs="Times New Roman"/>
          <w:i/>
          <w:sz w:val="24"/>
          <w:szCs w:val="24"/>
        </w:rPr>
      </w:pPr>
      <w:r w:rsidRPr="00842C2E">
        <w:rPr>
          <w:rFonts w:ascii="Times New Roman" w:hAnsi="Times New Roman" w:cs="Times New Roman"/>
          <w:i/>
          <w:sz w:val="24"/>
          <w:szCs w:val="24"/>
        </w:rPr>
        <w:t>The Rent Board erred in using final rent payments to offset an alleged insufficient deposit payment for a lease which was valid and running; mentioned in the lease agreement and there were no claims for the said deposit shortage proved to the Court except for a receipt which justifies both parties</w:t>
      </w:r>
      <w:r w:rsidR="00842C2E">
        <w:rPr>
          <w:rFonts w:ascii="Times New Roman" w:hAnsi="Times New Roman" w:cs="Times New Roman"/>
          <w:i/>
          <w:sz w:val="24"/>
          <w:szCs w:val="24"/>
        </w:rPr>
        <w:t>’</w:t>
      </w:r>
      <w:r w:rsidRPr="00842C2E">
        <w:rPr>
          <w:rFonts w:ascii="Times New Roman" w:hAnsi="Times New Roman" w:cs="Times New Roman"/>
          <w:i/>
          <w:sz w:val="24"/>
          <w:szCs w:val="24"/>
        </w:rPr>
        <w:t xml:space="preserve"> stories in the absence of proof; which proof the Appellant was given no chance to produce.</w:t>
      </w:r>
    </w:p>
    <w:p w:rsidR="00842C2E" w:rsidRPr="00842C2E" w:rsidRDefault="00842C2E" w:rsidP="00842C2E">
      <w:pPr>
        <w:spacing w:after="0" w:line="360" w:lineRule="auto"/>
        <w:ind w:right="810"/>
        <w:jc w:val="both"/>
        <w:rPr>
          <w:rFonts w:ascii="Times New Roman" w:hAnsi="Times New Roman" w:cs="Times New Roman"/>
          <w:i/>
          <w:sz w:val="24"/>
          <w:szCs w:val="24"/>
        </w:rPr>
      </w:pPr>
    </w:p>
    <w:p w:rsidR="004F436D" w:rsidRPr="00AE3D71" w:rsidRDefault="00842C2E" w:rsidP="00842C2E">
      <w:pPr>
        <w:pStyle w:val="JudgmentText"/>
        <w:tabs>
          <w:tab w:val="clear" w:pos="360"/>
        </w:tabs>
        <w:ind w:hanging="720"/>
      </w:pPr>
      <w:r>
        <w:t>The Appellant</w:t>
      </w:r>
      <w:r w:rsidR="00664C85">
        <w:t xml:space="preserve"> moved the Court to:</w:t>
      </w:r>
    </w:p>
    <w:p w:rsidR="004F436D" w:rsidRDefault="00664C85" w:rsidP="00664C85">
      <w:pPr>
        <w:pStyle w:val="ListParagraph"/>
        <w:numPr>
          <w:ilvl w:val="0"/>
          <w:numId w:val="5"/>
        </w:numPr>
        <w:spacing w:after="0" w:line="360" w:lineRule="auto"/>
        <w:ind w:left="2160" w:hanging="450"/>
        <w:jc w:val="both"/>
        <w:rPr>
          <w:rFonts w:ascii="Times New Roman" w:hAnsi="Times New Roman" w:cs="Times New Roman"/>
          <w:sz w:val="24"/>
          <w:szCs w:val="24"/>
        </w:rPr>
      </w:pPr>
      <w:r>
        <w:rPr>
          <w:rFonts w:ascii="Times New Roman" w:hAnsi="Times New Roman" w:cs="Times New Roman"/>
          <w:sz w:val="24"/>
          <w:szCs w:val="24"/>
        </w:rPr>
        <w:lastRenderedPageBreak/>
        <w:t>Allow the</w:t>
      </w:r>
      <w:r w:rsidR="004F436D" w:rsidRPr="00AE3D71">
        <w:rPr>
          <w:rFonts w:ascii="Times New Roman" w:hAnsi="Times New Roman" w:cs="Times New Roman"/>
          <w:sz w:val="24"/>
          <w:szCs w:val="24"/>
        </w:rPr>
        <w:t xml:space="preserve"> Appeal and reverse the decision of Rent Board and find that the Appellant has no obligation to pay Respondent any sum;</w:t>
      </w:r>
    </w:p>
    <w:p w:rsidR="00664C85" w:rsidRDefault="00664C85" w:rsidP="00664C85">
      <w:pPr>
        <w:pStyle w:val="ListParagraph"/>
        <w:spacing w:after="0" w:line="360" w:lineRule="auto"/>
        <w:ind w:left="2160"/>
        <w:jc w:val="both"/>
        <w:rPr>
          <w:rFonts w:ascii="Times New Roman" w:hAnsi="Times New Roman" w:cs="Times New Roman"/>
          <w:sz w:val="24"/>
          <w:szCs w:val="24"/>
        </w:rPr>
      </w:pPr>
    </w:p>
    <w:p w:rsidR="004F436D" w:rsidRDefault="00664C85" w:rsidP="004F436D">
      <w:pPr>
        <w:pStyle w:val="ListParagraph"/>
        <w:numPr>
          <w:ilvl w:val="0"/>
          <w:numId w:val="5"/>
        </w:num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make any</w:t>
      </w:r>
      <w:r w:rsidR="004F436D" w:rsidRPr="00AE3D71">
        <w:rPr>
          <w:rFonts w:ascii="Times New Roman" w:hAnsi="Times New Roman" w:cs="Times New Roman"/>
          <w:sz w:val="24"/>
          <w:szCs w:val="24"/>
        </w:rPr>
        <w:t xml:space="preserve"> other order as maybe fit and just in the circumstances;</w:t>
      </w:r>
    </w:p>
    <w:p w:rsidR="00664C85" w:rsidRPr="00664C85" w:rsidRDefault="00664C85" w:rsidP="00664C85">
      <w:pPr>
        <w:pStyle w:val="ListParagraph"/>
        <w:rPr>
          <w:rFonts w:ascii="Times New Roman" w:hAnsi="Times New Roman" w:cs="Times New Roman"/>
          <w:sz w:val="24"/>
          <w:szCs w:val="24"/>
        </w:rPr>
      </w:pPr>
    </w:p>
    <w:p w:rsidR="004F436D" w:rsidRPr="00AE3D71" w:rsidRDefault="004F436D" w:rsidP="004F436D">
      <w:pPr>
        <w:pStyle w:val="ListParagraph"/>
        <w:numPr>
          <w:ilvl w:val="0"/>
          <w:numId w:val="5"/>
        </w:numPr>
        <w:spacing w:after="0" w:line="360" w:lineRule="auto"/>
        <w:ind w:firstLine="720"/>
        <w:jc w:val="both"/>
        <w:rPr>
          <w:rFonts w:ascii="Times New Roman" w:hAnsi="Times New Roman" w:cs="Times New Roman"/>
          <w:sz w:val="24"/>
          <w:szCs w:val="24"/>
        </w:rPr>
      </w:pPr>
      <w:proofErr w:type="gramStart"/>
      <w:r w:rsidRPr="00AE3D71">
        <w:rPr>
          <w:rFonts w:ascii="Times New Roman" w:hAnsi="Times New Roman" w:cs="Times New Roman"/>
          <w:sz w:val="24"/>
          <w:szCs w:val="24"/>
        </w:rPr>
        <w:t>award</w:t>
      </w:r>
      <w:proofErr w:type="gramEnd"/>
      <w:r w:rsidRPr="00AE3D71">
        <w:rPr>
          <w:rFonts w:ascii="Times New Roman" w:hAnsi="Times New Roman" w:cs="Times New Roman"/>
          <w:sz w:val="24"/>
          <w:szCs w:val="24"/>
        </w:rPr>
        <w:t xml:space="preserve"> the costs of the Appeal in favour of the Appellant.</w:t>
      </w:r>
    </w:p>
    <w:p w:rsidR="004F436D" w:rsidRPr="00AE3D71" w:rsidRDefault="004F436D" w:rsidP="004F436D">
      <w:pPr>
        <w:spacing w:after="0" w:line="360" w:lineRule="auto"/>
        <w:ind w:firstLine="720"/>
        <w:jc w:val="both"/>
        <w:rPr>
          <w:rFonts w:ascii="Times New Roman" w:hAnsi="Times New Roman" w:cs="Times New Roman"/>
          <w:sz w:val="24"/>
          <w:szCs w:val="24"/>
        </w:rPr>
      </w:pPr>
    </w:p>
    <w:p w:rsidR="004F436D" w:rsidRDefault="00664C85" w:rsidP="00664C85">
      <w:pPr>
        <w:pStyle w:val="JudgmentText"/>
        <w:tabs>
          <w:tab w:val="clear" w:pos="360"/>
        </w:tabs>
        <w:ind w:hanging="720"/>
      </w:pPr>
      <w:r>
        <w:t>Learned counsel for the Appellant made the following submissions in support of the appeal:</w:t>
      </w:r>
    </w:p>
    <w:p w:rsidR="004F436D" w:rsidRPr="00664C85" w:rsidRDefault="004F436D" w:rsidP="00664C85">
      <w:pPr>
        <w:pStyle w:val="ListParagraph"/>
        <w:numPr>
          <w:ilvl w:val="0"/>
          <w:numId w:val="8"/>
        </w:numPr>
        <w:spacing w:after="0" w:line="360" w:lineRule="auto"/>
        <w:ind w:left="1440" w:right="720" w:hanging="180"/>
        <w:jc w:val="both"/>
        <w:rPr>
          <w:rFonts w:ascii="Times New Roman" w:hAnsi="Times New Roman" w:cs="Times New Roman"/>
          <w:i/>
          <w:sz w:val="24"/>
          <w:szCs w:val="24"/>
        </w:rPr>
      </w:pPr>
      <w:r w:rsidRPr="00664C85">
        <w:rPr>
          <w:rFonts w:ascii="Times New Roman" w:hAnsi="Times New Roman" w:cs="Times New Roman"/>
          <w:i/>
          <w:sz w:val="24"/>
          <w:szCs w:val="24"/>
        </w:rPr>
        <w:t>In respect of grounds 1 to 4 of appeal; The original claim for a sum of R33</w:t>
      </w:r>
      <w:proofErr w:type="gramStart"/>
      <w:r w:rsidRPr="00664C85">
        <w:rPr>
          <w:rFonts w:ascii="Times New Roman" w:hAnsi="Times New Roman" w:cs="Times New Roman"/>
          <w:i/>
          <w:sz w:val="24"/>
          <w:szCs w:val="24"/>
        </w:rPr>
        <w:t>,000</w:t>
      </w:r>
      <w:proofErr w:type="gramEnd"/>
      <w:r w:rsidRPr="00664C85">
        <w:rPr>
          <w:rFonts w:ascii="Times New Roman" w:hAnsi="Times New Roman" w:cs="Times New Roman"/>
          <w:i/>
          <w:sz w:val="24"/>
          <w:szCs w:val="24"/>
        </w:rPr>
        <w:t>/- arrears of rent plus service charge of R1500/-. This was amended in the proceedings to include damage to furniture and a total amount of arrears due R46</w:t>
      </w:r>
      <w:proofErr w:type="gramStart"/>
      <w:r w:rsidRPr="00664C85">
        <w:rPr>
          <w:rFonts w:ascii="Times New Roman" w:hAnsi="Times New Roman" w:cs="Times New Roman"/>
          <w:i/>
          <w:sz w:val="24"/>
          <w:szCs w:val="24"/>
        </w:rPr>
        <w:t>,000</w:t>
      </w:r>
      <w:proofErr w:type="gramEnd"/>
      <w:r w:rsidRPr="00664C85">
        <w:rPr>
          <w:rFonts w:ascii="Times New Roman" w:hAnsi="Times New Roman" w:cs="Times New Roman"/>
          <w:i/>
          <w:sz w:val="24"/>
          <w:szCs w:val="24"/>
        </w:rPr>
        <w:t xml:space="preserve">/-. The figures do not match the amounts claimed before or after the insufficient deposit deduction amount. Bringing in the deposit issue confuses and nullifies the arrears claimed because the figures don’t add up. The amount claimed could match 2 months’ rent R23,000/- but shows no bearing on any deposit deduction therefore the deposit issue like the property damage are all afterthoughts and greed on the part of the landlord. </w:t>
      </w:r>
    </w:p>
    <w:p w:rsidR="004F436D" w:rsidRPr="00664C85" w:rsidRDefault="004F436D" w:rsidP="00664C85">
      <w:pPr>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The Appellant</w:t>
      </w:r>
      <w:r w:rsidR="00F02886">
        <w:rPr>
          <w:rFonts w:ascii="Times New Roman" w:hAnsi="Times New Roman" w:cs="Times New Roman"/>
          <w:i/>
          <w:sz w:val="24"/>
          <w:szCs w:val="24"/>
        </w:rPr>
        <w:t>’</w:t>
      </w:r>
      <w:r w:rsidRPr="00664C85">
        <w:rPr>
          <w:rFonts w:ascii="Times New Roman" w:hAnsi="Times New Roman" w:cs="Times New Roman"/>
          <w:i/>
          <w:sz w:val="24"/>
          <w:szCs w:val="24"/>
        </w:rPr>
        <w:t xml:space="preserve">s claim that since the insufficient deposit was not pleaded and claimed with the arrears claimed then it could not be taken into consideration in the final award and therefore it is argued that the final award of the rent board was ultra </w:t>
      </w:r>
      <w:proofErr w:type="spellStart"/>
      <w:r w:rsidRPr="00664C85">
        <w:rPr>
          <w:rFonts w:ascii="Times New Roman" w:hAnsi="Times New Roman" w:cs="Times New Roman"/>
          <w:i/>
          <w:sz w:val="24"/>
          <w:szCs w:val="24"/>
        </w:rPr>
        <w:t>petita</w:t>
      </w:r>
      <w:proofErr w:type="spellEnd"/>
      <w:r w:rsidRPr="00664C85">
        <w:rPr>
          <w:rFonts w:ascii="Times New Roman" w:hAnsi="Times New Roman" w:cs="Times New Roman"/>
          <w:i/>
          <w:sz w:val="24"/>
          <w:szCs w:val="24"/>
        </w:rPr>
        <w:t xml:space="preserve"> and therefore not legal. </w:t>
      </w:r>
    </w:p>
    <w:p w:rsidR="004F436D" w:rsidRPr="00664C85" w:rsidRDefault="004F436D" w:rsidP="00664C85">
      <w:pPr>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In </w:t>
      </w:r>
      <w:r w:rsidRPr="00F02886">
        <w:rPr>
          <w:rFonts w:ascii="Times New Roman" w:hAnsi="Times New Roman" w:cs="Times New Roman"/>
          <w:i/>
          <w:sz w:val="24"/>
          <w:szCs w:val="24"/>
          <w:u w:val="single"/>
        </w:rPr>
        <w:t xml:space="preserve">Diana Jean v Debora </w:t>
      </w:r>
      <w:proofErr w:type="spellStart"/>
      <w:r w:rsidRPr="00F02886">
        <w:rPr>
          <w:rFonts w:ascii="Times New Roman" w:hAnsi="Times New Roman" w:cs="Times New Roman"/>
          <w:i/>
          <w:sz w:val="24"/>
          <w:szCs w:val="24"/>
          <w:u w:val="single"/>
        </w:rPr>
        <w:t>Banane</w:t>
      </w:r>
      <w:proofErr w:type="spellEnd"/>
      <w:r w:rsidRPr="00F02886">
        <w:rPr>
          <w:rFonts w:ascii="Times New Roman" w:hAnsi="Times New Roman" w:cs="Times New Roman"/>
          <w:i/>
          <w:sz w:val="24"/>
          <w:szCs w:val="24"/>
          <w:u w:val="single"/>
        </w:rPr>
        <w:t xml:space="preserve"> SCA 19 of 2015</w:t>
      </w:r>
      <w:r w:rsidRPr="00664C85">
        <w:rPr>
          <w:rFonts w:ascii="Times New Roman" w:hAnsi="Times New Roman" w:cs="Times New Roman"/>
          <w:i/>
          <w:sz w:val="24"/>
          <w:szCs w:val="24"/>
        </w:rPr>
        <w:t xml:space="preserve"> the Court of Appeal said; “What is ultra </w:t>
      </w:r>
      <w:proofErr w:type="spellStart"/>
      <w:r w:rsidRPr="00664C85">
        <w:rPr>
          <w:rFonts w:ascii="Times New Roman" w:hAnsi="Times New Roman" w:cs="Times New Roman"/>
          <w:i/>
          <w:sz w:val="24"/>
          <w:szCs w:val="24"/>
        </w:rPr>
        <w:t>petita</w:t>
      </w:r>
      <w:proofErr w:type="spellEnd"/>
      <w:r w:rsidRPr="00664C85">
        <w:rPr>
          <w:rFonts w:ascii="Times New Roman" w:hAnsi="Times New Roman" w:cs="Times New Roman"/>
          <w:i/>
          <w:sz w:val="24"/>
          <w:szCs w:val="24"/>
        </w:rPr>
        <w:t xml:space="preserve">? It is an expression in Latin meaning “beyond that was sought”. </w:t>
      </w:r>
    </w:p>
    <w:p w:rsidR="004F436D" w:rsidRPr="00664C85" w:rsidRDefault="004F436D" w:rsidP="00F02886">
      <w:pPr>
        <w:pStyle w:val="ListParagraph"/>
        <w:numPr>
          <w:ilvl w:val="0"/>
          <w:numId w:val="8"/>
        </w:numPr>
        <w:spacing w:after="0" w:line="360" w:lineRule="auto"/>
        <w:ind w:left="1440" w:right="720" w:hanging="180"/>
        <w:jc w:val="both"/>
        <w:rPr>
          <w:rFonts w:ascii="Times New Roman" w:hAnsi="Times New Roman" w:cs="Times New Roman"/>
          <w:i/>
          <w:sz w:val="24"/>
          <w:szCs w:val="24"/>
        </w:rPr>
      </w:pPr>
      <w:r w:rsidRPr="00F02886">
        <w:rPr>
          <w:rFonts w:ascii="Times New Roman" w:hAnsi="Times New Roman" w:cs="Times New Roman"/>
          <w:i/>
          <w:sz w:val="24"/>
          <w:szCs w:val="24"/>
        </w:rPr>
        <w:t>In respect of grounds 2 and 3 of the appeal;</w:t>
      </w:r>
      <w:r w:rsidRPr="00664C85">
        <w:rPr>
          <w:rFonts w:ascii="Times New Roman" w:hAnsi="Times New Roman" w:cs="Times New Roman"/>
          <w:i/>
          <w:sz w:val="24"/>
          <w:szCs w:val="24"/>
        </w:rPr>
        <w:t xml:space="preserve"> following from paragraph 1 above there were exchanges between the parties where the lease agreement came to an end including a full breakdown of the dues outstanding given by the Appellant to the Respondent in a full break down letter which was never challenged. </w:t>
      </w:r>
    </w:p>
    <w:p w:rsidR="004F436D" w:rsidRPr="00664C85" w:rsidRDefault="004F436D" w:rsidP="00664C85">
      <w:pPr>
        <w:pStyle w:val="ListParagraph"/>
        <w:ind w:left="1440" w:right="720"/>
        <w:jc w:val="both"/>
        <w:rPr>
          <w:rFonts w:ascii="Times New Roman" w:hAnsi="Times New Roman" w:cs="Times New Roman"/>
          <w:i/>
          <w:sz w:val="24"/>
          <w:szCs w:val="24"/>
        </w:rPr>
      </w:pPr>
    </w:p>
    <w:p w:rsidR="004F436D" w:rsidRPr="00664C85" w:rsidRDefault="004F436D" w:rsidP="00664C85">
      <w:pPr>
        <w:pStyle w:val="ListParagraph"/>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No pleadings or documents were produced and there was no claim or dispute on the Tenants story that the deposit balance was taken from a previous lease deposit. In none of the documents produced is there any dispute or discussion that the tenant had a R45,000 deposit with the landlord and there was no counter offer or response to the tenants request to offset R45,000/- deposit against arrears of rent. </w:t>
      </w:r>
    </w:p>
    <w:p w:rsidR="004F436D" w:rsidRPr="00664C85" w:rsidRDefault="004F436D" w:rsidP="00664C85">
      <w:pPr>
        <w:pStyle w:val="ListParagraph"/>
        <w:ind w:left="1440" w:right="720"/>
        <w:jc w:val="both"/>
        <w:rPr>
          <w:rFonts w:ascii="Times New Roman" w:hAnsi="Times New Roman" w:cs="Times New Roman"/>
          <w:i/>
          <w:sz w:val="24"/>
          <w:szCs w:val="24"/>
        </w:rPr>
      </w:pPr>
    </w:p>
    <w:p w:rsidR="00F02886" w:rsidRDefault="004F436D" w:rsidP="00F02886">
      <w:pPr>
        <w:pStyle w:val="ListParagraph"/>
        <w:numPr>
          <w:ilvl w:val="0"/>
          <w:numId w:val="8"/>
        </w:numPr>
        <w:spacing w:after="0" w:line="360" w:lineRule="auto"/>
        <w:ind w:left="1440" w:right="720" w:hanging="180"/>
        <w:jc w:val="both"/>
        <w:rPr>
          <w:rFonts w:ascii="Times New Roman" w:hAnsi="Times New Roman" w:cs="Times New Roman"/>
          <w:i/>
          <w:sz w:val="24"/>
          <w:szCs w:val="24"/>
        </w:rPr>
      </w:pPr>
      <w:r w:rsidRPr="00664C85">
        <w:rPr>
          <w:rFonts w:ascii="Times New Roman" w:hAnsi="Times New Roman" w:cs="Times New Roman"/>
          <w:i/>
          <w:sz w:val="24"/>
          <w:szCs w:val="24"/>
        </w:rPr>
        <w:t>In respect of ground 5 of the Appeal the rent board failed to look at the company records of both parties which would have revealed the discrepancies of the of the figures claimed by the Respondent which main burden was on the Respondent as the entity bringing the claim, it should have had better records of its claims including a formal claim for an insufficient deposit being outstanding on their books.</w:t>
      </w:r>
    </w:p>
    <w:p w:rsidR="004F436D" w:rsidRPr="00664C85" w:rsidRDefault="004F436D" w:rsidP="00F02886">
      <w:pPr>
        <w:pStyle w:val="ListParagraph"/>
        <w:spacing w:after="0"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 </w:t>
      </w:r>
    </w:p>
    <w:p w:rsidR="004F436D" w:rsidRDefault="004F436D" w:rsidP="00F02886">
      <w:pPr>
        <w:pStyle w:val="ListParagraph"/>
        <w:numPr>
          <w:ilvl w:val="0"/>
          <w:numId w:val="8"/>
        </w:numPr>
        <w:spacing w:after="0" w:line="360" w:lineRule="auto"/>
        <w:ind w:left="1440" w:right="720" w:hanging="180"/>
        <w:jc w:val="both"/>
        <w:rPr>
          <w:rFonts w:ascii="Times New Roman" w:hAnsi="Times New Roman" w:cs="Times New Roman"/>
          <w:i/>
          <w:sz w:val="24"/>
          <w:szCs w:val="24"/>
        </w:rPr>
      </w:pPr>
      <w:r w:rsidRPr="00F02886">
        <w:rPr>
          <w:rFonts w:ascii="Times New Roman" w:hAnsi="Times New Roman" w:cs="Times New Roman"/>
          <w:i/>
          <w:sz w:val="24"/>
          <w:szCs w:val="24"/>
        </w:rPr>
        <w:t>In respect of ground of 6 of the Appeal</w:t>
      </w:r>
      <w:r w:rsidRPr="00664C85">
        <w:rPr>
          <w:rFonts w:ascii="Times New Roman" w:hAnsi="Times New Roman" w:cs="Times New Roman"/>
          <w:i/>
          <w:sz w:val="24"/>
          <w:szCs w:val="24"/>
        </w:rPr>
        <w:t xml:space="preserve"> following the previous grounds about records and insufficient deposit the issue of insufficient deposit was only brought up by the Respondent at the hearing giving the Appellant no chance to produce contradicting evidence except her oral explanations that the deposit from the previous rental of another house was used to set off against the new letting when one lease ended and the new on started. This makes perfect hence the complete absence of any mention of the insufficient deposit claim in any pleadings or amended pleadings of the Respondent. </w:t>
      </w:r>
    </w:p>
    <w:p w:rsidR="00F02886" w:rsidRPr="00F02886" w:rsidRDefault="00F02886" w:rsidP="00F02886">
      <w:pPr>
        <w:pStyle w:val="ListParagraph"/>
        <w:rPr>
          <w:rFonts w:ascii="Times New Roman" w:hAnsi="Times New Roman" w:cs="Times New Roman"/>
          <w:i/>
          <w:sz w:val="24"/>
          <w:szCs w:val="24"/>
        </w:rPr>
      </w:pPr>
    </w:p>
    <w:p w:rsidR="004F436D" w:rsidRPr="00664C85" w:rsidRDefault="004F436D" w:rsidP="00F02886">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In this case the insufficient deposit issue raised during the trial not pleaded and with insufficient notice to the Appellant to make a fair response meant the final order to use the insufficient deposit to set off against alleged unpaid rents was ultra </w:t>
      </w:r>
      <w:proofErr w:type="spellStart"/>
      <w:r w:rsidRPr="00664C85">
        <w:rPr>
          <w:rFonts w:ascii="Times New Roman" w:hAnsi="Times New Roman" w:cs="Times New Roman"/>
          <w:i/>
          <w:sz w:val="24"/>
          <w:szCs w:val="24"/>
        </w:rPr>
        <w:t>petita</w:t>
      </w:r>
      <w:proofErr w:type="spellEnd"/>
      <w:r w:rsidRPr="00664C85">
        <w:rPr>
          <w:rFonts w:ascii="Times New Roman" w:hAnsi="Times New Roman" w:cs="Times New Roman"/>
          <w:i/>
          <w:sz w:val="24"/>
          <w:szCs w:val="24"/>
        </w:rPr>
        <w:t xml:space="preserve"> and for that reason the rent board order should be set aside.</w:t>
      </w:r>
    </w:p>
    <w:p w:rsidR="004F436D" w:rsidRPr="00664C85" w:rsidRDefault="004F436D" w:rsidP="00F02886">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In the case of </w:t>
      </w:r>
      <w:r w:rsidRPr="00F02886">
        <w:rPr>
          <w:rFonts w:ascii="Times New Roman" w:hAnsi="Times New Roman" w:cs="Times New Roman"/>
          <w:i/>
          <w:sz w:val="24"/>
          <w:szCs w:val="24"/>
          <w:u w:val="single"/>
        </w:rPr>
        <w:t xml:space="preserve">Sara Jupiter v June </w:t>
      </w:r>
      <w:proofErr w:type="spellStart"/>
      <w:r w:rsidRPr="00F02886">
        <w:rPr>
          <w:rFonts w:ascii="Times New Roman" w:hAnsi="Times New Roman" w:cs="Times New Roman"/>
          <w:i/>
          <w:sz w:val="24"/>
          <w:szCs w:val="24"/>
          <w:u w:val="single"/>
        </w:rPr>
        <w:t>Tregarthen</w:t>
      </w:r>
      <w:proofErr w:type="spellEnd"/>
      <w:r w:rsidRPr="00F02886">
        <w:rPr>
          <w:rFonts w:ascii="Times New Roman" w:hAnsi="Times New Roman" w:cs="Times New Roman"/>
          <w:i/>
          <w:sz w:val="24"/>
          <w:szCs w:val="24"/>
          <w:u w:val="single"/>
        </w:rPr>
        <w:t xml:space="preserve"> CS93/2015</w:t>
      </w:r>
      <w:r w:rsidRPr="00664C85">
        <w:rPr>
          <w:rFonts w:ascii="Times New Roman" w:hAnsi="Times New Roman" w:cs="Times New Roman"/>
          <w:i/>
          <w:sz w:val="24"/>
          <w:szCs w:val="24"/>
        </w:rPr>
        <w:t xml:space="preserve"> the former Chief Justice Twomey explained the basis of proper pleadings when making a request before any adjudicating body said;</w:t>
      </w:r>
    </w:p>
    <w:p w:rsidR="004F436D" w:rsidRPr="00664C85" w:rsidRDefault="004F436D" w:rsidP="00F02886">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w:t>
      </w:r>
      <w:proofErr w:type="gramStart"/>
      <w:r w:rsidRPr="00664C85">
        <w:rPr>
          <w:rFonts w:ascii="Times New Roman" w:hAnsi="Times New Roman" w:cs="Times New Roman"/>
          <w:i/>
          <w:sz w:val="24"/>
          <w:szCs w:val="24"/>
        </w:rPr>
        <w:t>similarly</w:t>
      </w:r>
      <w:proofErr w:type="gramEnd"/>
      <w:r w:rsidRPr="00664C85">
        <w:rPr>
          <w:rFonts w:ascii="Times New Roman" w:hAnsi="Times New Roman" w:cs="Times New Roman"/>
          <w:i/>
          <w:sz w:val="24"/>
          <w:szCs w:val="24"/>
        </w:rPr>
        <w:t xml:space="preserve"> in </w:t>
      </w:r>
      <w:r w:rsidRPr="00F02886">
        <w:rPr>
          <w:rFonts w:ascii="Times New Roman" w:hAnsi="Times New Roman" w:cs="Times New Roman"/>
          <w:i/>
          <w:sz w:val="24"/>
          <w:szCs w:val="24"/>
          <w:u w:val="single"/>
        </w:rPr>
        <w:t xml:space="preserve">Tree Sword v </w:t>
      </w:r>
      <w:proofErr w:type="spellStart"/>
      <w:r w:rsidRPr="00F02886">
        <w:rPr>
          <w:rFonts w:ascii="Times New Roman" w:hAnsi="Times New Roman" w:cs="Times New Roman"/>
          <w:i/>
          <w:sz w:val="24"/>
          <w:szCs w:val="24"/>
          <w:u w:val="single"/>
        </w:rPr>
        <w:t>Pulciani</w:t>
      </w:r>
      <w:proofErr w:type="spellEnd"/>
      <w:r w:rsidRPr="00F02886">
        <w:rPr>
          <w:rFonts w:ascii="Times New Roman" w:hAnsi="Times New Roman" w:cs="Times New Roman"/>
          <w:i/>
          <w:sz w:val="24"/>
          <w:szCs w:val="24"/>
          <w:u w:val="single"/>
        </w:rPr>
        <w:t xml:space="preserve"> and </w:t>
      </w:r>
      <w:proofErr w:type="spellStart"/>
      <w:r w:rsidRPr="00F02886">
        <w:rPr>
          <w:rFonts w:ascii="Times New Roman" w:hAnsi="Times New Roman" w:cs="Times New Roman"/>
          <w:i/>
          <w:sz w:val="24"/>
          <w:szCs w:val="24"/>
          <w:u w:val="single"/>
        </w:rPr>
        <w:t>ors</w:t>
      </w:r>
      <w:proofErr w:type="spellEnd"/>
      <w:r w:rsidRPr="00F02886">
        <w:rPr>
          <w:rFonts w:ascii="Times New Roman" w:hAnsi="Times New Roman" w:cs="Times New Roman"/>
          <w:i/>
          <w:sz w:val="24"/>
          <w:szCs w:val="24"/>
          <w:u w:val="single"/>
        </w:rPr>
        <w:t xml:space="preserve"> [2016] SCCA 19</w:t>
      </w:r>
      <w:r w:rsidRPr="00664C85">
        <w:rPr>
          <w:rFonts w:ascii="Times New Roman" w:hAnsi="Times New Roman" w:cs="Times New Roman"/>
          <w:i/>
          <w:sz w:val="24"/>
          <w:szCs w:val="24"/>
        </w:rPr>
        <w:t>, the Court of Appeal explored the application of these procedural rules in Seychelles which find their origin from England and stated:</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r w:rsidRPr="00664C85">
        <w:rPr>
          <w:i/>
        </w:rPr>
        <w:t>[16]</w:t>
      </w:r>
      <w:proofErr w:type="gramStart"/>
      <w:r w:rsidRPr="00664C85">
        <w:rPr>
          <w:i/>
        </w:rPr>
        <w:t>  Rule</w:t>
      </w:r>
      <w:proofErr w:type="gramEnd"/>
      <w:r w:rsidRPr="00664C85">
        <w:rPr>
          <w:i/>
        </w:rPr>
        <w:t xml:space="preserve"> 13 of Order 18 of the Supreme Court Rules of England applicable at the time of Seychelles’ independence in 1976 provide that every pleading must contain necessary particulars of any claim. In explaining the function of the rule the following note is made:</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color w:val="333333"/>
        </w:rPr>
      </w:pPr>
    </w:p>
    <w:p w:rsidR="004F436D" w:rsidRPr="00664C85" w:rsidRDefault="00A028F7" w:rsidP="00664C85">
      <w:pPr>
        <w:pStyle w:val="rtejustify"/>
        <w:shd w:val="clear" w:color="auto" w:fill="FFFFFF"/>
        <w:spacing w:before="0" w:beforeAutospacing="0" w:after="0" w:afterAutospacing="0" w:line="360" w:lineRule="auto"/>
        <w:ind w:left="1440" w:right="720"/>
        <w:jc w:val="both"/>
        <w:textAlignment w:val="baseline"/>
        <w:rPr>
          <w:rStyle w:val="Emphasis"/>
          <w:bdr w:val="none" w:sz="0" w:space="0" w:color="auto" w:frame="1"/>
        </w:rPr>
      </w:pPr>
      <w:r>
        <w:rPr>
          <w:rStyle w:val="Emphasis"/>
          <w:bdr w:val="none" w:sz="0" w:space="0" w:color="auto" w:frame="1"/>
        </w:rPr>
        <w:t>‘</w:t>
      </w:r>
      <w:r w:rsidR="004F436D" w:rsidRPr="00664C85">
        <w:rPr>
          <w:rStyle w:val="Emphasis"/>
          <w:bdr w:val="none" w:sz="0" w:space="0" w:color="auto" w:frame="1"/>
        </w:rPr>
        <w:t>The function of the particulars is to carry into operation the overriding principle that the litigation between the parties, and particularly the trial, should be conducted fairly, openly and without surprises and incidentally to reduce costs... This function has been stated in various ways as follows:</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p>
    <w:p w:rsidR="004F436D" w:rsidRPr="00664C85" w:rsidRDefault="004F436D" w:rsidP="00664C85">
      <w:pPr>
        <w:pStyle w:val="rtejustify"/>
        <w:numPr>
          <w:ilvl w:val="0"/>
          <w:numId w:val="9"/>
        </w:numPr>
        <w:shd w:val="clear" w:color="auto" w:fill="FFFFFF"/>
        <w:spacing w:before="0" w:beforeAutospacing="0" w:after="0" w:afterAutospacing="0" w:line="360" w:lineRule="auto"/>
        <w:ind w:left="1440" w:right="720" w:firstLine="0"/>
        <w:jc w:val="both"/>
        <w:textAlignment w:val="baseline"/>
        <w:rPr>
          <w:rStyle w:val="Emphasis"/>
          <w:bdr w:val="none" w:sz="0" w:space="0" w:color="auto" w:frame="1"/>
        </w:rPr>
      </w:pPr>
      <w:r w:rsidRPr="00664C85">
        <w:rPr>
          <w:rStyle w:val="Emphasis"/>
          <w:bdr w:val="none" w:sz="0" w:space="0" w:color="auto" w:frame="1"/>
        </w:rPr>
        <w:t xml:space="preserve">to inform the other side of the nature of the case they have to meet as distinguished from the mode in which the case is to be proved (per Lindley L. J. in </w:t>
      </w:r>
      <w:r w:rsidRPr="00A028F7">
        <w:rPr>
          <w:rStyle w:val="Emphasis"/>
          <w:u w:val="single"/>
          <w:bdr w:val="none" w:sz="0" w:space="0" w:color="auto" w:frame="1"/>
        </w:rPr>
        <w:t>Duke v Wisden (1897)77 L.T. 67, 68</w:t>
      </w:r>
      <w:r w:rsidRPr="00664C85">
        <w:rPr>
          <w:rStyle w:val="Emphasis"/>
          <w:bdr w:val="none" w:sz="0" w:space="0" w:color="auto" w:frame="1"/>
        </w:rPr>
        <w:t xml:space="preserve">;... </w:t>
      </w:r>
      <w:r w:rsidRPr="00A028F7">
        <w:rPr>
          <w:rStyle w:val="Emphasis"/>
          <w:u w:val="single"/>
          <w:bdr w:val="none" w:sz="0" w:space="0" w:color="auto" w:frame="1"/>
        </w:rPr>
        <w:t xml:space="preserve">Aga Khan </w:t>
      </w:r>
      <w:proofErr w:type="gramStart"/>
      <w:r w:rsidRPr="00A028F7">
        <w:rPr>
          <w:rStyle w:val="Emphasis"/>
          <w:u w:val="single"/>
          <w:bdr w:val="none" w:sz="0" w:space="0" w:color="auto" w:frame="1"/>
        </w:rPr>
        <w:t>v</w:t>
      </w:r>
      <w:proofErr w:type="gramEnd"/>
      <w:r w:rsidRPr="00A028F7">
        <w:rPr>
          <w:rStyle w:val="Emphasis"/>
          <w:u w:val="single"/>
          <w:bdr w:val="none" w:sz="0" w:space="0" w:color="auto" w:frame="1"/>
        </w:rPr>
        <w:t xml:space="preserve"> Times Publishing Co. 91924) 1 KB 675, 679)</w:t>
      </w:r>
      <w:r w:rsidRPr="00664C85">
        <w:rPr>
          <w:rStyle w:val="Emphasis"/>
          <w:bdr w:val="none" w:sz="0" w:space="0" w:color="auto" w:frame="1"/>
        </w:rPr>
        <w:t>.</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p>
    <w:p w:rsidR="004F436D" w:rsidRPr="00664C85" w:rsidRDefault="004F436D" w:rsidP="00664C85">
      <w:pPr>
        <w:pStyle w:val="rtejustify"/>
        <w:numPr>
          <w:ilvl w:val="0"/>
          <w:numId w:val="9"/>
        </w:numPr>
        <w:shd w:val="clear" w:color="auto" w:fill="FFFFFF"/>
        <w:spacing w:before="0" w:beforeAutospacing="0" w:after="0" w:afterAutospacing="0" w:line="360" w:lineRule="auto"/>
        <w:ind w:left="1440" w:right="720" w:firstLine="0"/>
        <w:jc w:val="both"/>
        <w:textAlignment w:val="baseline"/>
        <w:rPr>
          <w:rStyle w:val="Emphasis"/>
          <w:bdr w:val="none" w:sz="0" w:space="0" w:color="auto" w:frame="1"/>
        </w:rPr>
      </w:pPr>
      <w:proofErr w:type="gramStart"/>
      <w:r w:rsidRPr="00664C85">
        <w:rPr>
          <w:rStyle w:val="Emphasis"/>
          <w:bdr w:val="none" w:sz="0" w:space="0" w:color="auto" w:frame="1"/>
        </w:rPr>
        <w:t>to</w:t>
      </w:r>
      <w:proofErr w:type="gramEnd"/>
      <w:r w:rsidRPr="00664C85">
        <w:rPr>
          <w:rStyle w:val="Emphasis"/>
          <w:bdr w:val="none" w:sz="0" w:space="0" w:color="auto" w:frame="1"/>
        </w:rPr>
        <w:t xml:space="preserve"> prevent the other side from being taken by surprise at the trial (per cotton LJ in </w:t>
      </w:r>
      <w:proofErr w:type="spellStart"/>
      <w:r w:rsidRPr="00A028F7">
        <w:rPr>
          <w:rStyle w:val="Emphasis"/>
          <w:u w:val="single"/>
          <w:bdr w:val="none" w:sz="0" w:space="0" w:color="auto" w:frame="1"/>
        </w:rPr>
        <w:t>Spedding</w:t>
      </w:r>
      <w:proofErr w:type="spellEnd"/>
      <w:r w:rsidRPr="00A028F7">
        <w:rPr>
          <w:rStyle w:val="Emphasis"/>
          <w:u w:val="single"/>
          <w:bdr w:val="none" w:sz="0" w:space="0" w:color="auto" w:frame="1"/>
        </w:rPr>
        <w:t xml:space="preserve"> v Fitzpatrick (1888) 38 Ch. d. 410</w:t>
      </w:r>
      <w:r w:rsidRPr="00664C85">
        <w:rPr>
          <w:rStyle w:val="Emphasis"/>
          <w:bdr w:val="none" w:sz="0" w:space="0" w:color="auto" w:frame="1"/>
        </w:rPr>
        <w:t>...).</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p>
    <w:p w:rsidR="004F436D" w:rsidRPr="00664C85" w:rsidRDefault="004F436D" w:rsidP="00664C85">
      <w:pPr>
        <w:pStyle w:val="rtejustify"/>
        <w:numPr>
          <w:ilvl w:val="0"/>
          <w:numId w:val="9"/>
        </w:numPr>
        <w:shd w:val="clear" w:color="auto" w:fill="FFFFFF"/>
        <w:spacing w:before="0" w:beforeAutospacing="0" w:after="0" w:afterAutospacing="0" w:line="360" w:lineRule="auto"/>
        <w:ind w:left="1440" w:right="720" w:firstLine="0"/>
        <w:jc w:val="both"/>
        <w:textAlignment w:val="baseline"/>
        <w:rPr>
          <w:i/>
        </w:rPr>
      </w:pPr>
      <w:proofErr w:type="gramStart"/>
      <w:r w:rsidRPr="00664C85">
        <w:rPr>
          <w:rStyle w:val="Emphasis"/>
          <w:bdr w:val="none" w:sz="0" w:space="0" w:color="auto" w:frame="1"/>
        </w:rPr>
        <w:t>to</w:t>
      </w:r>
      <w:proofErr w:type="gramEnd"/>
      <w:r w:rsidRPr="00664C85">
        <w:rPr>
          <w:rStyle w:val="Emphasis"/>
          <w:bdr w:val="none" w:sz="0" w:space="0" w:color="auto" w:frame="1"/>
        </w:rPr>
        <w:t xml:space="preserve"> enable the other side to know what evidence they ought to be prepared with and to prepare for trial per Cotton LJ. ibid,)….</w:t>
      </w:r>
      <w:r w:rsidRPr="00664C85">
        <w:rPr>
          <w:rStyle w:val="apple-converted-space"/>
          <w:i/>
        </w:rPr>
        <w:t> </w:t>
      </w:r>
      <w:r w:rsidRPr="00664C85">
        <w:rPr>
          <w:i/>
        </w:rPr>
        <w:t>(See Supreme Court Practice (Sweet and Maxwell 1991)18/12/12, 299).</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color w:val="333333"/>
        </w:rPr>
      </w:pP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r w:rsidRPr="00664C85">
        <w:rPr>
          <w:i/>
        </w:rPr>
        <w:t>[17]</w:t>
      </w:r>
      <w:proofErr w:type="gramStart"/>
      <w:r w:rsidRPr="00664C85">
        <w:rPr>
          <w:i/>
        </w:rPr>
        <w:t>  These</w:t>
      </w:r>
      <w:proofErr w:type="gramEnd"/>
      <w:r w:rsidRPr="00664C85">
        <w:rPr>
          <w:i/>
        </w:rPr>
        <w:t xml:space="preserve"> authorities are supported in Seychelles. In</w:t>
      </w:r>
      <w:r w:rsidRPr="00664C85">
        <w:rPr>
          <w:rStyle w:val="apple-converted-space"/>
          <w:i/>
        </w:rPr>
        <w:t> </w:t>
      </w:r>
      <w:proofErr w:type="spellStart"/>
      <w:r w:rsidRPr="00A028F7">
        <w:rPr>
          <w:rStyle w:val="Emphasis"/>
          <w:u w:val="single"/>
          <w:bdr w:val="none" w:sz="0" w:space="0" w:color="auto" w:frame="1"/>
        </w:rPr>
        <w:t>Gallante</w:t>
      </w:r>
      <w:proofErr w:type="spellEnd"/>
      <w:r w:rsidRPr="00A028F7">
        <w:rPr>
          <w:rStyle w:val="Emphasis"/>
          <w:u w:val="single"/>
          <w:bdr w:val="none" w:sz="0" w:space="0" w:color="auto" w:frame="1"/>
        </w:rPr>
        <w:t xml:space="preserve"> v </w:t>
      </w:r>
      <w:proofErr w:type="spellStart"/>
      <w:r w:rsidRPr="00A028F7">
        <w:rPr>
          <w:rStyle w:val="Emphasis"/>
          <w:u w:val="single"/>
          <w:bdr w:val="none" w:sz="0" w:space="0" w:color="auto" w:frame="1"/>
        </w:rPr>
        <w:t>Hoareau</w:t>
      </w:r>
      <w:proofErr w:type="spellEnd"/>
      <w:r w:rsidRPr="00A028F7">
        <w:rPr>
          <w:rStyle w:val="apple-converted-space"/>
          <w:i/>
          <w:u w:val="single"/>
        </w:rPr>
        <w:t> </w:t>
      </w:r>
      <w:r w:rsidRPr="00A028F7">
        <w:rPr>
          <w:i/>
          <w:u w:val="single"/>
        </w:rPr>
        <w:t>(1988) SLR 122</w:t>
      </w:r>
      <w:r w:rsidRPr="00664C85">
        <w:rPr>
          <w:i/>
        </w:rPr>
        <w:t>, G. G. D de Silva J stated:</w:t>
      </w:r>
    </w:p>
    <w:p w:rsidR="004F436D" w:rsidRPr="00664C85" w:rsidRDefault="004F436D" w:rsidP="00664C85">
      <w:pPr>
        <w:pStyle w:val="rtejustify"/>
        <w:shd w:val="clear" w:color="auto" w:fill="FFFFFF"/>
        <w:spacing w:before="0" w:beforeAutospacing="0" w:after="0" w:afterAutospacing="0" w:line="360" w:lineRule="auto"/>
        <w:ind w:left="1440" w:right="720"/>
        <w:jc w:val="both"/>
        <w:textAlignment w:val="baseline"/>
        <w:rPr>
          <w:i/>
        </w:rPr>
      </w:pPr>
    </w:p>
    <w:p w:rsidR="004F436D" w:rsidRPr="00664C85" w:rsidRDefault="00A028F7" w:rsidP="00664C85">
      <w:pPr>
        <w:pStyle w:val="rtejustify"/>
        <w:shd w:val="clear" w:color="auto" w:fill="FFFFFF"/>
        <w:spacing w:before="0" w:beforeAutospacing="0" w:after="0" w:afterAutospacing="0" w:line="360" w:lineRule="auto"/>
        <w:ind w:left="1440" w:right="720"/>
        <w:jc w:val="both"/>
        <w:textAlignment w:val="baseline"/>
        <w:rPr>
          <w:i/>
        </w:rPr>
      </w:pPr>
      <w:r>
        <w:rPr>
          <w:rStyle w:val="Emphasis"/>
          <w:bdr w:val="none" w:sz="0" w:space="0" w:color="auto" w:frame="1"/>
        </w:rPr>
        <w:t>“</w:t>
      </w:r>
      <w:r w:rsidR="004F436D" w:rsidRPr="00664C85">
        <w:rPr>
          <w:rStyle w:val="Emphasis"/>
          <w:bdr w:val="none" w:sz="0" w:space="0" w:color="auto" w:frame="1"/>
        </w:rPr>
        <w:t>The function of pleadings is to give fair notice of the case which has to be met and to define the issues upon which the court will have to adjudicate in order to determine the matters in dispute between the parties.</w:t>
      </w:r>
      <w:r>
        <w:rPr>
          <w:rStyle w:val="Emphasis"/>
          <w:bdr w:val="none" w:sz="0" w:space="0" w:color="auto" w:frame="1"/>
        </w:rPr>
        <w:t>”</w:t>
      </w:r>
    </w:p>
    <w:p w:rsidR="004F436D" w:rsidRPr="00664C85" w:rsidRDefault="004F436D" w:rsidP="00664C85">
      <w:pPr>
        <w:ind w:left="1440" w:right="720"/>
        <w:jc w:val="both"/>
        <w:rPr>
          <w:rFonts w:ascii="Times New Roman" w:hAnsi="Times New Roman" w:cs="Times New Roman"/>
          <w:i/>
          <w:sz w:val="24"/>
          <w:szCs w:val="24"/>
        </w:rPr>
      </w:pPr>
    </w:p>
    <w:p w:rsidR="004F436D" w:rsidRPr="00664C85" w:rsidRDefault="004F436D" w:rsidP="00A028F7">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In addition to these clearly enunciated principles of pleadings, there is also jurisprudence </w:t>
      </w:r>
      <w:proofErr w:type="spellStart"/>
      <w:r w:rsidRPr="00664C85">
        <w:rPr>
          <w:rFonts w:ascii="Times New Roman" w:hAnsi="Times New Roman" w:cs="Times New Roman"/>
          <w:i/>
          <w:sz w:val="24"/>
          <w:szCs w:val="24"/>
        </w:rPr>
        <w:t>constante</w:t>
      </w:r>
      <w:proofErr w:type="spellEnd"/>
      <w:r w:rsidRPr="00664C85">
        <w:rPr>
          <w:rFonts w:ascii="Times New Roman" w:hAnsi="Times New Roman" w:cs="Times New Roman"/>
          <w:i/>
          <w:sz w:val="24"/>
          <w:szCs w:val="24"/>
        </w:rPr>
        <w:t xml:space="preserve"> in Seychelles that a Court will not formulate a case for parties and that their pleadings must disclose all the facts, which they intend to bring in evidence at trial. </w:t>
      </w:r>
      <w:proofErr w:type="spellStart"/>
      <w:r w:rsidRPr="00A028F7">
        <w:rPr>
          <w:rFonts w:ascii="Times New Roman" w:hAnsi="Times New Roman" w:cs="Times New Roman"/>
          <w:i/>
          <w:sz w:val="24"/>
          <w:szCs w:val="24"/>
          <w:u w:val="single"/>
        </w:rPr>
        <w:t>Tirant</w:t>
      </w:r>
      <w:proofErr w:type="spellEnd"/>
      <w:r w:rsidRPr="00A028F7">
        <w:rPr>
          <w:rFonts w:ascii="Times New Roman" w:hAnsi="Times New Roman" w:cs="Times New Roman"/>
          <w:i/>
          <w:sz w:val="24"/>
          <w:szCs w:val="24"/>
          <w:u w:val="single"/>
        </w:rPr>
        <w:t xml:space="preserve"> v </w:t>
      </w:r>
      <w:proofErr w:type="spellStart"/>
      <w:r w:rsidRPr="00A028F7">
        <w:rPr>
          <w:rFonts w:ascii="Times New Roman" w:hAnsi="Times New Roman" w:cs="Times New Roman"/>
          <w:i/>
          <w:sz w:val="24"/>
          <w:szCs w:val="24"/>
          <w:u w:val="single"/>
        </w:rPr>
        <w:t>Banane</w:t>
      </w:r>
      <w:proofErr w:type="spellEnd"/>
      <w:r w:rsidRPr="00664C85">
        <w:rPr>
          <w:rFonts w:ascii="Times New Roman" w:hAnsi="Times New Roman" w:cs="Times New Roman"/>
          <w:i/>
          <w:sz w:val="24"/>
          <w:szCs w:val="24"/>
        </w:rPr>
        <w:t xml:space="preserve"> (supra) is authority that all facts to be relied on at trial have to be pleaded so that both parties and the Court are made fully aware of all issues between the parties. It was followed in </w:t>
      </w:r>
      <w:proofErr w:type="spellStart"/>
      <w:r w:rsidRPr="00A028F7">
        <w:rPr>
          <w:rFonts w:ascii="Times New Roman" w:hAnsi="Times New Roman" w:cs="Times New Roman"/>
          <w:i/>
          <w:sz w:val="24"/>
          <w:szCs w:val="24"/>
          <w:u w:val="single"/>
        </w:rPr>
        <w:t>Sophola</w:t>
      </w:r>
      <w:proofErr w:type="spellEnd"/>
      <w:r w:rsidRPr="00A028F7">
        <w:rPr>
          <w:rFonts w:ascii="Times New Roman" w:hAnsi="Times New Roman" w:cs="Times New Roman"/>
          <w:i/>
          <w:sz w:val="24"/>
          <w:szCs w:val="24"/>
          <w:u w:val="single"/>
        </w:rPr>
        <w:t xml:space="preserve"> v </w:t>
      </w:r>
      <w:proofErr w:type="spellStart"/>
      <w:r w:rsidRPr="00A028F7">
        <w:rPr>
          <w:rFonts w:ascii="Times New Roman" w:hAnsi="Times New Roman" w:cs="Times New Roman"/>
          <w:i/>
          <w:sz w:val="24"/>
          <w:szCs w:val="24"/>
          <w:u w:val="single"/>
        </w:rPr>
        <w:t>Desaubin</w:t>
      </w:r>
      <w:proofErr w:type="spellEnd"/>
      <w:r w:rsidRPr="00A028F7">
        <w:rPr>
          <w:rFonts w:ascii="Times New Roman" w:hAnsi="Times New Roman" w:cs="Times New Roman"/>
          <w:i/>
          <w:sz w:val="24"/>
          <w:szCs w:val="24"/>
          <w:u w:val="single"/>
        </w:rPr>
        <w:t xml:space="preserve"> SCA 13 of 1987</w:t>
      </w:r>
      <w:r w:rsidRPr="00664C85">
        <w:rPr>
          <w:rFonts w:ascii="Times New Roman" w:hAnsi="Times New Roman" w:cs="Times New Roman"/>
          <w:i/>
          <w:sz w:val="24"/>
          <w:szCs w:val="24"/>
        </w:rPr>
        <w:t xml:space="preserve">; </w:t>
      </w:r>
      <w:r w:rsidRPr="00A028F7">
        <w:rPr>
          <w:rFonts w:ascii="Times New Roman" w:hAnsi="Times New Roman" w:cs="Times New Roman"/>
          <w:i/>
          <w:sz w:val="24"/>
          <w:szCs w:val="24"/>
          <w:u w:val="single"/>
        </w:rPr>
        <w:t>Confait v Mathurin  SCA 39 of 1994</w:t>
      </w:r>
      <w:r w:rsidRPr="00664C85">
        <w:rPr>
          <w:rFonts w:ascii="Times New Roman" w:hAnsi="Times New Roman" w:cs="Times New Roman"/>
          <w:i/>
          <w:sz w:val="24"/>
          <w:szCs w:val="24"/>
        </w:rPr>
        <w:t xml:space="preserve">; </w:t>
      </w:r>
      <w:r w:rsidRPr="00A028F7">
        <w:rPr>
          <w:rFonts w:ascii="Times New Roman" w:hAnsi="Times New Roman" w:cs="Times New Roman"/>
          <w:i/>
          <w:sz w:val="24"/>
          <w:szCs w:val="24"/>
          <w:u w:val="single"/>
        </w:rPr>
        <w:t>Equator Hotel v Minister of Employment and Social Affairs SCA 8 of 1997</w:t>
      </w:r>
      <w:r w:rsidRPr="00664C85">
        <w:rPr>
          <w:rFonts w:ascii="Times New Roman" w:hAnsi="Times New Roman" w:cs="Times New Roman"/>
          <w:i/>
          <w:sz w:val="24"/>
          <w:szCs w:val="24"/>
        </w:rPr>
        <w:t xml:space="preserve">; </w:t>
      </w:r>
      <w:proofErr w:type="spellStart"/>
      <w:r w:rsidRPr="00A028F7">
        <w:rPr>
          <w:rFonts w:ascii="Times New Roman" w:hAnsi="Times New Roman" w:cs="Times New Roman"/>
          <w:i/>
          <w:sz w:val="24"/>
          <w:szCs w:val="24"/>
          <w:u w:val="single"/>
        </w:rPr>
        <w:t>Verlacque</w:t>
      </w:r>
      <w:proofErr w:type="spellEnd"/>
      <w:r w:rsidRPr="00A028F7">
        <w:rPr>
          <w:rFonts w:ascii="Times New Roman" w:hAnsi="Times New Roman" w:cs="Times New Roman"/>
          <w:i/>
          <w:sz w:val="24"/>
          <w:szCs w:val="24"/>
          <w:u w:val="single"/>
        </w:rPr>
        <w:t xml:space="preserve"> v Government of Seychelles SCA 8 of 2000</w:t>
      </w:r>
      <w:r w:rsidRPr="00664C85">
        <w:rPr>
          <w:rFonts w:ascii="Times New Roman" w:hAnsi="Times New Roman" w:cs="Times New Roman"/>
          <w:i/>
          <w:sz w:val="24"/>
          <w:szCs w:val="24"/>
        </w:rPr>
        <w:t xml:space="preserve">; </w:t>
      </w:r>
      <w:r w:rsidRPr="00A028F7">
        <w:rPr>
          <w:rFonts w:ascii="Times New Roman" w:hAnsi="Times New Roman" w:cs="Times New Roman"/>
          <w:i/>
          <w:sz w:val="24"/>
          <w:szCs w:val="24"/>
          <w:u w:val="single"/>
        </w:rPr>
        <w:t>Barbe v Hoareau SCA 5 of 2001</w:t>
      </w:r>
      <w:r w:rsidRPr="00664C85">
        <w:rPr>
          <w:rFonts w:ascii="Times New Roman" w:hAnsi="Times New Roman" w:cs="Times New Roman"/>
          <w:i/>
          <w:sz w:val="24"/>
          <w:szCs w:val="24"/>
        </w:rPr>
        <w:t xml:space="preserve"> ; </w:t>
      </w:r>
      <w:r w:rsidRPr="00A028F7">
        <w:rPr>
          <w:rFonts w:ascii="Times New Roman" w:hAnsi="Times New Roman" w:cs="Times New Roman"/>
          <w:i/>
          <w:sz w:val="24"/>
          <w:szCs w:val="24"/>
          <w:u w:val="single"/>
        </w:rPr>
        <w:t>Gill v Gill SCA 4 of 2004</w:t>
      </w:r>
      <w:r w:rsidRPr="00664C85">
        <w:rPr>
          <w:rFonts w:ascii="Times New Roman" w:hAnsi="Times New Roman" w:cs="Times New Roman"/>
          <w:i/>
          <w:sz w:val="24"/>
          <w:szCs w:val="24"/>
        </w:rPr>
        <w:t>.</w:t>
      </w:r>
    </w:p>
    <w:p w:rsidR="004F436D" w:rsidRPr="00664C85" w:rsidRDefault="004F436D" w:rsidP="00A028F7">
      <w:pPr>
        <w:spacing w:line="360" w:lineRule="auto"/>
        <w:ind w:left="1440" w:right="720"/>
        <w:jc w:val="both"/>
        <w:rPr>
          <w:rFonts w:ascii="Times New Roman" w:hAnsi="Times New Roman" w:cs="Times New Roman"/>
          <w:i/>
          <w:sz w:val="24"/>
          <w:szCs w:val="24"/>
        </w:rPr>
      </w:pPr>
    </w:p>
    <w:p w:rsidR="004F436D" w:rsidRPr="00664C85" w:rsidRDefault="004F436D" w:rsidP="00A028F7">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 xml:space="preserve">In </w:t>
      </w:r>
      <w:proofErr w:type="spellStart"/>
      <w:r w:rsidRPr="00A028F7">
        <w:rPr>
          <w:rFonts w:ascii="Times New Roman" w:hAnsi="Times New Roman" w:cs="Times New Roman"/>
          <w:i/>
          <w:sz w:val="24"/>
          <w:szCs w:val="24"/>
          <w:u w:val="single"/>
        </w:rPr>
        <w:t>Vandange</w:t>
      </w:r>
      <w:proofErr w:type="spellEnd"/>
      <w:r w:rsidRPr="00A028F7">
        <w:rPr>
          <w:rFonts w:ascii="Times New Roman" w:hAnsi="Times New Roman" w:cs="Times New Roman"/>
          <w:i/>
          <w:sz w:val="24"/>
          <w:szCs w:val="24"/>
          <w:u w:val="single"/>
        </w:rPr>
        <w:t xml:space="preserve"> Plant Hire Ltd v Camille 2015 SCCA 17</w:t>
      </w:r>
      <w:r w:rsidRPr="00664C85">
        <w:rPr>
          <w:rFonts w:ascii="Times New Roman" w:hAnsi="Times New Roman" w:cs="Times New Roman"/>
          <w:i/>
          <w:sz w:val="24"/>
          <w:szCs w:val="24"/>
        </w:rPr>
        <w:t>, the Court of Appeal reiterated that:</w:t>
      </w:r>
    </w:p>
    <w:p w:rsidR="004F436D" w:rsidRPr="00664C85" w:rsidRDefault="004F436D" w:rsidP="00A028F7">
      <w:pPr>
        <w:spacing w:line="360" w:lineRule="auto"/>
        <w:ind w:left="1440" w:right="720"/>
        <w:jc w:val="both"/>
        <w:rPr>
          <w:rFonts w:ascii="Times New Roman" w:hAnsi="Times New Roman" w:cs="Times New Roman"/>
          <w:i/>
          <w:sz w:val="24"/>
          <w:szCs w:val="24"/>
        </w:rPr>
      </w:pPr>
      <w:r w:rsidRPr="00664C85">
        <w:rPr>
          <w:rFonts w:ascii="Times New Roman" w:hAnsi="Times New Roman" w:cs="Times New Roman"/>
          <w:i/>
          <w:sz w:val="24"/>
          <w:szCs w:val="24"/>
        </w:rPr>
        <w:t>“in terms of procedure and pleadings, the rule bears no repetition that parties are bound by their pleadings and that they may not ask nor can the Court grant any relief which goes beyond the four corners of the Plaint and the pleadings. Nor may it consider any issue any more than grant a remedy flowing from that issue when that issue was not joined by the parties in the first place”</w:t>
      </w:r>
      <w:r w:rsidR="00A028F7">
        <w:rPr>
          <w:rFonts w:ascii="Times New Roman" w:hAnsi="Times New Roman" w:cs="Times New Roman"/>
          <w:i/>
          <w:sz w:val="24"/>
          <w:szCs w:val="24"/>
        </w:rPr>
        <w:t>. [Sic]</w:t>
      </w:r>
    </w:p>
    <w:p w:rsidR="004F436D" w:rsidRPr="00AE3D71" w:rsidRDefault="00A028F7" w:rsidP="004F436D">
      <w:pPr>
        <w:pStyle w:val="JudgmentText"/>
        <w:tabs>
          <w:tab w:val="clear" w:pos="360"/>
        </w:tabs>
        <w:ind w:hanging="720"/>
      </w:pPr>
      <w:r>
        <w:t>Learned counsel for the Respondent made the following submission:</w:t>
      </w:r>
    </w:p>
    <w:p w:rsidR="004F436D" w:rsidRPr="00A028F7" w:rsidRDefault="004F436D" w:rsidP="00A028F7">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 xml:space="preserve">In grounds 1 to 4 of the notice of appeal the appellant has raised the issue of ultra </w:t>
      </w:r>
      <w:proofErr w:type="spellStart"/>
      <w:r w:rsidRPr="00A028F7">
        <w:rPr>
          <w:rFonts w:ascii="Times New Roman" w:hAnsi="Times New Roman" w:cs="Times New Roman"/>
          <w:i/>
          <w:sz w:val="24"/>
          <w:szCs w:val="24"/>
        </w:rPr>
        <w:t>petita</w:t>
      </w:r>
      <w:proofErr w:type="spellEnd"/>
      <w:r w:rsidRPr="00A028F7">
        <w:rPr>
          <w:rFonts w:ascii="Times New Roman" w:hAnsi="Times New Roman" w:cs="Times New Roman"/>
          <w:i/>
          <w:sz w:val="24"/>
          <w:szCs w:val="24"/>
        </w:rPr>
        <w:t xml:space="preserve">. The respondent submits that the appellant is not permitted to raise new points on appeal which was not raised in the court below. The ultra </w:t>
      </w:r>
      <w:proofErr w:type="spellStart"/>
      <w:r w:rsidRPr="00A028F7">
        <w:rPr>
          <w:rFonts w:ascii="Times New Roman" w:hAnsi="Times New Roman" w:cs="Times New Roman"/>
          <w:i/>
          <w:sz w:val="24"/>
          <w:szCs w:val="24"/>
        </w:rPr>
        <w:t>petita</w:t>
      </w:r>
      <w:proofErr w:type="spellEnd"/>
      <w:r w:rsidRPr="00A028F7">
        <w:rPr>
          <w:rFonts w:ascii="Times New Roman" w:hAnsi="Times New Roman" w:cs="Times New Roman"/>
          <w:i/>
          <w:sz w:val="24"/>
          <w:szCs w:val="24"/>
        </w:rPr>
        <w:t xml:space="preserve"> issue was not raised in the court below nor adjudicated upon. With respect, it cannot be raised here for the first time as a notice of appeal is supposed to point out where the presiding judge erred either in law or in fact or both. It is trite law that the appellate court will not interfere with the judgment of a lower court unless the appellant is able to show the court that the lower c</w:t>
      </w:r>
      <w:r w:rsidR="001155F4">
        <w:rPr>
          <w:rFonts w:ascii="Times New Roman" w:hAnsi="Times New Roman" w:cs="Times New Roman"/>
          <w:i/>
          <w:sz w:val="24"/>
          <w:szCs w:val="24"/>
        </w:rPr>
        <w:t>o</w:t>
      </w:r>
      <w:r w:rsidRPr="00A028F7">
        <w:rPr>
          <w:rFonts w:ascii="Times New Roman" w:hAnsi="Times New Roman" w:cs="Times New Roman"/>
          <w:i/>
          <w:sz w:val="24"/>
          <w:szCs w:val="24"/>
        </w:rPr>
        <w:t>urt committed an error of law o</w:t>
      </w:r>
      <w:r w:rsidR="001155F4">
        <w:rPr>
          <w:rFonts w:ascii="Times New Roman" w:hAnsi="Times New Roman" w:cs="Times New Roman"/>
          <w:i/>
          <w:sz w:val="24"/>
          <w:szCs w:val="24"/>
        </w:rPr>
        <w:t>r</w:t>
      </w:r>
      <w:r w:rsidRPr="00A028F7">
        <w:rPr>
          <w:rFonts w:ascii="Times New Roman" w:hAnsi="Times New Roman" w:cs="Times New Roman"/>
          <w:i/>
          <w:sz w:val="24"/>
          <w:szCs w:val="24"/>
        </w:rPr>
        <w:t xml:space="preserve"> fact or both to </w:t>
      </w:r>
      <w:proofErr w:type="gramStart"/>
      <w:r w:rsidRPr="00A028F7">
        <w:rPr>
          <w:rFonts w:ascii="Times New Roman" w:hAnsi="Times New Roman" w:cs="Times New Roman"/>
          <w:i/>
          <w:sz w:val="24"/>
          <w:szCs w:val="24"/>
        </w:rPr>
        <w:t>justify  a</w:t>
      </w:r>
      <w:proofErr w:type="gramEnd"/>
      <w:r w:rsidRPr="00A028F7">
        <w:rPr>
          <w:rFonts w:ascii="Times New Roman" w:hAnsi="Times New Roman" w:cs="Times New Roman"/>
          <w:i/>
          <w:sz w:val="24"/>
          <w:szCs w:val="24"/>
        </w:rPr>
        <w:t xml:space="preserve"> reversal of the judgment of the lower court.</w:t>
      </w:r>
    </w:p>
    <w:p w:rsidR="004F436D" w:rsidRPr="00A028F7" w:rsidRDefault="004F436D" w:rsidP="00A028F7">
      <w:pPr>
        <w:pStyle w:val="ListParagraph"/>
        <w:spacing w:after="0" w:line="360" w:lineRule="auto"/>
        <w:ind w:left="1440" w:right="720"/>
        <w:jc w:val="both"/>
        <w:rPr>
          <w:rFonts w:ascii="Times New Roman" w:hAnsi="Times New Roman" w:cs="Times New Roman"/>
          <w:i/>
          <w:sz w:val="24"/>
          <w:szCs w:val="24"/>
        </w:rPr>
      </w:pPr>
    </w:p>
    <w:p w:rsidR="004F436D" w:rsidRPr="00A028F7" w:rsidRDefault="004F436D" w:rsidP="001155F4">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 xml:space="preserve">In Malawi, the Court, in the case of </w:t>
      </w:r>
      <w:proofErr w:type="spellStart"/>
      <w:r w:rsidRPr="001155F4">
        <w:rPr>
          <w:rFonts w:ascii="Times New Roman" w:hAnsi="Times New Roman" w:cs="Times New Roman"/>
          <w:i/>
          <w:sz w:val="24"/>
          <w:szCs w:val="24"/>
          <w:u w:val="single"/>
        </w:rPr>
        <w:t>Kumalakwaanthu</w:t>
      </w:r>
      <w:proofErr w:type="spellEnd"/>
      <w:r w:rsidRPr="001155F4">
        <w:rPr>
          <w:rFonts w:ascii="Times New Roman" w:hAnsi="Times New Roman" w:cs="Times New Roman"/>
          <w:i/>
          <w:sz w:val="24"/>
          <w:szCs w:val="24"/>
          <w:u w:val="single"/>
        </w:rPr>
        <w:t xml:space="preserve"> t/</w:t>
      </w:r>
      <w:proofErr w:type="gramStart"/>
      <w:r w:rsidRPr="001155F4">
        <w:rPr>
          <w:rFonts w:ascii="Times New Roman" w:hAnsi="Times New Roman" w:cs="Times New Roman"/>
          <w:i/>
          <w:sz w:val="24"/>
          <w:szCs w:val="24"/>
          <w:u w:val="single"/>
        </w:rPr>
        <w:t>a</w:t>
      </w:r>
      <w:proofErr w:type="gramEnd"/>
      <w:r w:rsidRPr="001155F4">
        <w:rPr>
          <w:rFonts w:ascii="Times New Roman" w:hAnsi="Times New Roman" w:cs="Times New Roman"/>
          <w:i/>
          <w:sz w:val="24"/>
          <w:szCs w:val="24"/>
          <w:u w:val="single"/>
        </w:rPr>
        <w:t xml:space="preserve"> Accurate Tiles and Building Centre v </w:t>
      </w:r>
      <w:proofErr w:type="spellStart"/>
      <w:r w:rsidRPr="001155F4">
        <w:rPr>
          <w:rFonts w:ascii="Times New Roman" w:hAnsi="Times New Roman" w:cs="Times New Roman"/>
          <w:i/>
          <w:sz w:val="24"/>
          <w:szCs w:val="24"/>
          <w:u w:val="single"/>
        </w:rPr>
        <w:t>Manica</w:t>
      </w:r>
      <w:proofErr w:type="spellEnd"/>
      <w:r w:rsidRPr="001155F4">
        <w:rPr>
          <w:rFonts w:ascii="Times New Roman" w:hAnsi="Times New Roman" w:cs="Times New Roman"/>
          <w:i/>
          <w:sz w:val="24"/>
          <w:szCs w:val="24"/>
          <w:u w:val="single"/>
        </w:rPr>
        <w:t xml:space="preserve"> Malawi Ltd (Civil Appeal No. 57 of 2014)</w:t>
      </w:r>
      <w:r w:rsidRPr="00A028F7">
        <w:rPr>
          <w:rFonts w:ascii="Times New Roman" w:hAnsi="Times New Roman" w:cs="Times New Roman"/>
          <w:i/>
          <w:sz w:val="24"/>
          <w:szCs w:val="24"/>
        </w:rPr>
        <w:t xml:space="preserve"> </w:t>
      </w:r>
      <w:r w:rsidRPr="001155F4">
        <w:rPr>
          <w:rFonts w:ascii="Times New Roman" w:hAnsi="Times New Roman" w:cs="Times New Roman"/>
          <w:i/>
          <w:sz w:val="24"/>
          <w:szCs w:val="24"/>
          <w:u w:val="single"/>
        </w:rPr>
        <w:t>(2015) MWSC</w:t>
      </w:r>
      <w:r w:rsidRPr="00A028F7">
        <w:rPr>
          <w:rFonts w:ascii="Times New Roman" w:hAnsi="Times New Roman" w:cs="Times New Roman"/>
          <w:i/>
          <w:sz w:val="24"/>
          <w:szCs w:val="24"/>
        </w:rPr>
        <w:t>, had to deal among other issues with whether the Court of Appeal could deal with an issue not raised on appeal. The majority found that despite being empowered to deal with the issue under the rules, the correct approach was one of restraint, particularly when the issues are not raised by the parties.</w:t>
      </w:r>
    </w:p>
    <w:p w:rsidR="004F436D" w:rsidRPr="00A028F7" w:rsidRDefault="004F436D" w:rsidP="00A028F7">
      <w:pPr>
        <w:pStyle w:val="ListParagraph"/>
        <w:ind w:left="1440" w:right="720"/>
        <w:rPr>
          <w:rFonts w:ascii="Times New Roman" w:hAnsi="Times New Roman" w:cs="Times New Roman"/>
          <w:i/>
          <w:sz w:val="24"/>
          <w:szCs w:val="24"/>
        </w:rPr>
      </w:pPr>
    </w:p>
    <w:p w:rsidR="004F436D" w:rsidRPr="00A028F7" w:rsidRDefault="004F436D" w:rsidP="001155F4">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 xml:space="preserve">In the case of </w:t>
      </w:r>
      <w:proofErr w:type="spellStart"/>
      <w:r w:rsidR="001155F4" w:rsidRPr="001155F4">
        <w:rPr>
          <w:rFonts w:ascii="Times New Roman" w:hAnsi="Times New Roman" w:cs="Times New Roman"/>
          <w:i/>
          <w:sz w:val="24"/>
          <w:szCs w:val="24"/>
          <w:u w:val="single"/>
        </w:rPr>
        <w:t>Mullarkey</w:t>
      </w:r>
      <w:proofErr w:type="spellEnd"/>
      <w:r w:rsidR="001155F4" w:rsidRPr="001155F4">
        <w:rPr>
          <w:rFonts w:ascii="Times New Roman" w:hAnsi="Times New Roman" w:cs="Times New Roman"/>
          <w:i/>
          <w:sz w:val="24"/>
          <w:szCs w:val="24"/>
          <w:u w:val="single"/>
        </w:rPr>
        <w:t xml:space="preserve"> &amp; Anor v Broad England And Wales Court Of Appeal (Civil Division) (Jan 21, 2009)</w:t>
      </w:r>
      <w:r w:rsidR="001155F4" w:rsidRPr="00A028F7">
        <w:rPr>
          <w:rFonts w:ascii="Times New Roman" w:hAnsi="Times New Roman" w:cs="Times New Roman"/>
          <w:i/>
          <w:sz w:val="24"/>
          <w:szCs w:val="24"/>
        </w:rPr>
        <w:t xml:space="preserve"> </w:t>
      </w:r>
      <w:r w:rsidRPr="00A028F7">
        <w:rPr>
          <w:rFonts w:ascii="Times New Roman" w:hAnsi="Times New Roman" w:cs="Times New Roman"/>
          <w:i/>
          <w:sz w:val="24"/>
          <w:szCs w:val="24"/>
        </w:rPr>
        <w:t>the court held that:-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“The authority cited by Counsel in relation to the question whether a concession should be allowed to be withdrawn is </w:t>
      </w:r>
      <w:proofErr w:type="spellStart"/>
      <w:r w:rsidRPr="001155F4">
        <w:rPr>
          <w:rFonts w:ascii="Times New Roman" w:hAnsi="Times New Roman" w:cs="Times New Roman"/>
          <w:i/>
          <w:sz w:val="24"/>
          <w:szCs w:val="24"/>
          <w:u w:val="single"/>
        </w:rPr>
        <w:t>Pittalis</w:t>
      </w:r>
      <w:proofErr w:type="spellEnd"/>
      <w:r w:rsidRPr="001155F4">
        <w:rPr>
          <w:rFonts w:ascii="Times New Roman" w:hAnsi="Times New Roman" w:cs="Times New Roman"/>
          <w:i/>
          <w:sz w:val="24"/>
          <w:szCs w:val="24"/>
          <w:u w:val="single"/>
        </w:rPr>
        <w:t xml:space="preserve"> v. Grant [1989] 1 QB 605</w:t>
      </w:r>
      <w:r w:rsidRPr="00A028F7">
        <w:rPr>
          <w:rFonts w:ascii="Times New Roman" w:hAnsi="Times New Roman" w:cs="Times New Roman"/>
          <w:i/>
          <w:sz w:val="24"/>
          <w:szCs w:val="24"/>
        </w:rPr>
        <w:t xml:space="preserve">, in particular a passage in the judgment of </w:t>
      </w:r>
      <w:proofErr w:type="spellStart"/>
      <w:r w:rsidRPr="00A028F7">
        <w:rPr>
          <w:rFonts w:ascii="Times New Roman" w:hAnsi="Times New Roman" w:cs="Times New Roman"/>
          <w:i/>
          <w:sz w:val="24"/>
          <w:szCs w:val="24"/>
        </w:rPr>
        <w:t>Nourse</w:t>
      </w:r>
      <w:proofErr w:type="spellEnd"/>
      <w:r w:rsidRPr="00A028F7">
        <w:rPr>
          <w:rFonts w:ascii="Times New Roman" w:hAnsi="Times New Roman" w:cs="Times New Roman"/>
          <w:i/>
          <w:sz w:val="24"/>
          <w:szCs w:val="24"/>
        </w:rPr>
        <w:t xml:space="preserve"> LJ at page 611, as follows:</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"The stance which an appellate Court should take towards a point not raised at the trial is in general well settled: </w:t>
      </w:r>
      <w:proofErr w:type="spellStart"/>
      <w:r w:rsidRPr="001155F4">
        <w:rPr>
          <w:rFonts w:ascii="Times New Roman" w:hAnsi="Times New Roman" w:cs="Times New Roman"/>
          <w:i/>
          <w:sz w:val="24"/>
          <w:szCs w:val="24"/>
          <w:u w:val="single"/>
        </w:rPr>
        <w:t>Macdougall</w:t>
      </w:r>
      <w:proofErr w:type="spellEnd"/>
      <w:r w:rsidRPr="001155F4">
        <w:rPr>
          <w:rFonts w:ascii="Times New Roman" w:hAnsi="Times New Roman" w:cs="Times New Roman"/>
          <w:i/>
          <w:sz w:val="24"/>
          <w:szCs w:val="24"/>
          <w:u w:val="single"/>
        </w:rPr>
        <w:t xml:space="preserve"> v. Knight (1889) 14 App. </w:t>
      </w:r>
      <w:proofErr w:type="spellStart"/>
      <w:proofErr w:type="gramStart"/>
      <w:r w:rsidRPr="001155F4">
        <w:rPr>
          <w:rFonts w:ascii="Times New Roman" w:hAnsi="Times New Roman" w:cs="Times New Roman"/>
          <w:i/>
          <w:sz w:val="24"/>
          <w:szCs w:val="24"/>
          <w:u w:val="single"/>
        </w:rPr>
        <w:t>Cas</w:t>
      </w:r>
      <w:proofErr w:type="spellEnd"/>
      <w:proofErr w:type="gramEnd"/>
      <w:r w:rsidRPr="001155F4">
        <w:rPr>
          <w:rFonts w:ascii="Times New Roman" w:hAnsi="Times New Roman" w:cs="Times New Roman"/>
          <w:i/>
          <w:sz w:val="24"/>
          <w:szCs w:val="24"/>
          <w:u w:val="single"/>
        </w:rPr>
        <w:t xml:space="preserve">. 194 and </w:t>
      </w:r>
      <w:proofErr w:type="gramStart"/>
      <w:r w:rsidRPr="001155F4">
        <w:rPr>
          <w:rFonts w:ascii="Times New Roman" w:hAnsi="Times New Roman" w:cs="Times New Roman"/>
          <w:i/>
          <w:sz w:val="24"/>
          <w:szCs w:val="24"/>
          <w:u w:val="single"/>
        </w:rPr>
        <w:t>The</w:t>
      </w:r>
      <w:proofErr w:type="gramEnd"/>
      <w:r w:rsidRPr="001155F4">
        <w:rPr>
          <w:rFonts w:ascii="Times New Roman" w:hAnsi="Times New Roman" w:cs="Times New Roman"/>
          <w:i/>
          <w:sz w:val="24"/>
          <w:szCs w:val="24"/>
          <w:u w:val="single"/>
        </w:rPr>
        <w:t xml:space="preserve"> Tasmania (1890) 15 App. </w:t>
      </w:r>
      <w:proofErr w:type="spellStart"/>
      <w:r w:rsidRPr="001155F4">
        <w:rPr>
          <w:rFonts w:ascii="Times New Roman" w:hAnsi="Times New Roman" w:cs="Times New Roman"/>
          <w:i/>
          <w:sz w:val="24"/>
          <w:szCs w:val="24"/>
          <w:u w:val="single"/>
        </w:rPr>
        <w:t>Cas</w:t>
      </w:r>
      <w:proofErr w:type="spellEnd"/>
      <w:r w:rsidRPr="001155F4">
        <w:rPr>
          <w:rFonts w:ascii="Times New Roman" w:hAnsi="Times New Roman" w:cs="Times New Roman"/>
          <w:i/>
          <w:sz w:val="24"/>
          <w:szCs w:val="24"/>
          <w:u w:val="single"/>
        </w:rPr>
        <w:t>. 223</w:t>
      </w:r>
      <w:r w:rsidRPr="00A028F7">
        <w:rPr>
          <w:rFonts w:ascii="Times New Roman" w:hAnsi="Times New Roman" w:cs="Times New Roman"/>
          <w:i/>
          <w:sz w:val="24"/>
          <w:szCs w:val="24"/>
        </w:rPr>
        <w:t xml:space="preserve">. It is perhaps best stated in </w:t>
      </w:r>
      <w:r w:rsidRPr="001155F4">
        <w:rPr>
          <w:rFonts w:ascii="Times New Roman" w:hAnsi="Times New Roman" w:cs="Times New Roman"/>
          <w:i/>
          <w:sz w:val="24"/>
          <w:szCs w:val="24"/>
          <w:u w:val="single"/>
        </w:rPr>
        <w:t xml:space="preserve">Ex parte Firth, In re </w:t>
      </w:r>
      <w:proofErr w:type="spellStart"/>
      <w:r w:rsidRPr="001155F4">
        <w:rPr>
          <w:rFonts w:ascii="Times New Roman" w:hAnsi="Times New Roman" w:cs="Times New Roman"/>
          <w:i/>
          <w:sz w:val="24"/>
          <w:szCs w:val="24"/>
          <w:u w:val="single"/>
        </w:rPr>
        <w:t>Cowburn</w:t>
      </w:r>
      <w:proofErr w:type="spellEnd"/>
      <w:r w:rsidRPr="001155F4">
        <w:rPr>
          <w:rFonts w:ascii="Times New Roman" w:hAnsi="Times New Roman" w:cs="Times New Roman"/>
          <w:i/>
          <w:sz w:val="24"/>
          <w:szCs w:val="24"/>
          <w:u w:val="single"/>
        </w:rPr>
        <w:t xml:space="preserve"> (1882) 19 </w:t>
      </w:r>
      <w:proofErr w:type="spellStart"/>
      <w:r w:rsidRPr="001155F4">
        <w:rPr>
          <w:rFonts w:ascii="Times New Roman" w:hAnsi="Times New Roman" w:cs="Times New Roman"/>
          <w:i/>
          <w:sz w:val="24"/>
          <w:szCs w:val="24"/>
          <w:u w:val="single"/>
        </w:rPr>
        <w:t>Ch.D</w:t>
      </w:r>
      <w:proofErr w:type="spellEnd"/>
      <w:r w:rsidRPr="001155F4">
        <w:rPr>
          <w:rFonts w:ascii="Times New Roman" w:hAnsi="Times New Roman" w:cs="Times New Roman"/>
          <w:i/>
          <w:sz w:val="24"/>
          <w:szCs w:val="24"/>
          <w:u w:val="single"/>
        </w:rPr>
        <w:t>. 419, 429</w:t>
      </w:r>
      <w:r w:rsidRPr="00A028F7">
        <w:rPr>
          <w:rFonts w:ascii="Times New Roman" w:hAnsi="Times New Roman" w:cs="Times New Roman"/>
          <w:i/>
          <w:sz w:val="24"/>
          <w:szCs w:val="24"/>
        </w:rPr>
        <w:t xml:space="preserve">, per Sir George </w:t>
      </w:r>
      <w:proofErr w:type="spellStart"/>
      <w:r w:rsidRPr="00A028F7">
        <w:rPr>
          <w:rFonts w:ascii="Times New Roman" w:hAnsi="Times New Roman" w:cs="Times New Roman"/>
          <w:i/>
          <w:sz w:val="24"/>
          <w:szCs w:val="24"/>
        </w:rPr>
        <w:t>Jessel</w:t>
      </w:r>
      <w:proofErr w:type="spellEnd"/>
      <w:r w:rsidRPr="00A028F7">
        <w:rPr>
          <w:rFonts w:ascii="Times New Roman" w:hAnsi="Times New Roman" w:cs="Times New Roman"/>
          <w:i/>
          <w:sz w:val="24"/>
          <w:szCs w:val="24"/>
        </w:rPr>
        <w:t xml:space="preserve"> M.R.:</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w:t>
      </w:r>
      <w:proofErr w:type="gramStart"/>
      <w:r w:rsidRPr="00A028F7">
        <w:rPr>
          <w:rFonts w:ascii="Times New Roman" w:hAnsi="Times New Roman" w:cs="Times New Roman"/>
          <w:i/>
          <w:sz w:val="24"/>
          <w:szCs w:val="24"/>
        </w:rPr>
        <w:t>the</w:t>
      </w:r>
      <w:proofErr w:type="gramEnd"/>
      <w:r w:rsidRPr="00A028F7">
        <w:rPr>
          <w:rFonts w:ascii="Times New Roman" w:hAnsi="Times New Roman" w:cs="Times New Roman"/>
          <w:i/>
          <w:sz w:val="24"/>
          <w:szCs w:val="24"/>
        </w:rPr>
        <w:t xml:space="preserve"> rule is that, if a point was not taken before the tribunal which hears the evidence, and evidence could have been adduced which by any possibility would prevent the point from succeeding, it cannot be taken afterwards. You are bound to take the point in the first instance, so as to enable the other party to give evidence."</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Even if the point is a pure point of law, the appellate Court retains a discretion to exclude it. But where we can be confident, first, that the other party has had opportunity enough to meet it, secondly, that he has not acted to his detriment on the faith of the earlier omission to raise it and, thirdly, that he can be adequately protected in costs, our usual practice is to allow a pure point of law not raised below to be taken in this Court. Otherwise, in the name of doing justice to the other party, we might, through visiting the sins of the adviser on the client, do an injustice to the party who seeks to raise it." (</w:t>
      </w:r>
      <w:proofErr w:type="gramStart"/>
      <w:r w:rsidRPr="00A028F7">
        <w:rPr>
          <w:rFonts w:ascii="Times New Roman" w:hAnsi="Times New Roman" w:cs="Times New Roman"/>
          <w:i/>
          <w:sz w:val="24"/>
          <w:szCs w:val="24"/>
        </w:rPr>
        <w:t>see  para</w:t>
      </w:r>
      <w:proofErr w:type="gramEnd"/>
      <w:r w:rsidRPr="00A028F7">
        <w:rPr>
          <w:rFonts w:ascii="Times New Roman" w:hAnsi="Times New Roman" w:cs="Times New Roman"/>
          <w:i/>
          <w:sz w:val="24"/>
          <w:szCs w:val="24"/>
        </w:rPr>
        <w:t xml:space="preserve"> 30 of the judgment)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1155F4">
      <w:pPr>
        <w:spacing w:after="0" w:line="360" w:lineRule="auto"/>
        <w:ind w:left="1440" w:right="720" w:hanging="180"/>
        <w:jc w:val="both"/>
        <w:rPr>
          <w:rFonts w:ascii="Times New Roman" w:hAnsi="Times New Roman" w:cs="Times New Roman"/>
          <w:i/>
          <w:sz w:val="24"/>
          <w:szCs w:val="24"/>
        </w:rPr>
      </w:pPr>
      <w:proofErr w:type="gramStart"/>
      <w:r w:rsidRPr="00A028F7">
        <w:rPr>
          <w:rFonts w:ascii="Times New Roman" w:hAnsi="Times New Roman" w:cs="Times New Roman"/>
          <w:i/>
          <w:sz w:val="24"/>
          <w:szCs w:val="24"/>
        </w:rPr>
        <w:t>3.The</w:t>
      </w:r>
      <w:proofErr w:type="gramEnd"/>
      <w:r w:rsidRPr="00A028F7">
        <w:rPr>
          <w:rFonts w:ascii="Times New Roman" w:hAnsi="Times New Roman" w:cs="Times New Roman"/>
          <w:i/>
          <w:sz w:val="24"/>
          <w:szCs w:val="24"/>
        </w:rPr>
        <w:t xml:space="preserve"> court went on to consider the point and had this to say in respect of the case of </w:t>
      </w:r>
      <w:proofErr w:type="spellStart"/>
      <w:r w:rsidRPr="001155F4">
        <w:rPr>
          <w:rFonts w:ascii="Times New Roman" w:hAnsi="Times New Roman" w:cs="Times New Roman"/>
          <w:i/>
          <w:sz w:val="24"/>
          <w:szCs w:val="24"/>
          <w:u w:val="single"/>
        </w:rPr>
        <w:t>Pittalis</w:t>
      </w:r>
      <w:proofErr w:type="spellEnd"/>
      <w:r w:rsidRPr="001155F4">
        <w:rPr>
          <w:rFonts w:ascii="Times New Roman" w:hAnsi="Times New Roman" w:cs="Times New Roman"/>
          <w:i/>
          <w:sz w:val="24"/>
          <w:szCs w:val="24"/>
          <w:u w:val="single"/>
        </w:rPr>
        <w:t xml:space="preserve"> v. Grant</w:t>
      </w:r>
      <w:r w:rsidRPr="00A028F7">
        <w:rPr>
          <w:rFonts w:ascii="Times New Roman" w:hAnsi="Times New Roman" w:cs="Times New Roman"/>
          <w:i/>
          <w:sz w:val="24"/>
          <w:szCs w:val="24"/>
        </w:rPr>
        <w:t>:</w:t>
      </w: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 </w:t>
      </w: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“The issue in </w:t>
      </w:r>
      <w:proofErr w:type="spellStart"/>
      <w:r w:rsidRPr="001155F4">
        <w:rPr>
          <w:rFonts w:ascii="Times New Roman" w:hAnsi="Times New Roman" w:cs="Times New Roman"/>
          <w:i/>
          <w:sz w:val="24"/>
          <w:szCs w:val="24"/>
          <w:u w:val="single"/>
        </w:rPr>
        <w:t>Pittalis</w:t>
      </w:r>
      <w:proofErr w:type="spellEnd"/>
      <w:r w:rsidRPr="001155F4">
        <w:rPr>
          <w:rFonts w:ascii="Times New Roman" w:hAnsi="Times New Roman" w:cs="Times New Roman"/>
          <w:i/>
          <w:sz w:val="24"/>
          <w:szCs w:val="24"/>
          <w:u w:val="single"/>
        </w:rPr>
        <w:t xml:space="preserve"> v. Grant</w:t>
      </w:r>
      <w:r w:rsidRPr="00A028F7">
        <w:rPr>
          <w:rFonts w:ascii="Times New Roman" w:hAnsi="Times New Roman" w:cs="Times New Roman"/>
          <w:i/>
          <w:sz w:val="24"/>
          <w:szCs w:val="24"/>
        </w:rPr>
        <w:t xml:space="preserve"> was whether a flat was "premises" within the meaning of the Rent Act 1977, where there had been a lease of a flat and shop together and the lessee had then sublet the flat separately from the shop. On a claim for possession of the flat, the issue was whether those who continued in occupation of the flat after the expiration of their actual tenancy had the b</w:t>
      </w:r>
      <w:r w:rsidR="001155F4">
        <w:rPr>
          <w:rFonts w:ascii="Times New Roman" w:hAnsi="Times New Roman" w:cs="Times New Roman"/>
          <w:i/>
          <w:sz w:val="24"/>
          <w:szCs w:val="24"/>
        </w:rPr>
        <w:t>enefit of the Rent Act. In the C</w:t>
      </w:r>
      <w:r w:rsidRPr="00A028F7">
        <w:rPr>
          <w:rFonts w:ascii="Times New Roman" w:hAnsi="Times New Roman" w:cs="Times New Roman"/>
          <w:i/>
          <w:sz w:val="24"/>
          <w:szCs w:val="24"/>
        </w:rPr>
        <w:t>ounty Court it was conceded that they did but on appeal that concession was sought to be withdrawn, and was allowed to be withdrawn, and it was held that the occupants did not</w:t>
      </w:r>
      <w:r w:rsidR="001155F4">
        <w:rPr>
          <w:rFonts w:ascii="Times New Roman" w:hAnsi="Times New Roman" w:cs="Times New Roman"/>
          <w:i/>
          <w:sz w:val="24"/>
          <w:szCs w:val="24"/>
        </w:rPr>
        <w:t xml:space="preserve"> have the protection of the Act</w:t>
      </w:r>
      <w:r w:rsidRPr="00A028F7">
        <w:rPr>
          <w:rFonts w:ascii="Times New Roman" w:hAnsi="Times New Roman" w:cs="Times New Roman"/>
          <w:i/>
          <w:sz w:val="24"/>
          <w:szCs w:val="24"/>
        </w:rPr>
        <w:t xml:space="preserve">. The case is perhaps a somewhat unhappy precedent since, in </w:t>
      </w:r>
      <w:proofErr w:type="spellStart"/>
      <w:r w:rsidRPr="001155F4">
        <w:rPr>
          <w:rFonts w:ascii="Times New Roman" w:hAnsi="Times New Roman" w:cs="Times New Roman"/>
          <w:i/>
          <w:sz w:val="24"/>
          <w:szCs w:val="24"/>
          <w:u w:val="single"/>
        </w:rPr>
        <w:t>Wellcome</w:t>
      </w:r>
      <w:proofErr w:type="spellEnd"/>
      <w:r w:rsidRPr="001155F4">
        <w:rPr>
          <w:rFonts w:ascii="Times New Roman" w:hAnsi="Times New Roman" w:cs="Times New Roman"/>
          <w:i/>
          <w:sz w:val="24"/>
          <w:szCs w:val="24"/>
          <w:u w:val="single"/>
        </w:rPr>
        <w:t xml:space="preserve"> Trust Limited v Hamad [1990] QB 638</w:t>
      </w:r>
      <w:r w:rsidRPr="00A028F7">
        <w:rPr>
          <w:rFonts w:ascii="Times New Roman" w:hAnsi="Times New Roman" w:cs="Times New Roman"/>
          <w:i/>
          <w:sz w:val="24"/>
          <w:szCs w:val="24"/>
        </w:rPr>
        <w:t xml:space="preserve">, a later Court of Appeal held that the decision in </w:t>
      </w:r>
      <w:proofErr w:type="spellStart"/>
      <w:r w:rsidRPr="00A028F7">
        <w:rPr>
          <w:rFonts w:ascii="Times New Roman" w:hAnsi="Times New Roman" w:cs="Times New Roman"/>
          <w:i/>
          <w:sz w:val="24"/>
          <w:szCs w:val="24"/>
        </w:rPr>
        <w:t>Pittalis</w:t>
      </w:r>
      <w:proofErr w:type="spellEnd"/>
      <w:r w:rsidRPr="00A028F7">
        <w:rPr>
          <w:rFonts w:ascii="Times New Roman" w:hAnsi="Times New Roman" w:cs="Times New Roman"/>
          <w:i/>
          <w:sz w:val="24"/>
          <w:szCs w:val="24"/>
        </w:rPr>
        <w:t xml:space="preserve"> had been reached per </w:t>
      </w:r>
      <w:proofErr w:type="spellStart"/>
      <w:r w:rsidRPr="00A028F7">
        <w:rPr>
          <w:rFonts w:ascii="Times New Roman" w:hAnsi="Times New Roman" w:cs="Times New Roman"/>
          <w:i/>
          <w:sz w:val="24"/>
          <w:szCs w:val="24"/>
        </w:rPr>
        <w:t>incuriam</w:t>
      </w:r>
      <w:proofErr w:type="spellEnd"/>
      <w:r w:rsidRPr="00A028F7">
        <w:rPr>
          <w:rFonts w:ascii="Times New Roman" w:hAnsi="Times New Roman" w:cs="Times New Roman"/>
          <w:i/>
          <w:sz w:val="24"/>
          <w:szCs w:val="24"/>
        </w:rPr>
        <w:t xml:space="preserve"> and was wrong. What is clear is that the very issue was before the Court, that all possible evidence (as to the nature of the premises and the history of the lettings) had been adduced and that all that was to be withdrawn was a concession or admission as to the right answer to the question of law.” (</w:t>
      </w:r>
      <w:proofErr w:type="gramStart"/>
      <w:r w:rsidRPr="00A028F7">
        <w:rPr>
          <w:rFonts w:ascii="Times New Roman" w:hAnsi="Times New Roman" w:cs="Times New Roman"/>
          <w:i/>
          <w:sz w:val="24"/>
          <w:szCs w:val="24"/>
        </w:rPr>
        <w:t>para</w:t>
      </w:r>
      <w:proofErr w:type="gramEnd"/>
      <w:r w:rsidRPr="00A028F7">
        <w:rPr>
          <w:rFonts w:ascii="Times New Roman" w:hAnsi="Times New Roman" w:cs="Times New Roman"/>
          <w:i/>
          <w:sz w:val="24"/>
          <w:szCs w:val="24"/>
        </w:rPr>
        <w:t xml:space="preserve"> 31 of Judgment)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1155F4">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 xml:space="preserve">And at paragraph 32 of its judgment the court further elaborated on the principle that a party cannot raise a point for the first time on appeal which was not raised in the court below. It commented on the case of </w:t>
      </w:r>
      <w:r w:rsidRPr="00352993">
        <w:rPr>
          <w:rFonts w:ascii="Times New Roman" w:hAnsi="Times New Roman" w:cs="Times New Roman"/>
          <w:i/>
          <w:sz w:val="24"/>
          <w:szCs w:val="24"/>
          <w:u w:val="single"/>
        </w:rPr>
        <w:t>Jones v. MBNA International</w:t>
      </w:r>
      <w:r w:rsidRPr="00A028F7">
        <w:rPr>
          <w:rFonts w:ascii="Times New Roman" w:hAnsi="Times New Roman" w:cs="Times New Roman"/>
          <w:i/>
          <w:sz w:val="24"/>
          <w:szCs w:val="24"/>
        </w:rPr>
        <w:t xml:space="preserve"> (unreported)as follows:-</w:t>
      </w: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noProof/>
          <w:sz w:val="24"/>
          <w:szCs w:val="24"/>
        </w:rPr>
        <mc:AlternateContent>
          <mc:Choice Requires="wpg">
            <w:drawing>
              <wp:anchor distT="0" distB="0" distL="114300" distR="114300" simplePos="0" relativeHeight="251659264" behindDoc="1" locked="0" layoutInCell="1" allowOverlap="1" wp14:anchorId="010141E2" wp14:editId="28492B95">
                <wp:simplePos x="0" y="0"/>
                <wp:positionH relativeFrom="column">
                  <wp:posOffset>3991610</wp:posOffset>
                </wp:positionH>
                <wp:positionV relativeFrom="paragraph">
                  <wp:posOffset>-778</wp:posOffset>
                </wp:positionV>
                <wp:extent cx="1440815" cy="532765"/>
                <wp:effectExtent l="0" t="0" r="0" b="0"/>
                <wp:wrapNone/>
                <wp:docPr id="4879" name="Group 4879"/>
                <wp:cNvGraphicFramePr/>
                <a:graphic xmlns:a="http://schemas.openxmlformats.org/drawingml/2006/main">
                  <a:graphicData uri="http://schemas.microsoft.com/office/word/2010/wordprocessingGroup">
                    <wpg:wgp>
                      <wpg:cNvGrpSpPr/>
                      <wpg:grpSpPr>
                        <a:xfrm>
                          <a:off x="0" y="0"/>
                          <a:ext cx="1440815" cy="532765"/>
                          <a:chOff x="0" y="0"/>
                          <a:chExt cx="1440815" cy="532765"/>
                        </a:xfrm>
                      </wpg:grpSpPr>
                      <wps:wsp>
                        <wps:cNvPr id="5772" name="Shape 5772"/>
                        <wps:cNvSpPr/>
                        <wps:spPr>
                          <a:xfrm>
                            <a:off x="412750" y="0"/>
                            <a:ext cx="387985" cy="177165"/>
                          </a:xfrm>
                          <a:custGeom>
                            <a:avLst/>
                            <a:gdLst/>
                            <a:ahLst/>
                            <a:cxnLst/>
                            <a:rect l="0" t="0" r="0" b="0"/>
                            <a:pathLst>
                              <a:path w="387985" h="177165">
                                <a:moveTo>
                                  <a:pt x="0" y="0"/>
                                </a:moveTo>
                                <a:lnTo>
                                  <a:pt x="387985" y="0"/>
                                </a:lnTo>
                                <a:lnTo>
                                  <a:pt x="38798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s:wsp>
                        <wps:cNvPr id="5773" name="Shape 5773"/>
                        <wps:cNvSpPr/>
                        <wps:spPr>
                          <a:xfrm>
                            <a:off x="0" y="177800"/>
                            <a:ext cx="417195" cy="177165"/>
                          </a:xfrm>
                          <a:custGeom>
                            <a:avLst/>
                            <a:gdLst/>
                            <a:ahLst/>
                            <a:cxnLst/>
                            <a:rect l="0" t="0" r="0" b="0"/>
                            <a:pathLst>
                              <a:path w="417195" h="177165">
                                <a:moveTo>
                                  <a:pt x="0" y="0"/>
                                </a:moveTo>
                                <a:lnTo>
                                  <a:pt x="417195" y="0"/>
                                </a:lnTo>
                                <a:lnTo>
                                  <a:pt x="41719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s:wsp>
                        <wps:cNvPr id="5774" name="Shape 5774"/>
                        <wps:cNvSpPr/>
                        <wps:spPr>
                          <a:xfrm>
                            <a:off x="661670" y="177800"/>
                            <a:ext cx="526415" cy="177165"/>
                          </a:xfrm>
                          <a:custGeom>
                            <a:avLst/>
                            <a:gdLst/>
                            <a:ahLst/>
                            <a:cxnLst/>
                            <a:rect l="0" t="0" r="0" b="0"/>
                            <a:pathLst>
                              <a:path w="526415" h="177165">
                                <a:moveTo>
                                  <a:pt x="0" y="0"/>
                                </a:moveTo>
                                <a:lnTo>
                                  <a:pt x="526415" y="0"/>
                                </a:lnTo>
                                <a:lnTo>
                                  <a:pt x="52641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s:wsp>
                        <wps:cNvPr id="5775" name="Shape 5775"/>
                        <wps:cNvSpPr/>
                        <wps:spPr>
                          <a:xfrm>
                            <a:off x="1045210" y="355600"/>
                            <a:ext cx="395605" cy="177165"/>
                          </a:xfrm>
                          <a:custGeom>
                            <a:avLst/>
                            <a:gdLst/>
                            <a:ahLst/>
                            <a:cxnLst/>
                            <a:rect l="0" t="0" r="0" b="0"/>
                            <a:pathLst>
                              <a:path w="395605" h="177165">
                                <a:moveTo>
                                  <a:pt x="0" y="0"/>
                                </a:moveTo>
                                <a:lnTo>
                                  <a:pt x="395605" y="0"/>
                                </a:lnTo>
                                <a:lnTo>
                                  <a:pt x="39560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96BBCA1" id="Group 4879" o:spid="_x0000_s1026" style="position:absolute;margin-left:314.3pt;margin-top:-.05pt;width:113.45pt;height:41.95pt;z-index:-251657216" coordsize="1440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">
                <v:shape id="Shape 5772" o:spid="_x0000_s1027" style="position:absolute;left:4127;width:3880;height:1771;visibility:visible;mso-wrap-style:square;v-text-anchor:top" coordsize="38798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wccA&#10;AADdAAAADwAAAGRycy9kb3ducmV2LnhtbESPT2vCQBTE7wW/w/KE3nRjoCrRTahSqwcP/mk9P7LP&#10;JDT7Ns1uY9pP3y0IPQ4z8xtmmfWmFh21rrKsYDKOQBDnVldcKHg7b0ZzEM4ja6wtk4JvcpClg4cl&#10;Jtre+EjdyRciQNglqKD0vkmkdHlJBt3YNsTBu9rWoA+yLaRu8RbgppZxFE2lwYrDQokNrUvKP05f&#10;RsHPftu/HzbdZbX/fNUSY7u6vuyUehz2zwsQnnr/H763d1rB02wWw9+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ZMHHAAAA3QAAAA8AAAAAAAAAAAAAAAAAmAIAAGRy&#10;cy9kb3ducmV2LnhtbFBLBQYAAAAABAAEAPUAAACMAwAAAAA=&#10;" path="m,l387985,r,177165l,177165,,e" fillcolor="#defb01" stroked="f" strokeweight="0">
                  <v:stroke miterlimit="83231f" joinstyle="miter"/>
                  <v:path arrowok="t" textboxrect="0,0,387985,177165"/>
                </v:shape>
                <v:shape id="Shape 5773" o:spid="_x0000_s1028" style="position:absolute;top:1778;width:4171;height:1771;visibility:visible;mso-wrap-style:square;v-text-anchor:top" coordsize="41719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I28UA&#10;AADdAAAADwAAAGRycy9kb3ducmV2LnhtbESPQWvCQBSE7wX/w/IEb7pRsbbRVUQUlNJDTSl4e2Sf&#10;STD7NmRXk/x7VxB6HGbmG2a5bk0p7lS7wrKC8SgCQZxaXXCm4DfZDz9AOI+ssbRMCjpysF713pYY&#10;a9vwD91PPhMBwi5GBbn3VSylS3My6Ea2Ig7exdYGfZB1JnWNTYCbUk6i6F0aLDgs5FjRNqf0eroZ&#10;Bd/6s93J41nT5a852NR1SfLVKTXot5sFCE+t/w+/2getYDafT+H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YjbxQAAAN0AAAAPAAAAAAAAAAAAAAAAAJgCAABkcnMv&#10;ZG93bnJldi54bWxQSwUGAAAAAAQABAD1AAAAigMAAAAA&#10;" path="m,l417195,r,177165l,177165,,e" fillcolor="#defb01" stroked="f" strokeweight="0">
                  <v:stroke miterlimit="83231f" joinstyle="miter"/>
                  <v:path arrowok="t" textboxrect="0,0,417195,177165"/>
                </v:shape>
                <v:shape id="Shape 5774" o:spid="_x0000_s1029" style="position:absolute;left:6616;top:1778;width:5264;height:1771;visibility:visible;mso-wrap-style:square;v-text-anchor:top" coordsize="52641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7zg8YA&#10;AADdAAAADwAAAGRycy9kb3ducmV2LnhtbESP3WrCQBSE7wt9h+UUelc3FmskZhUpFHpRKP48wDF7&#10;zMZkz8bs1qQ+vSsIXg4z8w2TLwfbiDN1vnKsYDxKQBAXTldcKthtv95mIHxA1tg4JgX/5GG5eH7K&#10;MdOu5zWdN6EUEcI+QwUmhDaT0heGLPqRa4mjd3CdxRBlV0rdYR/htpHvSTKVFiuOCwZb+jRU1Js/&#10;q+BA/dFQKy8/k71en9Lf+uLSnVKvL8NqDiLQEB7he/tbK/hI0wnc3s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7zg8YAAADdAAAADwAAAAAAAAAAAAAAAACYAgAAZHJz&#10;L2Rvd25yZXYueG1sUEsFBgAAAAAEAAQA9QAAAIsDAAAAAA==&#10;" path="m,l526415,r,177165l,177165,,e" fillcolor="#defb01" stroked="f" strokeweight="0">
                  <v:stroke miterlimit="83231f" joinstyle="miter"/>
                  <v:path arrowok="t" textboxrect="0,0,526415,177165"/>
                </v:shape>
                <v:shape id="Shape 5775" o:spid="_x0000_s1030" style="position:absolute;left:10452;top:3556;width:3956;height:1771;visibility:visible;mso-wrap-style:square;v-text-anchor:top" coordsize="39560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seMUA&#10;AADdAAAADwAAAGRycy9kb3ducmV2LnhtbESPUWvCQBCE3wv9D8cWfKuXlmpK9BQpFIWK1LQ/YMmt&#10;SWhuN+TOJP77niD4OMzMN8xyPbpG9dT5WtjAyzQBRVyIrbk08Pvz+fwOygdki40wGbiQh/Xq8WGJ&#10;mZWBj9TnoVQRwj5DA1UIbaa1Lypy6KfSEkfvJJ3DEGVXatvhEOGu0a9JMtcOa44LFbb0UVHxl5+d&#10;ARn22/yYfh0u0ovfbP3befgWYyZP42YBKtAY7uFbe2cNzNJ0Btc38Qn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2x4xQAAAN0AAAAPAAAAAAAAAAAAAAAAAJgCAABkcnMv&#10;ZG93bnJldi54bWxQSwUGAAAAAAQABAD1AAAAigMAAAAA&#10;" path="m,l395605,r,177165l,177165,,e" fillcolor="#defb01" stroked="f" strokeweight="0">
                  <v:stroke miterlimit="83231f" joinstyle="miter"/>
                  <v:path arrowok="t" textboxrect="0,0,395605,177165"/>
                </v:shape>
              </v:group>
            </w:pict>
          </mc:Fallback>
        </mc:AlternateContent>
      </w:r>
      <w:r w:rsidRPr="00A028F7">
        <w:rPr>
          <w:rFonts w:ascii="Times New Roman" w:hAnsi="Times New Roman" w:cs="Times New Roman"/>
          <w:i/>
          <w:sz w:val="24"/>
          <w:szCs w:val="24"/>
        </w:rPr>
        <w:t xml:space="preserve">“A more recent case concerned with a similar </w:t>
      </w:r>
      <w:r w:rsidRPr="00352993">
        <w:rPr>
          <w:rFonts w:ascii="Times New Roman" w:hAnsi="Times New Roman" w:cs="Times New Roman"/>
          <w:i/>
          <w:sz w:val="24"/>
          <w:szCs w:val="24"/>
        </w:rPr>
        <w:t xml:space="preserve">point is </w:t>
      </w:r>
      <w:r w:rsidRPr="00352993">
        <w:rPr>
          <w:rFonts w:ascii="Times New Roman" w:hAnsi="Times New Roman" w:cs="Times New Roman"/>
          <w:i/>
          <w:sz w:val="24"/>
          <w:szCs w:val="24"/>
          <w:u w:val="single"/>
        </w:rPr>
        <w:t>Jones v. MBNA International,</w:t>
      </w:r>
      <w:r w:rsidRPr="00352993">
        <w:rPr>
          <w:rFonts w:ascii="Times New Roman" w:hAnsi="Times New Roman" w:cs="Times New Roman"/>
          <w:i/>
          <w:sz w:val="24"/>
          <w:szCs w:val="24"/>
        </w:rPr>
        <w:t xml:space="preserve"> unreported, </w:t>
      </w:r>
      <w:proofErr w:type="gramStart"/>
      <w:r w:rsidRPr="00352993">
        <w:rPr>
          <w:rFonts w:ascii="Times New Roman" w:hAnsi="Times New Roman" w:cs="Times New Roman"/>
          <w:i/>
          <w:sz w:val="24"/>
          <w:szCs w:val="24"/>
        </w:rPr>
        <w:t>decided</w:t>
      </w:r>
      <w:proofErr w:type="gramEnd"/>
      <w:r w:rsidRPr="00352993">
        <w:rPr>
          <w:rFonts w:ascii="Times New Roman" w:hAnsi="Times New Roman" w:cs="Times New Roman"/>
          <w:i/>
          <w:sz w:val="24"/>
          <w:szCs w:val="24"/>
        </w:rPr>
        <w:t xml:space="preserve"> by the Court of Appeal on 30 June 2000. That was an employment case where in the county court the Claimant had</w:t>
      </w:r>
      <w:r w:rsidRPr="00A028F7">
        <w:rPr>
          <w:rFonts w:ascii="Times New Roman" w:hAnsi="Times New Roman" w:cs="Times New Roman"/>
          <w:i/>
          <w:sz w:val="24"/>
          <w:szCs w:val="24"/>
        </w:rPr>
        <w:t xml:space="preserve"> put his case, ultimately, on an allegation that the employer was in breach of an implied term that it would not, without reasonable and proper cause, conduct itself in a manner calculated to destroy or seriously damage the relationship of confidence and trust between employer and employee but accepted that he could only succeed if he could show that the employer had acted in bad faith in the relevant conduct. He lost after a trial before a Recorder lasting for several days. On appeal he sought to change his ground so as to argue that the employer had been in breach of the same implied term but without alleging bad faith and rather alleging that the employer's investigation of the facts had been conducted unreasonably. The new ground of appeal point required findings of fact which it was said would be consistent with or Court would flow from findings made by the trial judge. Not surprisingly, the Court of Appeal refused to allow this to be taken. What matters is not so much the decision of the </w:t>
      </w:r>
      <w:r w:rsidR="00352993">
        <w:rPr>
          <w:rFonts w:ascii="Times New Roman" w:hAnsi="Times New Roman" w:cs="Times New Roman"/>
          <w:i/>
          <w:sz w:val="24"/>
          <w:szCs w:val="24"/>
        </w:rPr>
        <w:t>court</w:t>
      </w:r>
      <w:r w:rsidRPr="00A028F7">
        <w:rPr>
          <w:rFonts w:ascii="Times New Roman" w:hAnsi="Times New Roman" w:cs="Times New Roman"/>
          <w:i/>
          <w:sz w:val="24"/>
          <w:szCs w:val="24"/>
        </w:rPr>
        <w:t>, as the terms in which the judges spoke as a matter of principle. Lord Justice Peter Gibson gave the first judgment and said this at paragraph 38:</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"38. It is not in dispute that to withdraw a concession or take a point not argued in the lower court requires the leave of this court. In </w:t>
      </w:r>
      <w:r w:rsidR="00352993" w:rsidRPr="00A028F7">
        <w:rPr>
          <w:rFonts w:ascii="Times New Roman" w:hAnsi="Times New Roman" w:cs="Times New Roman"/>
          <w:i/>
          <w:sz w:val="24"/>
          <w:szCs w:val="24"/>
        </w:rPr>
        <w:t>general,</w:t>
      </w:r>
      <w:r w:rsidRPr="00A028F7">
        <w:rPr>
          <w:rFonts w:ascii="Times New Roman" w:hAnsi="Times New Roman" w:cs="Times New Roman"/>
          <w:i/>
          <w:sz w:val="24"/>
          <w:szCs w:val="24"/>
        </w:rPr>
        <w:t xml:space="preserve"> the court expects each party to advance his whole case at the trial. In the interests of fairness to the other party this court should be slow to allow new points, which were available to be taken at the trial but were not taken, to be advanced for the first time in this Court. That consideration is the weightier if further evidence might have been adduced at the trial, had the point been taken then, or if the decision on the point requires an evaluation of all the evidence and could be affected by the impression which the trial judge receives from seeing and hearing the witnesses. Indeed it is hard to see how, if those circumstances obtained, this court, having regard to the overriding objective of dealing with cases justly, could allow that new point to be taken."</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352993">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Finally, the court concluded at paragraph 52 of the judgment that:-</w:t>
      </w: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noProof/>
          <w:sz w:val="24"/>
          <w:szCs w:val="24"/>
        </w:rPr>
        <mc:AlternateContent>
          <mc:Choice Requires="wpg">
            <w:drawing>
              <wp:anchor distT="0" distB="0" distL="114300" distR="114300" simplePos="0" relativeHeight="251660288" behindDoc="1" locked="0" layoutInCell="1" allowOverlap="1" wp14:anchorId="1A19BA9D" wp14:editId="6818E2F3">
                <wp:simplePos x="0" y="0"/>
                <wp:positionH relativeFrom="column">
                  <wp:posOffset>3796030</wp:posOffset>
                </wp:positionH>
                <wp:positionV relativeFrom="paragraph">
                  <wp:posOffset>-778</wp:posOffset>
                </wp:positionV>
                <wp:extent cx="653415" cy="354965"/>
                <wp:effectExtent l="0" t="0" r="0" b="0"/>
                <wp:wrapNone/>
                <wp:docPr id="5145" name="Group 5145"/>
                <wp:cNvGraphicFramePr/>
                <a:graphic xmlns:a="http://schemas.openxmlformats.org/drawingml/2006/main">
                  <a:graphicData uri="http://schemas.microsoft.com/office/word/2010/wordprocessingGroup">
                    <wpg:wgp>
                      <wpg:cNvGrpSpPr/>
                      <wpg:grpSpPr>
                        <a:xfrm>
                          <a:off x="0" y="0"/>
                          <a:ext cx="653415" cy="354965"/>
                          <a:chOff x="0" y="0"/>
                          <a:chExt cx="653415" cy="354965"/>
                        </a:xfrm>
                      </wpg:grpSpPr>
                      <wps:wsp>
                        <wps:cNvPr id="5776" name="Shape 5776"/>
                        <wps:cNvSpPr/>
                        <wps:spPr>
                          <a:xfrm>
                            <a:off x="0" y="0"/>
                            <a:ext cx="395605" cy="177165"/>
                          </a:xfrm>
                          <a:custGeom>
                            <a:avLst/>
                            <a:gdLst/>
                            <a:ahLst/>
                            <a:cxnLst/>
                            <a:rect l="0" t="0" r="0" b="0"/>
                            <a:pathLst>
                              <a:path w="395605" h="177165">
                                <a:moveTo>
                                  <a:pt x="0" y="0"/>
                                </a:moveTo>
                                <a:lnTo>
                                  <a:pt x="395605" y="0"/>
                                </a:lnTo>
                                <a:lnTo>
                                  <a:pt x="39560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s:wsp>
                        <wps:cNvPr id="5777" name="Shape 5777"/>
                        <wps:cNvSpPr/>
                        <wps:spPr>
                          <a:xfrm>
                            <a:off x="257810" y="177800"/>
                            <a:ext cx="395605" cy="177165"/>
                          </a:xfrm>
                          <a:custGeom>
                            <a:avLst/>
                            <a:gdLst/>
                            <a:ahLst/>
                            <a:cxnLst/>
                            <a:rect l="0" t="0" r="0" b="0"/>
                            <a:pathLst>
                              <a:path w="395605" h="177165">
                                <a:moveTo>
                                  <a:pt x="0" y="0"/>
                                </a:moveTo>
                                <a:lnTo>
                                  <a:pt x="395605" y="0"/>
                                </a:lnTo>
                                <a:lnTo>
                                  <a:pt x="395605" y="177165"/>
                                </a:lnTo>
                                <a:lnTo>
                                  <a:pt x="0" y="177165"/>
                                </a:lnTo>
                                <a:lnTo>
                                  <a:pt x="0" y="0"/>
                                </a:lnTo>
                              </a:path>
                            </a:pathLst>
                          </a:custGeom>
                          <a:ln w="0" cap="flat">
                            <a:miter lim="127000"/>
                          </a:ln>
                        </wps:spPr>
                        <wps:style>
                          <a:lnRef idx="0">
                            <a:srgbClr val="000000">
                              <a:alpha val="0"/>
                            </a:srgbClr>
                          </a:lnRef>
                          <a:fillRef idx="1">
                            <a:srgbClr val="DEFB01"/>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F1299E3" id="Group 5145" o:spid="_x0000_s1026" style="position:absolute;margin-left:298.9pt;margin-top:-.05pt;width:51.45pt;height:27.95pt;z-index:-251656192" coordsize="653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">
                <v:shape id="Shape 5776" o:spid="_x0000_s1027" style="position:absolute;width:3956;height:1771;visibility:visible;mso-wrap-style:square;v-text-anchor:top" coordsize="39560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yD8UA&#10;AADdAAAADwAAAGRycy9kb3ducmV2LnhtbESPUWvCQBCE34X+h2MLvumlpZoSPUUKRaFSatofsOTW&#10;JDS3G3JnEv99TxD6OMzMN8x6O7pG9dT5WtjA0zwBRVyIrbk08PP9PnsF5QOyxUaYDFzJw3bzMFlj&#10;ZmXgE/V5KFWEsM/QQBVCm2nti4oc+rm0xNE7S+cwRNmV2nY4RLhr9HOSLLXDmuNChS29VVT85hdn&#10;QIbjPj+lH59X6cXv9v7lMnyJMdPHcbcCFWgM/+F7+2ANLNJ0Cbc38Qn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fIPxQAAAN0AAAAPAAAAAAAAAAAAAAAAAJgCAABkcnMv&#10;ZG93bnJldi54bWxQSwUGAAAAAAQABAD1AAAAigMAAAAA&#10;" path="m,l395605,r,177165l,177165,,e" fillcolor="#defb01" stroked="f" strokeweight="0">
                  <v:stroke miterlimit="83231f" joinstyle="miter"/>
                  <v:path arrowok="t" textboxrect="0,0,395605,177165"/>
                </v:shape>
                <v:shape id="Shape 5777" o:spid="_x0000_s1028" style="position:absolute;left:2578;top:1778;width:3956;height:1771;visibility:visible;mso-wrap-style:square;v-text-anchor:top" coordsize="395605,1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MQA&#10;AADdAAAADwAAAGRycy9kb3ducmV2LnhtbESPUWvCQBCE3wv9D8cKvtWLxTYleooUikJL0dQfsOTW&#10;JJjbDbkzif/eKxT6OMzMN8xqM7pG9dT5WtjAfJaAIi7E1lwaOP18PL2B8gHZYiNMBm7kYbN+fFhh&#10;ZmXgI/V5KFWEsM/QQBVCm2nti4oc+pm0xNE7S+cwRNmV2nY4RLhr9HOSvGqHNceFClt6r6i45Fdn&#10;QIavXX5MP79v0ovf7vziOhzEmOlk3C5BBRrDf/ivvbcGXtI0hd838Qn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V5TEAAAA3QAAAA8AAAAAAAAAAAAAAAAAmAIAAGRycy9k&#10;b3ducmV2LnhtbFBLBQYAAAAABAAEAPUAAACJAwAAAAA=&#10;" path="m,l395605,r,177165l,177165,,e" fillcolor="#defb01" stroked="f" strokeweight="0">
                  <v:stroke miterlimit="83231f" joinstyle="miter"/>
                  <v:path arrowok="t" textboxrect="0,0,395605,177165"/>
                </v:shape>
              </v:group>
            </w:pict>
          </mc:Fallback>
        </mc:AlternateContent>
      </w:r>
      <w:r w:rsidRPr="00A028F7">
        <w:rPr>
          <w:rFonts w:ascii="Times New Roman" w:hAnsi="Times New Roman" w:cs="Times New Roman"/>
          <w:i/>
          <w:sz w:val="24"/>
          <w:szCs w:val="24"/>
        </w:rPr>
        <w:t xml:space="preserve">“Civil trials are conducted on the basis that </w:t>
      </w:r>
      <w:r w:rsidRPr="00352993">
        <w:rPr>
          <w:rFonts w:ascii="Times New Roman" w:hAnsi="Times New Roman" w:cs="Times New Roman"/>
          <w:i/>
          <w:sz w:val="24"/>
          <w:szCs w:val="24"/>
        </w:rPr>
        <w:t>the court</w:t>
      </w:r>
      <w:r w:rsidRPr="00A028F7">
        <w:rPr>
          <w:rFonts w:ascii="Times New Roman" w:hAnsi="Times New Roman" w:cs="Times New Roman"/>
          <w:i/>
          <w:sz w:val="24"/>
          <w:szCs w:val="24"/>
        </w:rPr>
        <w:t xml:space="preserve"> decides the factual and legal issues which the parties bring before the court. Normally, each party should bring before the court the whole relevant case that he wishes in advance. He may choose to confine his claim or </w:t>
      </w:r>
      <w:proofErr w:type="spellStart"/>
      <w:r w:rsidRPr="00A028F7">
        <w:rPr>
          <w:rFonts w:ascii="Times New Roman" w:hAnsi="Times New Roman" w:cs="Times New Roman"/>
          <w:i/>
          <w:sz w:val="24"/>
          <w:szCs w:val="24"/>
        </w:rPr>
        <w:t>defence</w:t>
      </w:r>
      <w:proofErr w:type="spellEnd"/>
      <w:r w:rsidRPr="00A028F7">
        <w:rPr>
          <w:rFonts w:ascii="Times New Roman" w:hAnsi="Times New Roman" w:cs="Times New Roman"/>
          <w:i/>
          <w:sz w:val="24"/>
          <w:szCs w:val="24"/>
        </w:rPr>
        <w:t xml:space="preserve"> to some only of the theoretical ways in which the case might be put. If he does so, the court will decide the issues which are raised and normally will not decide issues which are not raised. Normally a party cannot raise in subsequent proceedings claims or issues which could and should have been raised in the first proceedings. Equally, a party cannot, in my judgment, normally seek to appeal a trial judge's decision on the basis that a claim, which could have been brought before the trial judge, but was not, would have succeeded if it had been so brought. The justice of this as a general principle is, in my view, obvious. It is not merely a matter of efficiency, expediency and cost, but of substantial justice. Parties to litigation are entitled to know where they stand. The parties are entitled, and the court requires, to know what the issues are. Upon this depends a variety of decisions, including, by the parties, what evidence to call, how much effort and money it is appropriate to invest in the case, and generally how to conduct the case; and, by the court, what case management and administrative decisions and directions to make and give, and the substantive decisions in the case itself. Litigation should be resolved once and for all, and it is not, generally speaking, just if a party who successfully contested a case advanced on one basis should be expected to face on appeal, not a challenge to the original decision, but a new case advanced on a different basis. There may be exceptional cases in which the court would not apply the general principle which I have expressed. But in my view this is not such a case."</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0326BE">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In respect of grounds 2 and 3 of the appeal, the respondent submits that if the appellant had a claim of SCR45</w:t>
      </w:r>
      <w:proofErr w:type="gramStart"/>
      <w:r w:rsidRPr="00A028F7">
        <w:rPr>
          <w:rFonts w:ascii="Times New Roman" w:hAnsi="Times New Roman" w:cs="Times New Roman"/>
          <w:i/>
          <w:sz w:val="24"/>
          <w:szCs w:val="24"/>
        </w:rPr>
        <w:t>,000.00</w:t>
      </w:r>
      <w:proofErr w:type="gramEnd"/>
      <w:r w:rsidRPr="00A028F7">
        <w:rPr>
          <w:rFonts w:ascii="Times New Roman" w:hAnsi="Times New Roman" w:cs="Times New Roman"/>
          <w:i/>
          <w:sz w:val="24"/>
          <w:szCs w:val="24"/>
        </w:rPr>
        <w:t xml:space="preserve"> deposit in respect of another lease, it was incumbent on the appellant to file a counter-claim and make this a live issue before the court. Section 80 of the Seychelles Code of Civil Procedure provides as follows:-</w:t>
      </w:r>
    </w:p>
    <w:p w:rsidR="004F436D" w:rsidRPr="00A028F7" w:rsidRDefault="004F436D" w:rsidP="00A028F7">
      <w:pPr>
        <w:pStyle w:val="ListParagraph"/>
        <w:spacing w:after="0" w:line="360" w:lineRule="auto"/>
        <w:ind w:left="1440" w:right="720"/>
        <w:jc w:val="both"/>
        <w:rPr>
          <w:rFonts w:ascii="Times New Roman" w:hAnsi="Times New Roman" w:cs="Times New Roman"/>
          <w:i/>
          <w:sz w:val="24"/>
          <w:szCs w:val="24"/>
        </w:rPr>
      </w:pPr>
    </w:p>
    <w:p w:rsidR="004F436D" w:rsidRPr="00A028F7" w:rsidRDefault="000326BE" w:rsidP="00A028F7">
      <w:pPr>
        <w:spacing w:after="0" w:line="360" w:lineRule="auto"/>
        <w:ind w:left="1440" w:right="720"/>
        <w:jc w:val="both"/>
        <w:rPr>
          <w:rFonts w:ascii="Times New Roman" w:hAnsi="Times New Roman" w:cs="Times New Roman"/>
          <w:i/>
          <w:sz w:val="24"/>
          <w:szCs w:val="24"/>
        </w:rPr>
      </w:pPr>
      <w:r>
        <w:rPr>
          <w:rFonts w:ascii="Times New Roman" w:hAnsi="Times New Roman" w:cs="Times New Roman"/>
          <w:i/>
          <w:sz w:val="24"/>
          <w:szCs w:val="24"/>
        </w:rPr>
        <w:t xml:space="preserve">“80 </w:t>
      </w:r>
      <w:r w:rsidR="004F436D" w:rsidRPr="00A028F7">
        <w:rPr>
          <w:rFonts w:ascii="Times New Roman" w:hAnsi="Times New Roman" w:cs="Times New Roman"/>
          <w:i/>
          <w:sz w:val="24"/>
          <w:szCs w:val="24"/>
        </w:rPr>
        <w:t>(1) Subject to subsection</w:t>
      </w:r>
      <w:r>
        <w:rPr>
          <w:rFonts w:ascii="Times New Roman" w:hAnsi="Times New Roman" w:cs="Times New Roman"/>
          <w:i/>
          <w:sz w:val="24"/>
          <w:szCs w:val="24"/>
        </w:rPr>
        <w:t xml:space="preserve"> </w:t>
      </w:r>
      <w:r w:rsidR="004F436D" w:rsidRPr="00A028F7">
        <w:rPr>
          <w:rFonts w:ascii="Times New Roman" w:hAnsi="Times New Roman" w:cs="Times New Roman"/>
          <w:i/>
          <w:sz w:val="24"/>
          <w:szCs w:val="24"/>
        </w:rPr>
        <w:t xml:space="preserve">(2), where a defendant in any action wishes to make any claim or seek any remedy or relief against a plaintiff in respect of anything arising out of the subject matter of the action, he may, instead of raising a separate action make the claim or seek the remedy or relief by way of a counter claim in the action; and where he does so the counterclaim shall be added to his </w:t>
      </w:r>
      <w:proofErr w:type="spellStart"/>
      <w:r w:rsidR="004F436D" w:rsidRPr="00A028F7">
        <w:rPr>
          <w:rFonts w:ascii="Times New Roman" w:hAnsi="Times New Roman" w:cs="Times New Roman"/>
          <w:i/>
          <w:sz w:val="24"/>
          <w:szCs w:val="24"/>
        </w:rPr>
        <w:t>defence</w:t>
      </w:r>
      <w:proofErr w:type="spellEnd"/>
      <w:r w:rsidR="004F436D" w:rsidRPr="00A028F7">
        <w:rPr>
          <w:rFonts w:ascii="Times New Roman" w:hAnsi="Times New Roman" w:cs="Times New Roman"/>
          <w:i/>
          <w:sz w:val="24"/>
          <w:szCs w:val="24"/>
        </w:rPr>
        <w:t xml:space="preserve"> to the action.</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(2) If, on the application of any party against whom a counterclaim is made, it appears to the court that it is in the interests of justice that the subject matter of the counterclaim be dealt with as a separate action, the Court may </w:t>
      </w:r>
    </w:p>
    <w:p w:rsidR="004F436D" w:rsidRPr="00A028F7" w:rsidRDefault="004F436D" w:rsidP="00A028F7">
      <w:pPr>
        <w:numPr>
          <w:ilvl w:val="0"/>
          <w:numId w:val="6"/>
        </w:num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order that the counterclaim be struck out;</w:t>
      </w:r>
    </w:p>
    <w:p w:rsidR="004F436D" w:rsidRPr="00A028F7" w:rsidRDefault="004F436D" w:rsidP="00A028F7">
      <w:pPr>
        <w:numPr>
          <w:ilvl w:val="0"/>
          <w:numId w:val="6"/>
        </w:num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order that it be tried separately; or</w:t>
      </w:r>
    </w:p>
    <w:p w:rsidR="004F436D" w:rsidRPr="00A028F7" w:rsidRDefault="004F436D" w:rsidP="00A028F7">
      <w:pPr>
        <w:numPr>
          <w:ilvl w:val="0"/>
          <w:numId w:val="6"/>
        </w:numPr>
        <w:spacing w:after="0" w:line="360" w:lineRule="auto"/>
        <w:ind w:left="1440" w:right="720"/>
        <w:jc w:val="both"/>
        <w:rPr>
          <w:rFonts w:ascii="Times New Roman" w:hAnsi="Times New Roman" w:cs="Times New Roman"/>
          <w:i/>
          <w:sz w:val="24"/>
          <w:szCs w:val="24"/>
        </w:rPr>
      </w:pPr>
      <w:proofErr w:type="gramStart"/>
      <w:r w:rsidRPr="00A028F7">
        <w:rPr>
          <w:rFonts w:ascii="Times New Roman" w:hAnsi="Times New Roman" w:cs="Times New Roman"/>
          <w:i/>
          <w:sz w:val="24"/>
          <w:szCs w:val="24"/>
        </w:rPr>
        <w:t>make</w:t>
      </w:r>
      <w:proofErr w:type="gramEnd"/>
      <w:r w:rsidRPr="00A028F7">
        <w:rPr>
          <w:rFonts w:ascii="Times New Roman" w:hAnsi="Times New Roman" w:cs="Times New Roman"/>
          <w:i/>
          <w:sz w:val="24"/>
          <w:szCs w:val="24"/>
        </w:rPr>
        <w:t xml:space="preserve"> such order as it considers appropriate.”</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0326BE">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The respondent submits that since the appellant did not file a counterclaim, claiming the deposit that was allegedly due to the appellant from the respondent, the issue was never a fact in issue which the court could have adjudicated upon as it was not raised in the appellant’s pleadings or proven by the appellant. Although admittedly, the appellant did testify about the deposit, the presiding Magistrates ruled that there was no supporting evidence produced by the appellant in court to prove payment of the deposit and that the same was therefore not due from the respondent to the appellant.</w:t>
      </w:r>
    </w:p>
    <w:p w:rsidR="004F436D" w:rsidRPr="00A028F7" w:rsidRDefault="004F436D" w:rsidP="00A028F7">
      <w:pPr>
        <w:pStyle w:val="ListParagraph"/>
        <w:spacing w:after="0" w:line="360" w:lineRule="auto"/>
        <w:ind w:left="1440" w:right="720"/>
        <w:jc w:val="both"/>
        <w:rPr>
          <w:rFonts w:ascii="Times New Roman" w:hAnsi="Times New Roman" w:cs="Times New Roman"/>
          <w:i/>
          <w:sz w:val="24"/>
          <w:szCs w:val="24"/>
        </w:rPr>
      </w:pPr>
    </w:p>
    <w:p w:rsidR="004F436D" w:rsidRPr="00A028F7" w:rsidRDefault="004F436D" w:rsidP="000326BE">
      <w:pPr>
        <w:pStyle w:val="ListParagraph"/>
        <w:numPr>
          <w:ilvl w:val="0"/>
          <w:numId w:val="7"/>
        </w:numPr>
        <w:spacing w:after="0" w:line="360" w:lineRule="auto"/>
        <w:ind w:left="1440" w:right="720" w:hanging="180"/>
        <w:jc w:val="both"/>
        <w:rPr>
          <w:rFonts w:ascii="Times New Roman" w:hAnsi="Times New Roman" w:cs="Times New Roman"/>
          <w:i/>
          <w:sz w:val="24"/>
          <w:szCs w:val="24"/>
        </w:rPr>
      </w:pPr>
      <w:r w:rsidRPr="00A028F7">
        <w:rPr>
          <w:rFonts w:ascii="Times New Roman" w:hAnsi="Times New Roman" w:cs="Times New Roman"/>
          <w:i/>
          <w:sz w:val="24"/>
          <w:szCs w:val="24"/>
        </w:rPr>
        <w:t xml:space="preserve"> Ground 5 is vague and the respondent does not understand what the appellant means. It is not for the court to look at the books of the two companies, it is for the parties to prove their respective cases. Like Justice Dingake stated in the case of </w:t>
      </w:r>
      <w:r w:rsidRPr="000326BE">
        <w:rPr>
          <w:rFonts w:ascii="Times New Roman" w:hAnsi="Times New Roman" w:cs="Times New Roman"/>
          <w:i/>
          <w:sz w:val="24"/>
          <w:szCs w:val="24"/>
          <w:u w:val="single"/>
        </w:rPr>
        <w:t>Vijay Construction (Pty) Ltd v/s Eastern European Engineering Limited SCA28/2020</w:t>
      </w:r>
      <w:r w:rsidRPr="00A028F7">
        <w:rPr>
          <w:rFonts w:ascii="Times New Roman" w:hAnsi="Times New Roman" w:cs="Times New Roman"/>
          <w:i/>
          <w:sz w:val="24"/>
          <w:szCs w:val="24"/>
        </w:rPr>
        <w:t xml:space="preserve"> </w:t>
      </w: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“In summation it seems to me that the general trend from the above authorities seem to be that save in exceptional circumstances, a role of a judge is akin to that of an impartial umpire in a game, who is very careful not to be seen to be unduly aiding another side at the expense of the other. It is our solemn duty to keep the ring and not to enter the fight of the parties.” (</w:t>
      </w:r>
      <w:proofErr w:type="gramStart"/>
      <w:r w:rsidRPr="00A028F7">
        <w:rPr>
          <w:rFonts w:ascii="Times New Roman" w:hAnsi="Times New Roman" w:cs="Times New Roman"/>
          <w:i/>
          <w:sz w:val="24"/>
          <w:szCs w:val="24"/>
        </w:rPr>
        <w:t>see</w:t>
      </w:r>
      <w:proofErr w:type="gramEnd"/>
      <w:r w:rsidRPr="00A028F7">
        <w:rPr>
          <w:rFonts w:ascii="Times New Roman" w:hAnsi="Times New Roman" w:cs="Times New Roman"/>
          <w:i/>
          <w:sz w:val="24"/>
          <w:szCs w:val="24"/>
        </w:rPr>
        <w:t xml:space="preserve"> paragraph 24 of the judgment)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pStyle w:val="ListParagraph"/>
        <w:numPr>
          <w:ilvl w:val="0"/>
          <w:numId w:val="7"/>
        </w:numPr>
        <w:spacing w:after="0" w:line="360" w:lineRule="auto"/>
        <w:ind w:left="1440" w:right="720" w:firstLine="0"/>
        <w:jc w:val="both"/>
        <w:rPr>
          <w:rFonts w:ascii="Times New Roman" w:hAnsi="Times New Roman" w:cs="Times New Roman"/>
          <w:i/>
          <w:sz w:val="24"/>
          <w:szCs w:val="24"/>
        </w:rPr>
      </w:pPr>
      <w:r w:rsidRPr="00A028F7">
        <w:rPr>
          <w:rFonts w:ascii="Times New Roman" w:hAnsi="Times New Roman" w:cs="Times New Roman"/>
          <w:i/>
          <w:sz w:val="24"/>
          <w:szCs w:val="24"/>
        </w:rPr>
        <w:t xml:space="preserve">In the in the United States, the matter arose in the </w:t>
      </w:r>
      <w:r w:rsidRPr="000326BE">
        <w:rPr>
          <w:rFonts w:ascii="Times New Roman" w:hAnsi="Times New Roman" w:cs="Times New Roman"/>
          <w:i/>
          <w:sz w:val="24"/>
          <w:szCs w:val="24"/>
          <w:u w:val="single"/>
        </w:rPr>
        <w:t xml:space="preserve">United States v </w:t>
      </w:r>
      <w:proofErr w:type="spellStart"/>
      <w:r w:rsidRPr="000326BE">
        <w:rPr>
          <w:rFonts w:ascii="Times New Roman" w:hAnsi="Times New Roman" w:cs="Times New Roman"/>
          <w:i/>
          <w:sz w:val="24"/>
          <w:szCs w:val="24"/>
          <w:u w:val="single"/>
        </w:rPr>
        <w:t>Sineneng</w:t>
      </w:r>
      <w:proofErr w:type="spellEnd"/>
      <w:r w:rsidRPr="000326BE">
        <w:rPr>
          <w:rFonts w:ascii="Times New Roman" w:hAnsi="Times New Roman" w:cs="Times New Roman"/>
          <w:i/>
          <w:sz w:val="24"/>
          <w:szCs w:val="24"/>
          <w:u w:val="single"/>
        </w:rPr>
        <w:t>-Smith (590 U.S. (2020)</w:t>
      </w:r>
      <w:r w:rsidRPr="00A028F7">
        <w:rPr>
          <w:rFonts w:ascii="Times New Roman" w:hAnsi="Times New Roman" w:cs="Times New Roman"/>
          <w:i/>
          <w:sz w:val="24"/>
          <w:szCs w:val="24"/>
        </w:rPr>
        <w:t xml:space="preserve"> the court observed that:-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 xml:space="preserve">“In our adversarial system of adjudication, we follow the principle of party presentation. As this Court stated in </w:t>
      </w:r>
      <w:proofErr w:type="spellStart"/>
      <w:r w:rsidRPr="000326BE">
        <w:rPr>
          <w:rFonts w:ascii="Times New Roman" w:hAnsi="Times New Roman" w:cs="Times New Roman"/>
          <w:i/>
          <w:sz w:val="24"/>
          <w:szCs w:val="24"/>
          <w:u w:val="single"/>
        </w:rPr>
        <w:t>Greenlaw</w:t>
      </w:r>
      <w:proofErr w:type="spellEnd"/>
      <w:r w:rsidRPr="000326BE">
        <w:rPr>
          <w:rFonts w:ascii="Times New Roman" w:hAnsi="Times New Roman" w:cs="Times New Roman"/>
          <w:i/>
          <w:sz w:val="24"/>
          <w:szCs w:val="24"/>
          <w:u w:val="single"/>
        </w:rPr>
        <w:t xml:space="preserve"> v United States, 554 U.S. 237 (2008),</w:t>
      </w:r>
      <w:r w:rsidRPr="00A028F7">
        <w:rPr>
          <w:rFonts w:ascii="Times New Roman" w:hAnsi="Times New Roman" w:cs="Times New Roman"/>
          <w:i/>
          <w:sz w:val="24"/>
          <w:szCs w:val="24"/>
        </w:rPr>
        <w:t xml:space="preserve"> “in both civil and criminal cases…we rely on the parties to frame the issues for the decision and assign to Courts the role of neutral arbiter of matters the parties present… In criminal cases, departures from party presentation principle have usually occurred “to protect a pro se litigant’s rights. … But as a general rule, our system “is designed around the premise that parties represented by competent counsel know what is best for them, and are responsible</w:t>
      </w:r>
      <w:r w:rsidRPr="00A028F7">
        <w:rPr>
          <w:rFonts w:ascii="Times New Roman" w:eastAsia="Calibri" w:hAnsi="Times New Roman" w:cs="Times New Roman"/>
          <w:i/>
          <w:sz w:val="24"/>
          <w:szCs w:val="24"/>
        </w:rPr>
        <w:t xml:space="preserve"> for advancing facts and argument entitling them to relief.” (</w:t>
      </w:r>
      <w:proofErr w:type="gramStart"/>
      <w:r w:rsidRPr="00A028F7">
        <w:rPr>
          <w:rFonts w:ascii="Times New Roman" w:eastAsia="Calibri" w:hAnsi="Times New Roman" w:cs="Times New Roman"/>
          <w:i/>
          <w:sz w:val="24"/>
          <w:szCs w:val="24"/>
        </w:rPr>
        <w:t>page</w:t>
      </w:r>
      <w:proofErr w:type="gramEnd"/>
      <w:r w:rsidRPr="00A028F7">
        <w:rPr>
          <w:rFonts w:ascii="Times New Roman" w:eastAsia="Calibri" w:hAnsi="Times New Roman" w:cs="Times New Roman"/>
          <w:i/>
          <w:sz w:val="24"/>
          <w:szCs w:val="24"/>
        </w:rPr>
        <w:t xml:space="preserve"> 3-4</w:t>
      </w:r>
      <w:r w:rsidRPr="00A028F7">
        <w:rPr>
          <w:rFonts w:ascii="Times New Roman" w:hAnsi="Times New Roman" w:cs="Times New Roman"/>
          <w:i/>
          <w:sz w:val="24"/>
          <w:szCs w:val="24"/>
        </w:rPr>
        <w:t>)”</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4F436D" w:rsidRPr="00A028F7" w:rsidRDefault="004F436D" w:rsidP="00A028F7">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The court went on to state:-</w:t>
      </w:r>
    </w:p>
    <w:p w:rsidR="004F436D" w:rsidRPr="00A028F7" w:rsidRDefault="004F436D" w:rsidP="000326BE">
      <w:p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“Courts are essentially passive instruments of government” and … they “do not, or should not, sally forth each day looking for wrongs to right. [They] wait for cases to come to [them], and when [cases arise, Courts] normally decide only questions presented by the parties.” (</w:t>
      </w:r>
      <w:proofErr w:type="gramStart"/>
      <w:r w:rsidRPr="00A028F7">
        <w:rPr>
          <w:rFonts w:ascii="Times New Roman" w:hAnsi="Times New Roman" w:cs="Times New Roman"/>
          <w:i/>
          <w:sz w:val="24"/>
          <w:szCs w:val="24"/>
        </w:rPr>
        <w:t>page</w:t>
      </w:r>
      <w:proofErr w:type="gramEnd"/>
      <w:r w:rsidRPr="00A028F7">
        <w:rPr>
          <w:rFonts w:ascii="Times New Roman" w:hAnsi="Times New Roman" w:cs="Times New Roman"/>
          <w:i/>
          <w:sz w:val="24"/>
          <w:szCs w:val="24"/>
        </w:rPr>
        <w:t xml:space="preserve"> 4)</w:t>
      </w:r>
    </w:p>
    <w:p w:rsidR="004F436D" w:rsidRPr="00A028F7" w:rsidRDefault="004F436D" w:rsidP="000326BE">
      <w:pPr>
        <w:pStyle w:val="ListParagraph"/>
        <w:numPr>
          <w:ilvl w:val="0"/>
          <w:numId w:val="7"/>
        </w:num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In respect of ground 6, the respondent submits that it is very difficult to understand what the appellant is actually arguing here. The respondent filed a claim before the Rent Board for eviction of the appellant and payment of arrears of rent. The issue of deposit and set off was raised by the appellant not the respondent. If the pleadings are wanting, it is indeed the pleadings of the appellant who never file a counter-claim or set off. The appellant seems to be arguing against its own case about defective pleadings. With respect, the respondent cannot be expected to meet this very c</w:t>
      </w:r>
      <w:r w:rsidR="000326BE">
        <w:rPr>
          <w:rFonts w:ascii="Times New Roman" w:hAnsi="Times New Roman" w:cs="Times New Roman"/>
          <w:i/>
          <w:sz w:val="24"/>
          <w:szCs w:val="24"/>
        </w:rPr>
        <w:t>onfusing and unclear submission</w:t>
      </w:r>
      <w:r w:rsidRPr="00A028F7">
        <w:rPr>
          <w:rFonts w:ascii="Times New Roman" w:hAnsi="Times New Roman" w:cs="Times New Roman"/>
          <w:i/>
          <w:sz w:val="24"/>
          <w:szCs w:val="24"/>
        </w:rPr>
        <w:t xml:space="preserve"> on ground 6 of the appeal.</w:t>
      </w:r>
    </w:p>
    <w:p w:rsidR="004F436D" w:rsidRPr="00A028F7" w:rsidRDefault="004F436D" w:rsidP="000326BE">
      <w:pPr>
        <w:spacing w:after="0" w:line="360" w:lineRule="auto"/>
        <w:ind w:right="720"/>
        <w:jc w:val="both"/>
        <w:rPr>
          <w:rFonts w:ascii="Times New Roman" w:hAnsi="Times New Roman" w:cs="Times New Roman"/>
          <w:i/>
          <w:sz w:val="24"/>
          <w:szCs w:val="24"/>
        </w:rPr>
      </w:pPr>
    </w:p>
    <w:p w:rsidR="004F436D" w:rsidRPr="00A028F7" w:rsidRDefault="004F436D" w:rsidP="000326BE">
      <w:pPr>
        <w:pStyle w:val="ListParagraph"/>
        <w:numPr>
          <w:ilvl w:val="0"/>
          <w:numId w:val="7"/>
        </w:numPr>
        <w:spacing w:after="0" w:line="360" w:lineRule="auto"/>
        <w:ind w:left="1440" w:right="720"/>
        <w:jc w:val="both"/>
        <w:rPr>
          <w:rFonts w:ascii="Times New Roman" w:hAnsi="Times New Roman" w:cs="Times New Roman"/>
          <w:i/>
          <w:sz w:val="24"/>
          <w:szCs w:val="24"/>
        </w:rPr>
      </w:pPr>
      <w:r w:rsidRPr="00A028F7">
        <w:rPr>
          <w:rFonts w:ascii="Times New Roman" w:hAnsi="Times New Roman" w:cs="Times New Roman"/>
          <w:i/>
          <w:sz w:val="24"/>
          <w:szCs w:val="24"/>
        </w:rPr>
        <w:t>The respondent submits that the appeal is vague, frivolous and vexatious and ought to be dismissed with costs. It is clearly an exercise in futility and without merits whatsoever. The respondent therefore submits that this Honourable Court should dismiss the appellant’s appeal with costs.</w:t>
      </w:r>
      <w:r w:rsidR="00CF7258">
        <w:rPr>
          <w:rFonts w:ascii="Times New Roman" w:hAnsi="Times New Roman" w:cs="Times New Roman"/>
          <w:i/>
          <w:sz w:val="24"/>
          <w:szCs w:val="24"/>
        </w:rPr>
        <w:t xml:space="preserve"> </w:t>
      </w:r>
      <w:r w:rsidR="00CF7258">
        <w:rPr>
          <w:rFonts w:ascii="Times New Roman" w:hAnsi="Times New Roman" w:cs="Times New Roman"/>
          <w:sz w:val="24"/>
          <w:szCs w:val="24"/>
        </w:rPr>
        <w:t>[Sic]</w:t>
      </w:r>
    </w:p>
    <w:p w:rsidR="004F436D" w:rsidRPr="00A028F7" w:rsidRDefault="004F436D" w:rsidP="00A028F7">
      <w:pPr>
        <w:spacing w:after="0" w:line="360" w:lineRule="auto"/>
        <w:ind w:left="1440" w:right="720"/>
        <w:jc w:val="both"/>
        <w:rPr>
          <w:rFonts w:ascii="Times New Roman" w:hAnsi="Times New Roman" w:cs="Times New Roman"/>
          <w:i/>
          <w:sz w:val="24"/>
          <w:szCs w:val="24"/>
        </w:rPr>
      </w:pPr>
    </w:p>
    <w:p w:rsidR="00CF7258" w:rsidRDefault="00CF7258" w:rsidP="000326BE">
      <w:pPr>
        <w:pStyle w:val="JudgmentText"/>
        <w:tabs>
          <w:tab w:val="clear" w:pos="360"/>
          <w:tab w:val="num" w:pos="720"/>
        </w:tabs>
        <w:ind w:hanging="720"/>
      </w:pPr>
      <w:r>
        <w:t>The reason I have reproduced the grounds of appeal and the submissions of learned counsel in their entirety is a reflection of the difficulty in comprehending the various demands of the Appellant in the grounds of appeal and the accompanying submission when the only issues that fell to be determined by the Rent Board were:</w:t>
      </w:r>
    </w:p>
    <w:p w:rsidR="00CF7258" w:rsidRDefault="009C4428" w:rsidP="009C4428">
      <w:pPr>
        <w:pStyle w:val="JudgmentText"/>
        <w:numPr>
          <w:ilvl w:val="2"/>
          <w:numId w:val="1"/>
        </w:numPr>
      </w:pPr>
      <w:r>
        <w:t>Whether there were arrears of rent; and</w:t>
      </w:r>
    </w:p>
    <w:p w:rsidR="009C4428" w:rsidRDefault="009C4428" w:rsidP="009C4428">
      <w:pPr>
        <w:pStyle w:val="JudgmentText"/>
        <w:numPr>
          <w:ilvl w:val="2"/>
          <w:numId w:val="1"/>
        </w:numPr>
      </w:pPr>
      <w:r>
        <w:t xml:space="preserve">Whether the </w:t>
      </w:r>
      <w:r w:rsidR="008D4691">
        <w:t xml:space="preserve">rent </w:t>
      </w:r>
      <w:r>
        <w:t>deposit was fully paid.</w:t>
      </w:r>
    </w:p>
    <w:p w:rsidR="009C4428" w:rsidRDefault="009C4428" w:rsidP="009C4428">
      <w:pPr>
        <w:pStyle w:val="JudgmentText"/>
        <w:numPr>
          <w:ilvl w:val="0"/>
          <w:numId w:val="0"/>
        </w:numPr>
        <w:ind w:left="720"/>
      </w:pPr>
      <w:r>
        <w:t>The Rent Board rightly concluded that it had no jurisdiction to entertain contractual issues or issues giving rise to claim for damages in view of its restricted jurisdiction.</w:t>
      </w:r>
      <w:r w:rsidR="008D4691">
        <w:t xml:space="preserve"> The jurisdiction of the Rent Board is limited by the provisions of sections 3, 4 and 10 of the Control of Rent and Tenancy Agreements Act which confines it to fixing rents and ejectment issues in respect of a house or part of a house let as a separate dwelling.</w:t>
      </w:r>
    </w:p>
    <w:p w:rsidR="00C41991" w:rsidRDefault="00215357" w:rsidP="000326BE">
      <w:pPr>
        <w:pStyle w:val="JudgmentText"/>
        <w:tabs>
          <w:tab w:val="clear" w:pos="360"/>
          <w:tab w:val="num" w:pos="720"/>
        </w:tabs>
        <w:ind w:hanging="720"/>
      </w:pPr>
      <w:r>
        <w:t xml:space="preserve">Grounds 1, 2, 3, 4 and 6 are concerned with the issue of deposit. The determination as to whether the initial rent deposit was made in full depended essentially on the facts testified to by the witnesses before the Rent Board. </w:t>
      </w:r>
      <w:proofErr w:type="spellStart"/>
      <w:r>
        <w:t>Nahil</w:t>
      </w:r>
      <w:proofErr w:type="spellEnd"/>
      <w:r>
        <w:t xml:space="preserve"> </w:t>
      </w:r>
      <w:proofErr w:type="spellStart"/>
      <w:r>
        <w:t>Elmasry</w:t>
      </w:r>
      <w:proofErr w:type="spellEnd"/>
      <w:r>
        <w:t xml:space="preserve"> testified on behalf of the Applicant, now Respondent whilst Sabine Hama testified on behalf of the Respondent, now Appellant. It is obvious that the Rent Board did not give much credit to either witnesses’</w:t>
      </w:r>
      <w:r w:rsidR="00DE466A">
        <w:t xml:space="preserve"> testi</w:t>
      </w:r>
      <w:r>
        <w:t>mony</w:t>
      </w:r>
      <w:r w:rsidR="00DE466A">
        <w:t>. However, on balance of probabilities, The Rent Board found in favour of the Respondent but for a lower sum than was claimed. The Rent Board found that in according to the rental agreement a total of Seychelles Rupees 552,000 had to have been paid over the 6 months rental period. The records showed the total payment made or received was Seychelles Rupees 507,800</w:t>
      </w:r>
      <w:r w:rsidR="00C41991">
        <w:t>. This left a balance of Seychelles Rupees 44,200. Since there was a deposit of Seychelles Rupees 30,000 made by the Respondent, the remaining amount due was Seychelles Rupees 14,200.</w:t>
      </w:r>
    </w:p>
    <w:p w:rsidR="007300F7" w:rsidRPr="00FE3C05" w:rsidRDefault="00C41991" w:rsidP="007300F7">
      <w:pPr>
        <w:pStyle w:val="JudgmentText"/>
        <w:tabs>
          <w:tab w:val="clear" w:pos="360"/>
        </w:tabs>
        <w:ind w:hanging="720"/>
      </w:pPr>
      <w:r w:rsidRPr="007300F7">
        <w:t xml:space="preserve">An appeal is not an opportunity for an appellate court to review findings of facts of the trial court or tribunal unless the lower court or tribunal’s finding is so </w:t>
      </w:r>
      <w:r w:rsidR="000C50A8" w:rsidRPr="007300F7">
        <w:t>unreasonable</w:t>
      </w:r>
      <w:r w:rsidR="007300F7">
        <w:t>, perverse</w:t>
      </w:r>
      <w:r w:rsidR="000C50A8" w:rsidRPr="007300F7">
        <w:t xml:space="preserve"> or outrageous that no reasonable court or tribunal could have reached.</w:t>
      </w:r>
      <w:r w:rsidR="007300F7">
        <w:t xml:space="preserve"> </w:t>
      </w:r>
      <w:r w:rsidR="007300F7">
        <w:rPr>
          <w:iCs/>
        </w:rPr>
        <w:t>In</w:t>
      </w:r>
      <w:r w:rsidR="007300F7" w:rsidRPr="00FE3C05">
        <w:rPr>
          <w:iCs/>
        </w:rPr>
        <w:t xml:space="preserve"> the case of</w:t>
      </w:r>
      <w:r w:rsidR="007300F7" w:rsidRPr="00FE3C05">
        <w:rPr>
          <w:i/>
          <w:iCs/>
        </w:rPr>
        <w:t xml:space="preserve"> </w:t>
      </w:r>
      <w:proofErr w:type="spellStart"/>
      <w:r w:rsidR="007300F7" w:rsidRPr="00FE3C05">
        <w:rPr>
          <w:i/>
          <w:iCs/>
          <w:u w:val="single"/>
        </w:rPr>
        <w:t>McGraddie</w:t>
      </w:r>
      <w:proofErr w:type="spellEnd"/>
      <w:r w:rsidR="007300F7" w:rsidRPr="00FE3C05">
        <w:rPr>
          <w:i/>
          <w:iCs/>
          <w:u w:val="single"/>
        </w:rPr>
        <w:t xml:space="preserve"> v </w:t>
      </w:r>
      <w:proofErr w:type="spellStart"/>
      <w:r w:rsidR="007300F7" w:rsidRPr="00FE3C05">
        <w:rPr>
          <w:i/>
          <w:iCs/>
          <w:u w:val="single"/>
        </w:rPr>
        <w:t>McGraddie</w:t>
      </w:r>
      <w:proofErr w:type="spellEnd"/>
      <w:r w:rsidR="007300F7" w:rsidRPr="00FE3C05">
        <w:rPr>
          <w:i/>
          <w:iCs/>
        </w:rPr>
        <w:t> </w:t>
      </w:r>
      <w:hyperlink r:id="rId7" w:tooltip="Link to BAILII version" w:history="1">
        <w:r w:rsidR="007300F7" w:rsidRPr="00FE3C05">
          <w:rPr>
            <w:i/>
            <w:u w:val="single"/>
          </w:rPr>
          <w:t>[2013] UKSC 58</w:t>
        </w:r>
      </w:hyperlink>
      <w:r w:rsidR="007300F7" w:rsidRPr="00FE3C05">
        <w:rPr>
          <w:i/>
          <w:u w:val="single"/>
        </w:rPr>
        <w:t>;</w:t>
      </w:r>
      <w:r w:rsidR="007300F7" w:rsidRPr="00FE3C05">
        <w:rPr>
          <w:i/>
        </w:rPr>
        <w:t> </w:t>
      </w:r>
      <w:hyperlink r:id="rId8" w:tooltip="Link to BAILII version" w:history="1">
        <w:r w:rsidR="007300F7" w:rsidRPr="00FE3C05">
          <w:rPr>
            <w:i/>
            <w:u w:val="single"/>
          </w:rPr>
          <w:t>[2013] 1 WLR 2477</w:t>
        </w:r>
      </w:hyperlink>
      <w:r w:rsidR="007300F7" w:rsidRPr="00FE3C05">
        <w:t xml:space="preserve">  the </w:t>
      </w:r>
      <w:r w:rsidR="007300F7">
        <w:t>Court of Appeal</w:t>
      </w:r>
      <w:r w:rsidR="007300F7" w:rsidRPr="00FE3C05">
        <w:t xml:space="preserve"> stated;</w:t>
      </w:r>
    </w:p>
    <w:p w:rsidR="007300F7" w:rsidRPr="00287136" w:rsidRDefault="007300F7" w:rsidP="007300F7">
      <w:pPr>
        <w:widowControl w:val="0"/>
        <w:autoSpaceDE w:val="0"/>
        <w:autoSpaceDN w:val="0"/>
        <w:adjustRightInd w:val="0"/>
        <w:spacing w:after="240" w:line="360" w:lineRule="auto"/>
        <w:ind w:left="1440" w:right="720" w:hanging="90"/>
        <w:jc w:val="both"/>
        <w:rPr>
          <w:rFonts w:ascii="Times New Roman" w:eastAsia="Calibri" w:hAnsi="Times New Roman" w:cs="Times New Roman"/>
          <w:i/>
          <w:sz w:val="24"/>
          <w:szCs w:val="24"/>
        </w:rPr>
      </w:pPr>
      <w:r w:rsidRPr="00FE3C05">
        <w:rPr>
          <w:rFonts w:ascii="Times New Roman" w:eastAsia="Calibri" w:hAnsi="Times New Roman" w:cs="Times New Roman"/>
          <w:i/>
          <w:sz w:val="24"/>
          <w:szCs w:val="24"/>
        </w:rPr>
        <w:t xml:space="preserve"> “It was a long settled principle, stated and restated in domestic and wider common law jurisprudence, that an appellate court should not interfere with the trial judge’s conclusions on primary facts unless satisfied that he was plainly wrong.”</w:t>
      </w:r>
    </w:p>
    <w:p w:rsidR="007300F7" w:rsidRPr="007300F7" w:rsidRDefault="00215357" w:rsidP="007300F7">
      <w:pPr>
        <w:pStyle w:val="JudgmentText"/>
        <w:tabs>
          <w:tab w:val="clear" w:pos="360"/>
          <w:tab w:val="num" w:pos="720"/>
        </w:tabs>
        <w:ind w:hanging="720"/>
      </w:pPr>
      <w:r>
        <w:t xml:space="preserve"> </w:t>
      </w:r>
      <w:r w:rsidR="007300F7">
        <w:t>I</w:t>
      </w:r>
      <w:r w:rsidR="007300F7" w:rsidRPr="007300F7">
        <w:t xml:space="preserve">n the case of </w:t>
      </w:r>
      <w:r w:rsidR="007300F7" w:rsidRPr="007300F7">
        <w:rPr>
          <w:i/>
          <w:u w:val="single"/>
        </w:rPr>
        <w:t>Ronny Georges Fred v Sound and Vision CA 25/2016 (delivered on 22  November 2017)</w:t>
      </w:r>
      <w:r w:rsidR="007300F7" w:rsidRPr="007300F7">
        <w:t xml:space="preserve"> </w:t>
      </w:r>
      <w:r w:rsidR="007300F7">
        <w:t>this Court stated</w:t>
      </w:r>
      <w:r w:rsidR="007300F7" w:rsidRPr="007300F7">
        <w:t>;</w:t>
      </w:r>
    </w:p>
    <w:p w:rsidR="004F436D" w:rsidRPr="00AE3D71" w:rsidRDefault="007300F7" w:rsidP="007300F7">
      <w:pPr>
        <w:pStyle w:val="JudgmentText"/>
        <w:numPr>
          <w:ilvl w:val="0"/>
          <w:numId w:val="0"/>
        </w:numPr>
        <w:ind w:left="1440" w:right="720"/>
      </w:pPr>
      <w:r w:rsidRPr="007300F7">
        <w:rPr>
          <w:i/>
          <w:lang w:val="en-US"/>
        </w:rPr>
        <w:t>“</w:t>
      </w:r>
      <w:r>
        <w:rPr>
          <w:i/>
          <w:lang w:val="en-US"/>
        </w:rPr>
        <w:t>T</w:t>
      </w:r>
      <w:r w:rsidRPr="007300F7">
        <w:rPr>
          <w:i/>
          <w:lang w:val="en-US"/>
        </w:rPr>
        <w:t>he Appellate Court although it can review the facts, unless it is satisfied that the conclusion of the Tribunal from the facts is perverse and patently unreasonable, should not substitute its own opinion on the facts only because the Appellate Court could have come to a different conclusion”.</w:t>
      </w:r>
      <w:r w:rsidR="00CF7258">
        <w:t xml:space="preserve">  </w:t>
      </w:r>
    </w:p>
    <w:p w:rsidR="004F436D" w:rsidRDefault="00067A99" w:rsidP="004F436D">
      <w:pPr>
        <w:pStyle w:val="JudgmentText"/>
        <w:numPr>
          <w:ilvl w:val="0"/>
          <w:numId w:val="0"/>
        </w:numPr>
        <w:tabs>
          <w:tab w:val="left" w:pos="720"/>
        </w:tabs>
        <w:ind w:left="720"/>
      </w:pPr>
      <w:r>
        <w:t>The Rent Board was well placed to hear the evidence and assess the demeanour of the witnesses and come to the conclusion it did. After all, it was for the parties to prove their respective cases to the satisfact</w:t>
      </w:r>
      <w:r w:rsidR="001A4173">
        <w:t>ion of the law on burden of proof</w:t>
      </w:r>
      <w:r>
        <w:t xml:space="preserve"> and hence convince the Rent Board of its case.</w:t>
      </w:r>
    </w:p>
    <w:p w:rsidR="00E34FB1" w:rsidRDefault="00AF785B" w:rsidP="00786BFE">
      <w:pPr>
        <w:pStyle w:val="JudgmentText"/>
        <w:tabs>
          <w:tab w:val="clear" w:pos="360"/>
        </w:tabs>
        <w:ind w:hanging="720"/>
      </w:pPr>
      <w:r>
        <w:t xml:space="preserve">It is trite law that the parties must prove their case at the trial court and cannot plead evidence that was not brought at the hearing on appeal. This has given rise to arguments of ultra </w:t>
      </w:r>
      <w:proofErr w:type="spellStart"/>
      <w:r>
        <w:t>petita</w:t>
      </w:r>
      <w:proofErr w:type="spellEnd"/>
      <w:r>
        <w:t xml:space="preserve"> by both learned counsel.</w:t>
      </w:r>
      <w:r w:rsidR="00786BFE">
        <w:t xml:space="preserve"> </w:t>
      </w:r>
      <w:r w:rsidR="00E34FB1">
        <w:t xml:space="preserve">That concept was recently addressed by this Court in the case of </w:t>
      </w:r>
      <w:r w:rsidR="00E34FB1" w:rsidRPr="00E34FB1">
        <w:rPr>
          <w:i/>
          <w:u w:val="single"/>
        </w:rPr>
        <w:t>Adonis v Port-Louis &amp; others CS243/2021</w:t>
      </w:r>
      <w:r w:rsidR="00E34FB1">
        <w:t xml:space="preserve"> ruling delivered on 18</w:t>
      </w:r>
      <w:r w:rsidR="00E34FB1" w:rsidRPr="00E34FB1">
        <w:rPr>
          <w:vertAlign w:val="superscript"/>
        </w:rPr>
        <w:t>th</w:t>
      </w:r>
      <w:r w:rsidR="00E34FB1">
        <w:t xml:space="preserve"> March 2022:</w:t>
      </w:r>
    </w:p>
    <w:p w:rsidR="00E34FB1" w:rsidRPr="00E34FB1" w:rsidRDefault="00E34FB1" w:rsidP="00E34FB1">
      <w:pPr>
        <w:pStyle w:val="JudgmentText"/>
        <w:numPr>
          <w:ilvl w:val="0"/>
          <w:numId w:val="0"/>
        </w:numPr>
        <w:ind w:left="1440" w:right="720"/>
        <w:rPr>
          <w:i/>
        </w:rPr>
      </w:pPr>
      <w:r w:rsidRPr="00E34FB1">
        <w:rPr>
          <w:i/>
        </w:rPr>
        <w:t>“</w:t>
      </w:r>
      <w:proofErr w:type="spellStart"/>
      <w:r w:rsidRPr="00E34FB1">
        <w:rPr>
          <w:i/>
        </w:rPr>
        <w:t>Ne</w:t>
      </w:r>
      <w:proofErr w:type="spellEnd"/>
      <w:r w:rsidRPr="00E34FB1">
        <w:rPr>
          <w:i/>
        </w:rPr>
        <w:t xml:space="preserve"> eat </w:t>
      </w:r>
      <w:proofErr w:type="spellStart"/>
      <w:r w:rsidRPr="00E34FB1">
        <w:rPr>
          <w:i/>
        </w:rPr>
        <w:t>iudex</w:t>
      </w:r>
      <w:proofErr w:type="spellEnd"/>
      <w:r w:rsidRPr="00E34FB1">
        <w:rPr>
          <w:i/>
        </w:rPr>
        <w:t xml:space="preserve"> ultra </w:t>
      </w:r>
      <w:proofErr w:type="spellStart"/>
      <w:r w:rsidRPr="00E34FB1">
        <w:rPr>
          <w:i/>
        </w:rPr>
        <w:t>petita</w:t>
      </w:r>
      <w:proofErr w:type="spellEnd"/>
      <w:r w:rsidRPr="00E34FB1">
        <w:rPr>
          <w:i/>
        </w:rPr>
        <w:t xml:space="preserve"> </w:t>
      </w:r>
      <w:proofErr w:type="spellStart"/>
      <w:r w:rsidRPr="00E34FB1">
        <w:rPr>
          <w:i/>
        </w:rPr>
        <w:t>partium</w:t>
      </w:r>
      <w:proofErr w:type="spellEnd"/>
      <w:r w:rsidRPr="00E34FB1">
        <w:rPr>
          <w:i/>
        </w:rPr>
        <w:t xml:space="preserve"> </w:t>
      </w:r>
      <w:proofErr w:type="spellStart"/>
      <w:r w:rsidRPr="00E34FB1">
        <w:rPr>
          <w:i/>
        </w:rPr>
        <w:t>aut</w:t>
      </w:r>
      <w:proofErr w:type="spellEnd"/>
      <w:r w:rsidRPr="00E34FB1">
        <w:rPr>
          <w:i/>
        </w:rPr>
        <w:t xml:space="preserve"> </w:t>
      </w:r>
      <w:proofErr w:type="spellStart"/>
      <w:r w:rsidRPr="00E34FB1">
        <w:rPr>
          <w:i/>
        </w:rPr>
        <w:t>breviter</w:t>
      </w:r>
      <w:proofErr w:type="spellEnd"/>
      <w:r w:rsidRPr="00E34FB1">
        <w:rPr>
          <w:i/>
        </w:rPr>
        <w:t xml:space="preserve"> ne ultra </w:t>
      </w:r>
      <w:proofErr w:type="spellStart"/>
      <w:r w:rsidRPr="00E34FB1">
        <w:rPr>
          <w:i/>
        </w:rPr>
        <w:t>petita</w:t>
      </w:r>
      <w:proofErr w:type="spellEnd"/>
      <w:r w:rsidRPr="00E34FB1">
        <w:rPr>
          <w:i/>
        </w:rPr>
        <w:t xml:space="preserve">”: “The judge should not go beyond the parties' requests or summarily prevent further requests.” Legal maxim translation from Latin </w:t>
      </w:r>
      <w:proofErr w:type="spellStart"/>
      <w:r w:rsidRPr="00E34FB1">
        <w:rPr>
          <w:i/>
        </w:rPr>
        <w:t>brocard</w:t>
      </w:r>
      <w:proofErr w:type="spellEnd"/>
      <w:r w:rsidRPr="00E34FB1">
        <w:rPr>
          <w:i/>
        </w:rPr>
        <w:t xml:space="preserve"> compiled in Ecclesiastical Rules by </w:t>
      </w:r>
      <w:proofErr w:type="spellStart"/>
      <w:r w:rsidRPr="00E34FB1">
        <w:rPr>
          <w:i/>
        </w:rPr>
        <w:t>Burchard</w:t>
      </w:r>
      <w:proofErr w:type="spellEnd"/>
      <w:r w:rsidRPr="00E34FB1">
        <w:rPr>
          <w:i/>
        </w:rPr>
        <w:t xml:space="preserve"> of Worms /Bishop of Worms, Germany. Of course with the gradual disappearance of Latin as a popular language the shorten idiom of ne ultra </w:t>
      </w:r>
      <w:proofErr w:type="spellStart"/>
      <w:r w:rsidRPr="00E34FB1">
        <w:rPr>
          <w:i/>
        </w:rPr>
        <w:t>petita</w:t>
      </w:r>
      <w:proofErr w:type="spellEnd"/>
      <w:r w:rsidRPr="00E34FB1">
        <w:rPr>
          <w:i/>
        </w:rPr>
        <w:t xml:space="preserve"> or </w:t>
      </w:r>
      <w:proofErr w:type="spellStart"/>
      <w:r w:rsidRPr="00E34FB1">
        <w:rPr>
          <w:i/>
        </w:rPr>
        <w:t>non ultra</w:t>
      </w:r>
      <w:proofErr w:type="spellEnd"/>
      <w:r w:rsidRPr="00E34FB1">
        <w:rPr>
          <w:i/>
        </w:rPr>
        <w:t xml:space="preserve"> </w:t>
      </w:r>
      <w:proofErr w:type="spellStart"/>
      <w:r w:rsidRPr="00E34FB1">
        <w:rPr>
          <w:i/>
        </w:rPr>
        <w:t>petita</w:t>
      </w:r>
      <w:proofErr w:type="spellEnd"/>
      <w:r w:rsidRPr="00E34FB1">
        <w:rPr>
          <w:i/>
        </w:rPr>
        <w:t xml:space="preserve"> or ultra </w:t>
      </w:r>
      <w:proofErr w:type="spellStart"/>
      <w:r w:rsidRPr="00E34FB1">
        <w:rPr>
          <w:i/>
        </w:rPr>
        <w:t>petita</w:t>
      </w:r>
      <w:proofErr w:type="spellEnd"/>
      <w:r w:rsidRPr="00E34FB1">
        <w:rPr>
          <w:i/>
        </w:rPr>
        <w:t xml:space="preserve"> represents the whole concept.</w:t>
      </w:r>
      <w:r>
        <w:rPr>
          <w:i/>
        </w:rPr>
        <w:t>”</w:t>
      </w:r>
    </w:p>
    <w:p w:rsidR="00D5799C" w:rsidRDefault="00786BFE" w:rsidP="00A84DBC">
      <w:pPr>
        <w:pStyle w:val="JudgmentText"/>
        <w:tabs>
          <w:tab w:val="clear" w:pos="360"/>
        </w:tabs>
        <w:ind w:hanging="720"/>
        <w:rPr>
          <w:rFonts w:cs="Times New Roman"/>
        </w:rPr>
      </w:pPr>
      <w:r>
        <w:t>T</w:t>
      </w:r>
      <w:r w:rsidRPr="00786BFE">
        <w:t xml:space="preserve">he principle of </w:t>
      </w:r>
      <w:proofErr w:type="spellStart"/>
      <w:r w:rsidRPr="00786BFE">
        <w:rPr>
          <w:i/>
        </w:rPr>
        <w:t>non ultra</w:t>
      </w:r>
      <w:proofErr w:type="spellEnd"/>
      <w:r w:rsidRPr="00786BFE">
        <w:rPr>
          <w:i/>
        </w:rPr>
        <w:t xml:space="preserve"> </w:t>
      </w:r>
      <w:proofErr w:type="spellStart"/>
      <w:r w:rsidRPr="00786BFE">
        <w:rPr>
          <w:i/>
        </w:rPr>
        <w:t>petita</w:t>
      </w:r>
      <w:proofErr w:type="spellEnd"/>
      <w:r w:rsidRPr="00786BFE">
        <w:t xml:space="preserve">, </w:t>
      </w:r>
      <w:r>
        <w:t>entails</w:t>
      </w:r>
      <w:r w:rsidRPr="00786BFE">
        <w:t xml:space="preserve"> that a court may not decide or award more than it has been asked to. </w:t>
      </w:r>
      <w:r>
        <w:t>Of course, a party may object at the hearing of a matter that a party is asking or leading evidence for matters not pleaded. However, a party can also argue on appeal that the Court took into consideration in its judgment matter</w:t>
      </w:r>
      <w:r w:rsidR="001A4173">
        <w:t>s</w:t>
      </w:r>
      <w:r>
        <w:t xml:space="preserve"> not contained in the pleadings. </w:t>
      </w:r>
      <w:r w:rsidR="00D5799C">
        <w:rPr>
          <w:rFonts w:cs="Times New Roman"/>
        </w:rPr>
        <w:t>Section 4 of the Control of Rent and Tenancy Agreements Act give</w:t>
      </w:r>
      <w:r w:rsidR="001A4173">
        <w:rPr>
          <w:rFonts w:cs="Times New Roman"/>
        </w:rPr>
        <w:t>s</w:t>
      </w:r>
      <w:r w:rsidR="00D5799C">
        <w:rPr>
          <w:rFonts w:cs="Times New Roman"/>
        </w:rPr>
        <w:t xml:space="preserve"> jurisdiction to the Rent Board to adjudicate the issue of rent by fixing,</w:t>
      </w:r>
      <w:r w:rsidR="001A4173">
        <w:rPr>
          <w:rFonts w:cs="Times New Roman"/>
        </w:rPr>
        <w:t xml:space="preserve"> increasing </w:t>
      </w:r>
      <w:proofErr w:type="gramStart"/>
      <w:r w:rsidR="001A4173">
        <w:rPr>
          <w:rFonts w:cs="Times New Roman"/>
        </w:rPr>
        <w:t>or</w:t>
      </w:r>
      <w:r w:rsidR="00D5799C">
        <w:rPr>
          <w:rFonts w:cs="Times New Roman"/>
        </w:rPr>
        <w:t xml:space="preserve">  reducing</w:t>
      </w:r>
      <w:proofErr w:type="gramEnd"/>
      <w:r w:rsidR="00D5799C">
        <w:rPr>
          <w:rFonts w:cs="Times New Roman"/>
        </w:rPr>
        <w:t xml:space="preserve"> it</w:t>
      </w:r>
      <w:r w:rsidR="00A84DBC">
        <w:rPr>
          <w:rFonts w:cs="Times New Roman"/>
        </w:rPr>
        <w:t>.</w:t>
      </w:r>
      <w:r w:rsidR="00D5799C">
        <w:rPr>
          <w:rFonts w:cs="Times New Roman"/>
        </w:rPr>
        <w:t xml:space="preserve"> </w:t>
      </w:r>
      <w:r w:rsidR="00A84DBC">
        <w:rPr>
          <w:rFonts w:cs="Times New Roman"/>
        </w:rPr>
        <w:t>It is implied in the powers and jurisdiction that the Board can also determine outstanding rent and deposits of rent as necessary for it to fix the rent payable. Such specifics of arrears need not be pleaded but proved by evidence.</w:t>
      </w:r>
    </w:p>
    <w:p w:rsidR="00A84DBC" w:rsidRDefault="00A84DBC" w:rsidP="00A84DBC">
      <w:pPr>
        <w:pStyle w:val="JudgmentText"/>
        <w:tabs>
          <w:tab w:val="clear" w:pos="360"/>
        </w:tabs>
        <w:ind w:hanging="720"/>
      </w:pPr>
      <w:r>
        <w:t xml:space="preserve">Whilst I do not see any reason why the Appellant cannot raise it as a ground of appeal, the Appellant has not made out a case that: </w:t>
      </w:r>
    </w:p>
    <w:p w:rsidR="00A84DBC" w:rsidRDefault="00A84DBC" w:rsidP="00A84DBC">
      <w:pPr>
        <w:spacing w:line="360" w:lineRule="auto"/>
        <w:ind w:left="1440" w:right="720"/>
        <w:jc w:val="both"/>
        <w:rPr>
          <w:rFonts w:ascii="Times New Roman" w:hAnsi="Times New Roman" w:cs="Times New Roman"/>
          <w:i/>
          <w:sz w:val="24"/>
          <w:szCs w:val="24"/>
        </w:rPr>
      </w:pPr>
      <w:r>
        <w:rPr>
          <w:rFonts w:ascii="Times New Roman" w:hAnsi="Times New Roman" w:cs="Times New Roman"/>
          <w:i/>
          <w:sz w:val="24"/>
          <w:szCs w:val="24"/>
        </w:rPr>
        <w:t>“</w:t>
      </w:r>
      <w:proofErr w:type="gramStart"/>
      <w:r w:rsidRPr="00664C85">
        <w:rPr>
          <w:rFonts w:ascii="Times New Roman" w:hAnsi="Times New Roman" w:cs="Times New Roman"/>
          <w:i/>
          <w:sz w:val="24"/>
          <w:szCs w:val="24"/>
        </w:rPr>
        <w:t>since</w:t>
      </w:r>
      <w:proofErr w:type="gramEnd"/>
      <w:r w:rsidRPr="00664C85">
        <w:rPr>
          <w:rFonts w:ascii="Times New Roman" w:hAnsi="Times New Roman" w:cs="Times New Roman"/>
          <w:i/>
          <w:sz w:val="24"/>
          <w:szCs w:val="24"/>
        </w:rPr>
        <w:t xml:space="preserve"> the insufficient deposit was not pleaded and claimed with the arrears claimed then it could not be taken into consideration in the final award and therefore </w:t>
      </w:r>
      <w:r>
        <w:rPr>
          <w:rFonts w:ascii="Times New Roman" w:hAnsi="Times New Roman" w:cs="Times New Roman"/>
          <w:i/>
          <w:sz w:val="24"/>
          <w:szCs w:val="24"/>
        </w:rPr>
        <w:t>…</w:t>
      </w:r>
      <w:r w:rsidRPr="00664C85">
        <w:rPr>
          <w:rFonts w:ascii="Times New Roman" w:hAnsi="Times New Roman" w:cs="Times New Roman"/>
          <w:i/>
          <w:sz w:val="24"/>
          <w:szCs w:val="24"/>
        </w:rPr>
        <w:t xml:space="preserve"> the final award of the rent board was ultra </w:t>
      </w:r>
      <w:proofErr w:type="spellStart"/>
      <w:r w:rsidRPr="00664C85">
        <w:rPr>
          <w:rFonts w:ascii="Times New Roman" w:hAnsi="Times New Roman" w:cs="Times New Roman"/>
          <w:i/>
          <w:sz w:val="24"/>
          <w:szCs w:val="24"/>
        </w:rPr>
        <w:t>petita</w:t>
      </w:r>
      <w:proofErr w:type="spellEnd"/>
      <w:r w:rsidRPr="00664C85">
        <w:rPr>
          <w:rFonts w:ascii="Times New Roman" w:hAnsi="Times New Roman" w:cs="Times New Roman"/>
          <w:i/>
          <w:sz w:val="24"/>
          <w:szCs w:val="24"/>
        </w:rPr>
        <w:t xml:space="preserve"> and therefore not legal</w:t>
      </w:r>
      <w:r>
        <w:rPr>
          <w:rFonts w:ascii="Times New Roman" w:hAnsi="Times New Roman" w:cs="Times New Roman"/>
          <w:i/>
          <w:sz w:val="24"/>
          <w:szCs w:val="24"/>
        </w:rPr>
        <w:t>”</w:t>
      </w:r>
      <w:r w:rsidRPr="00664C85">
        <w:rPr>
          <w:rFonts w:ascii="Times New Roman" w:hAnsi="Times New Roman" w:cs="Times New Roman"/>
          <w:i/>
          <w:sz w:val="24"/>
          <w:szCs w:val="24"/>
        </w:rPr>
        <w:t xml:space="preserve">. </w:t>
      </w:r>
    </w:p>
    <w:p w:rsidR="00A84DBC" w:rsidRPr="00D5799C" w:rsidRDefault="00A84DBC" w:rsidP="00A84DBC">
      <w:pPr>
        <w:pStyle w:val="JudgmentText"/>
        <w:numPr>
          <w:ilvl w:val="0"/>
          <w:numId w:val="0"/>
        </w:numPr>
        <w:ind w:left="720"/>
        <w:rPr>
          <w:rFonts w:cs="Times New Roman"/>
        </w:rPr>
      </w:pPr>
      <w:r>
        <w:rPr>
          <w:rFonts w:cs="Times New Roman"/>
        </w:rPr>
        <w:t>Grounds 1, 2, 3, 4 and 6 of appeal are ill-founded and are dismissed accordingly.</w:t>
      </w:r>
    </w:p>
    <w:p w:rsidR="00206DE8" w:rsidRDefault="00067A99" w:rsidP="00067A99">
      <w:pPr>
        <w:pStyle w:val="JudgmentText"/>
        <w:tabs>
          <w:tab w:val="clear" w:pos="360"/>
          <w:tab w:val="num" w:pos="720"/>
        </w:tabs>
        <w:ind w:hanging="720"/>
      </w:pPr>
      <w:r>
        <w:t>In respect of ground 5, that ground of appeal does not seem concerned with the fact</w:t>
      </w:r>
      <w:r w:rsidR="00A84DBC">
        <w:t>s</w:t>
      </w:r>
      <w:r>
        <w:t xml:space="preserve"> or the law governing the issue that was tried by the Rent Board but rather aimed at the competence and diligences of the Rent Board. That is not acceptable. All adjudicating authorities are presumed to have the competencies to attend to and address matters it is expected to </w:t>
      </w:r>
      <w:r w:rsidR="00EB1234">
        <w:t>adjudicate</w:t>
      </w:r>
      <w:r w:rsidR="001A4173">
        <w:t xml:space="preserve"> on</w:t>
      </w:r>
      <w:r w:rsidR="00EB1234">
        <w:t>. In so doing it is presumed that it does look discerningly at all pleadings and evidence.</w:t>
      </w:r>
      <w:r>
        <w:t xml:space="preserve"> </w:t>
      </w:r>
      <w:r w:rsidR="00EB1234">
        <w:t>To contend otherwise is to challenge the competency of the adjudicating authority. Such challenge cannot be a ground of appeal.</w:t>
      </w:r>
      <w:r w:rsidR="00206DE8">
        <w:t xml:space="preserve"> Whether it is deliberate or inadvertent, it is discourteous to the adjudicating authority</w:t>
      </w:r>
      <w:r w:rsidR="005C798B">
        <w:t xml:space="preserve"> and unnecessary</w:t>
      </w:r>
      <w:r w:rsidR="00206DE8">
        <w:t>.</w:t>
      </w:r>
      <w:r w:rsidR="00EB1234">
        <w:t xml:space="preserve"> </w:t>
      </w:r>
      <w:r w:rsidR="005C798B">
        <w:t>In respect of the issue of r</w:t>
      </w:r>
      <w:r w:rsidR="001A4173">
        <w:t>ent at hand, this ground has no</w:t>
      </w:r>
      <w:r w:rsidR="005C798B">
        <w:t xml:space="preserve"> bearing nor merit and is dismissed accordingly.</w:t>
      </w:r>
    </w:p>
    <w:p w:rsidR="00EB1234" w:rsidRDefault="005C798B" w:rsidP="001B7903">
      <w:pPr>
        <w:pStyle w:val="JudgmentText"/>
        <w:tabs>
          <w:tab w:val="clear" w:pos="360"/>
          <w:tab w:val="num" w:pos="720"/>
        </w:tabs>
        <w:ind w:hanging="720"/>
      </w:pPr>
      <w:r>
        <w:t>This appeal is therefore dismissed in its entirety.</w:t>
      </w:r>
    </w:p>
    <w:p w:rsidR="00A5785A" w:rsidRDefault="001B7903" w:rsidP="00A5785A">
      <w:pPr>
        <w:pStyle w:val="JudgmentText"/>
        <w:tabs>
          <w:tab w:val="clear" w:pos="360"/>
          <w:tab w:val="left" w:pos="720"/>
        </w:tabs>
        <w:ind w:hanging="720"/>
      </w:pPr>
      <w:r>
        <w:t>I award costs to the Respondent</w:t>
      </w:r>
      <w:r w:rsidR="00A5785A">
        <w:t>.</w:t>
      </w:r>
    </w:p>
    <w:p w:rsidR="00A5785A" w:rsidRDefault="00A5785A" w:rsidP="00A5785A">
      <w:pPr>
        <w:keepNext/>
        <w:rPr>
          <w:rFonts w:ascii="Times New Roman" w:hAnsi="Times New Roman"/>
          <w:sz w:val="24"/>
          <w:szCs w:val="24"/>
        </w:rPr>
      </w:pPr>
      <w:r>
        <w:rPr>
          <w:rFonts w:ascii="Times New Roman" w:hAnsi="Times New Roman"/>
          <w:sz w:val="24"/>
          <w:szCs w:val="24"/>
        </w:rPr>
        <w:t>Signed, dated an</w:t>
      </w:r>
      <w:r w:rsidR="001B7903">
        <w:rPr>
          <w:rFonts w:ascii="Times New Roman" w:hAnsi="Times New Roman"/>
          <w:sz w:val="24"/>
          <w:szCs w:val="24"/>
        </w:rPr>
        <w:t>d delivered at Ile du Port on 24</w:t>
      </w:r>
      <w:r>
        <w:rPr>
          <w:rFonts w:ascii="Times New Roman" w:hAnsi="Times New Roman"/>
          <w:sz w:val="24"/>
          <w:szCs w:val="24"/>
        </w:rPr>
        <w:t xml:space="preserve"> </w:t>
      </w:r>
      <w:r w:rsidR="001B7903">
        <w:rPr>
          <w:rFonts w:ascii="Times New Roman" w:hAnsi="Times New Roman"/>
          <w:sz w:val="24"/>
          <w:szCs w:val="24"/>
        </w:rPr>
        <w:t>March</w:t>
      </w:r>
      <w:r>
        <w:rPr>
          <w:rFonts w:ascii="Times New Roman" w:hAnsi="Times New Roman"/>
          <w:sz w:val="24"/>
          <w:szCs w:val="24"/>
        </w:rPr>
        <w:t xml:space="preserve"> 202</w:t>
      </w:r>
      <w:r w:rsidR="001B7903">
        <w:rPr>
          <w:rFonts w:ascii="Times New Roman" w:hAnsi="Times New Roman"/>
          <w:sz w:val="24"/>
          <w:szCs w:val="24"/>
        </w:rPr>
        <w:t>2</w:t>
      </w:r>
      <w:r>
        <w:rPr>
          <w:rFonts w:ascii="Times New Roman" w:hAnsi="Times New Roman"/>
          <w:sz w:val="24"/>
          <w:szCs w:val="24"/>
        </w:rPr>
        <w:t xml:space="preserve">. </w:t>
      </w:r>
    </w:p>
    <w:p w:rsidR="00A5785A" w:rsidRDefault="00A5785A" w:rsidP="00A5785A">
      <w:pPr>
        <w:keepNext/>
        <w:rPr>
          <w:rFonts w:ascii="Times New Roman" w:hAnsi="Times New Roman"/>
          <w:sz w:val="24"/>
          <w:szCs w:val="24"/>
        </w:rPr>
      </w:pPr>
    </w:p>
    <w:p w:rsidR="00A5785A" w:rsidRDefault="00A5785A" w:rsidP="00A5785A">
      <w:pPr>
        <w:keepNext/>
        <w:rPr>
          <w:rFonts w:ascii="Times New Roman" w:hAnsi="Times New Roman"/>
          <w:sz w:val="24"/>
          <w:szCs w:val="24"/>
        </w:rPr>
      </w:pPr>
      <w:r>
        <w:rPr>
          <w:rFonts w:ascii="Times New Roman" w:hAnsi="Times New Roman"/>
          <w:sz w:val="24"/>
          <w:szCs w:val="24"/>
        </w:rPr>
        <w:t>____________</w:t>
      </w:r>
    </w:p>
    <w:p w:rsidR="00A5785A" w:rsidRDefault="00A5785A" w:rsidP="00A5785A">
      <w:pPr>
        <w:keepNext/>
        <w:rPr>
          <w:rFonts w:ascii="Times New Roman" w:hAnsi="Times New Roman"/>
          <w:sz w:val="24"/>
          <w:szCs w:val="24"/>
        </w:rPr>
      </w:pPr>
      <w:r>
        <w:rPr>
          <w:rFonts w:ascii="Times New Roman" w:hAnsi="Times New Roman"/>
          <w:sz w:val="24"/>
          <w:szCs w:val="24"/>
        </w:rPr>
        <w:t>Dodin J.</w:t>
      </w:r>
    </w:p>
    <w:bookmarkEnd w:id="0"/>
    <w:p w:rsidR="00A84DBC" w:rsidRDefault="00A84DBC" w:rsidP="00A5785A">
      <w:pPr>
        <w:pStyle w:val="JudgmentText"/>
        <w:numPr>
          <w:ilvl w:val="0"/>
          <w:numId w:val="0"/>
        </w:numPr>
        <w:ind w:left="720"/>
      </w:pPr>
    </w:p>
    <w:sectPr w:rsidR="00A84D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DB" w:rsidRDefault="00C46EDB" w:rsidP="00F630F9">
      <w:pPr>
        <w:spacing w:after="0" w:line="240" w:lineRule="auto"/>
      </w:pPr>
      <w:r>
        <w:separator/>
      </w:r>
    </w:p>
  </w:endnote>
  <w:endnote w:type="continuationSeparator" w:id="0">
    <w:p w:rsidR="00C46EDB" w:rsidRDefault="00C46EDB" w:rsidP="00F6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9584"/>
      <w:docPartObj>
        <w:docPartGallery w:val="Page Numbers (Bottom of Page)"/>
        <w:docPartUnique/>
      </w:docPartObj>
    </w:sdtPr>
    <w:sdtEndPr>
      <w:rPr>
        <w:noProof/>
      </w:rPr>
    </w:sdtEndPr>
    <w:sdtContent>
      <w:p w:rsidR="00F630F9" w:rsidRDefault="00F630F9">
        <w:pPr>
          <w:pStyle w:val="Footer"/>
          <w:jc w:val="right"/>
        </w:pPr>
        <w:r>
          <w:fldChar w:fldCharType="begin"/>
        </w:r>
        <w:r>
          <w:instrText xml:space="preserve"> PAGE   \* MERGEFORMAT </w:instrText>
        </w:r>
        <w:r>
          <w:fldChar w:fldCharType="separate"/>
        </w:r>
        <w:r w:rsidR="004378F6">
          <w:rPr>
            <w:noProof/>
          </w:rPr>
          <w:t>16</w:t>
        </w:r>
        <w:r>
          <w:rPr>
            <w:noProof/>
          </w:rPr>
          <w:fldChar w:fldCharType="end"/>
        </w:r>
      </w:p>
    </w:sdtContent>
  </w:sdt>
  <w:p w:rsidR="00F630F9" w:rsidRDefault="00F6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DB" w:rsidRDefault="00C46EDB" w:rsidP="00F630F9">
      <w:pPr>
        <w:spacing w:after="0" w:line="240" w:lineRule="auto"/>
      </w:pPr>
      <w:r>
        <w:separator/>
      </w:r>
    </w:p>
  </w:footnote>
  <w:footnote w:type="continuationSeparator" w:id="0">
    <w:p w:rsidR="00C46EDB" w:rsidRDefault="00C46EDB" w:rsidP="00F6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A40"/>
    <w:multiLevelType w:val="hybridMultilevel"/>
    <w:tmpl w:val="CADA9BE0"/>
    <w:lvl w:ilvl="0" w:tplc="636EDC98">
      <w:start w:val="1"/>
      <w:numFmt w:val="lowerLetter"/>
      <w:lvlText w:val="(%1)"/>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E07D5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148AC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D41F42">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908EA8">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AE09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942550">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72111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AC17CA">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07894"/>
    <w:multiLevelType w:val="hybridMultilevel"/>
    <w:tmpl w:val="ACEE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F40FB"/>
    <w:multiLevelType w:val="hybridMultilevel"/>
    <w:tmpl w:val="5206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52091"/>
    <w:multiLevelType w:val="hybridMultilevel"/>
    <w:tmpl w:val="1EAAB0E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4E50A0"/>
    <w:multiLevelType w:val="hybridMultilevel"/>
    <w:tmpl w:val="C7B626FC"/>
    <w:lvl w:ilvl="0" w:tplc="EEC20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C42A8"/>
    <w:multiLevelType w:val="hybridMultilevel"/>
    <w:tmpl w:val="FD0421AC"/>
    <w:lvl w:ilvl="0" w:tplc="E2BE1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93F62"/>
    <w:multiLevelType w:val="hybridMultilevel"/>
    <w:tmpl w:val="A4AA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0"/>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5A"/>
    <w:rsid w:val="000326BE"/>
    <w:rsid w:val="00067A99"/>
    <w:rsid w:val="000B2F02"/>
    <w:rsid w:val="000C50A8"/>
    <w:rsid w:val="001155F4"/>
    <w:rsid w:val="00182F5B"/>
    <w:rsid w:val="001A4173"/>
    <w:rsid w:val="001B7903"/>
    <w:rsid w:val="00206DE8"/>
    <w:rsid w:val="00215357"/>
    <w:rsid w:val="002357AF"/>
    <w:rsid w:val="00352993"/>
    <w:rsid w:val="003D5F66"/>
    <w:rsid w:val="004378F6"/>
    <w:rsid w:val="00456BB0"/>
    <w:rsid w:val="004F436D"/>
    <w:rsid w:val="0052473E"/>
    <w:rsid w:val="005C798B"/>
    <w:rsid w:val="00664C85"/>
    <w:rsid w:val="007236C8"/>
    <w:rsid w:val="007300F7"/>
    <w:rsid w:val="00786BFE"/>
    <w:rsid w:val="00842C2E"/>
    <w:rsid w:val="00846611"/>
    <w:rsid w:val="00850ABE"/>
    <w:rsid w:val="008D4691"/>
    <w:rsid w:val="009B28D4"/>
    <w:rsid w:val="009C4428"/>
    <w:rsid w:val="009E7950"/>
    <w:rsid w:val="00A028F7"/>
    <w:rsid w:val="00A5785A"/>
    <w:rsid w:val="00A84DBC"/>
    <w:rsid w:val="00A86C71"/>
    <w:rsid w:val="00AC0F59"/>
    <w:rsid w:val="00AF785B"/>
    <w:rsid w:val="00B95BF9"/>
    <w:rsid w:val="00C41991"/>
    <w:rsid w:val="00C46EDB"/>
    <w:rsid w:val="00CF7258"/>
    <w:rsid w:val="00D5799C"/>
    <w:rsid w:val="00DE466A"/>
    <w:rsid w:val="00E34FB1"/>
    <w:rsid w:val="00E64A7D"/>
    <w:rsid w:val="00EB1234"/>
    <w:rsid w:val="00F02886"/>
    <w:rsid w:val="00F214F8"/>
    <w:rsid w:val="00F6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C232-48FB-457B-9758-5BAB7EF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F436D"/>
    <w:pPr>
      <w:keepNext/>
      <w:keepLines/>
      <w:spacing w:after="244"/>
      <w:ind w:left="10" w:right="6"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5785A"/>
    <w:rPr>
      <w:lang w:val="en-GB"/>
    </w:rPr>
  </w:style>
  <w:style w:type="paragraph" w:customStyle="1" w:styleId="ListParagraph1">
    <w:name w:val="List Paragraph1"/>
    <w:basedOn w:val="Normal"/>
    <w:next w:val="ListParagraph"/>
    <w:uiPriority w:val="34"/>
    <w:qFormat/>
    <w:rsid w:val="00A5785A"/>
    <w:pPr>
      <w:spacing w:line="256" w:lineRule="auto"/>
      <w:ind w:left="720"/>
      <w:contextualSpacing/>
    </w:pPr>
    <w:rPr>
      <w:lang w:val="en-GB"/>
    </w:rPr>
  </w:style>
  <w:style w:type="paragraph" w:customStyle="1" w:styleId="JudgmentText">
    <w:name w:val="Judgment Text"/>
    <w:basedOn w:val="ListParagraph"/>
    <w:qFormat/>
    <w:rsid w:val="00A5785A"/>
    <w:pPr>
      <w:numPr>
        <w:numId w:val="1"/>
      </w:numPr>
      <w:tabs>
        <w:tab w:val="num" w:pos="360"/>
      </w:tabs>
      <w:spacing w:after="240" w:line="360" w:lineRule="auto"/>
      <w:ind w:firstLine="0"/>
      <w:contextualSpacing w:val="0"/>
      <w:jc w:val="both"/>
    </w:pPr>
    <w:rPr>
      <w:rFonts w:ascii="Times New Roman" w:eastAsia="Times New Roman" w:hAnsi="Times New Roman"/>
      <w:sz w:val="24"/>
      <w:szCs w:val="24"/>
    </w:rPr>
  </w:style>
  <w:style w:type="character" w:customStyle="1" w:styleId="PartynamesChar">
    <w:name w:val="Party names Char"/>
    <w:basedOn w:val="DefaultParagraphFont"/>
    <w:link w:val="Partynames"/>
    <w:locked/>
    <w:rsid w:val="00A5785A"/>
    <w:rPr>
      <w:rFonts w:ascii="Times New Roman" w:hAnsi="Times New Roman" w:cs="Times New Roman"/>
      <w:b/>
      <w:sz w:val="24"/>
      <w:szCs w:val="24"/>
      <w:lang w:val="en-GB"/>
    </w:rPr>
  </w:style>
  <w:style w:type="paragraph" w:customStyle="1" w:styleId="Partynames">
    <w:name w:val="Party names"/>
    <w:basedOn w:val="Normal"/>
    <w:link w:val="PartynamesChar"/>
    <w:qFormat/>
    <w:rsid w:val="00A5785A"/>
    <w:pPr>
      <w:tabs>
        <w:tab w:val="left" w:pos="540"/>
        <w:tab w:val="left" w:pos="5580"/>
      </w:tabs>
      <w:spacing w:before="240" w:after="0" w:line="240" w:lineRule="auto"/>
    </w:pPr>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locked/>
    <w:rsid w:val="00A5785A"/>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A5785A"/>
    <w:pPr>
      <w:tabs>
        <w:tab w:val="left" w:pos="540"/>
        <w:tab w:val="left" w:pos="4092"/>
        <w:tab w:val="left" w:pos="5580"/>
      </w:tabs>
      <w:spacing w:after="0" w:line="240" w:lineRule="auto"/>
    </w:pPr>
    <w:rPr>
      <w:rFonts w:ascii="Times New Roman" w:hAnsi="Times New Roman" w:cs="Times New Roman"/>
      <w:i/>
      <w:sz w:val="24"/>
      <w:szCs w:val="24"/>
      <w:lang w:val="en-GB"/>
    </w:rPr>
  </w:style>
  <w:style w:type="paragraph" w:customStyle="1" w:styleId="estatutes-1-section">
    <w:name w:val="estatutes-1-section"/>
    <w:basedOn w:val="Normal"/>
    <w:rsid w:val="00A57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A5785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Judgments">
    <w:name w:val="Judgments"/>
    <w:uiPriority w:val="99"/>
    <w:rsid w:val="00A5785A"/>
    <w:pPr>
      <w:numPr>
        <w:numId w:val="3"/>
      </w:numPr>
    </w:pPr>
  </w:style>
  <w:style w:type="paragraph" w:styleId="ListParagraph">
    <w:name w:val="List Paragraph"/>
    <w:basedOn w:val="Normal"/>
    <w:link w:val="ListParagraphChar"/>
    <w:uiPriority w:val="34"/>
    <w:qFormat/>
    <w:rsid w:val="00A5785A"/>
    <w:pPr>
      <w:ind w:left="720"/>
      <w:contextualSpacing/>
    </w:pPr>
    <w:rPr>
      <w:lang w:val="en-GB"/>
    </w:rPr>
  </w:style>
  <w:style w:type="character" w:customStyle="1" w:styleId="Heading1Char">
    <w:name w:val="Heading 1 Char"/>
    <w:basedOn w:val="DefaultParagraphFont"/>
    <w:link w:val="Heading1"/>
    <w:uiPriority w:val="9"/>
    <w:rsid w:val="004F436D"/>
    <w:rPr>
      <w:rFonts w:ascii="Calibri" w:eastAsia="Calibri" w:hAnsi="Calibri" w:cs="Calibri"/>
      <w:color w:val="000000"/>
      <w:sz w:val="24"/>
      <w:u w:val="single" w:color="000000"/>
    </w:rPr>
  </w:style>
  <w:style w:type="paragraph" w:customStyle="1" w:styleId="rtejustify">
    <w:name w:val="rtejustify"/>
    <w:basedOn w:val="Normal"/>
    <w:rsid w:val="004F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436D"/>
  </w:style>
  <w:style w:type="character" w:styleId="Emphasis">
    <w:name w:val="Emphasis"/>
    <w:basedOn w:val="DefaultParagraphFont"/>
    <w:uiPriority w:val="20"/>
    <w:qFormat/>
    <w:rsid w:val="004F436D"/>
    <w:rPr>
      <w:i/>
      <w:iCs/>
    </w:rPr>
  </w:style>
  <w:style w:type="paragraph" w:styleId="BalloonText">
    <w:name w:val="Balloon Text"/>
    <w:basedOn w:val="Normal"/>
    <w:link w:val="BalloonTextChar"/>
    <w:uiPriority w:val="99"/>
    <w:semiHidden/>
    <w:unhideWhenUsed/>
    <w:rsid w:val="00F6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F9"/>
    <w:rPr>
      <w:rFonts w:ascii="Segoe UI" w:hAnsi="Segoe UI" w:cs="Segoe UI"/>
      <w:sz w:val="18"/>
      <w:szCs w:val="18"/>
    </w:rPr>
  </w:style>
  <w:style w:type="paragraph" w:styleId="Header">
    <w:name w:val="header"/>
    <w:basedOn w:val="Normal"/>
    <w:link w:val="HeaderChar"/>
    <w:uiPriority w:val="99"/>
    <w:unhideWhenUsed/>
    <w:rsid w:val="00F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F9"/>
  </w:style>
  <w:style w:type="paragraph" w:styleId="Footer">
    <w:name w:val="footer"/>
    <w:basedOn w:val="Normal"/>
    <w:link w:val="FooterChar"/>
    <w:uiPriority w:val="99"/>
    <w:unhideWhenUsed/>
    <w:rsid w:val="00F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redirect.cgi?path=/uk/cases/UKSC/2013/58.html" TargetMode="External"/><Relationship Id="rId3" Type="http://schemas.openxmlformats.org/officeDocument/2006/relationships/settings" Target="settings.xml"/><Relationship Id="rId7" Type="http://schemas.openxmlformats.org/officeDocument/2006/relationships/hyperlink" Target="http://www.bailii.org/uk/cases/UKSC/2013/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Dodin</dc:creator>
  <cp:keywords/>
  <dc:description/>
  <cp:lastModifiedBy>Olya Hetsman</cp:lastModifiedBy>
  <cp:revision>5</cp:revision>
  <cp:lastPrinted>2022-03-24T10:04:00Z</cp:lastPrinted>
  <dcterms:created xsi:type="dcterms:W3CDTF">2022-03-30T07:19:00Z</dcterms:created>
  <dcterms:modified xsi:type="dcterms:W3CDTF">2022-06-15T05:33:00Z</dcterms:modified>
</cp:coreProperties>
</file>