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D2" w:rsidRPr="004A2599" w:rsidRDefault="00BA6DFD" w:rsidP="00214DB4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68</w:t>
      </w:r>
      <w:bookmarkStart w:id="0" w:name="_GoBack"/>
      <w:bookmarkEnd w:id="0"/>
      <w:r w:rsidR="001D33D2" w:rsidRPr="004A2599">
        <w:rPr>
          <w:rFonts w:ascii="Times New Roman" w:hAnsi="Times New Roman" w:cs="Times New Roman"/>
          <w:b/>
          <w:sz w:val="24"/>
          <w:szCs w:val="24"/>
        </w:rPr>
        <w:t>SUPREME</w:t>
      </w:r>
      <w:r w:rsidR="001D3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3D2" w:rsidRPr="004A2599">
        <w:rPr>
          <w:rFonts w:ascii="Times New Roman" w:hAnsi="Times New Roman" w:cs="Times New Roman"/>
          <w:b/>
          <w:sz w:val="24"/>
          <w:szCs w:val="24"/>
        </w:rPr>
        <w:t>COURT OF SEYCHELLES</w:t>
      </w:r>
      <w:r w:rsidR="00214D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9C2" w:rsidRPr="004A2599" w:rsidRDefault="009539C2" w:rsidP="00214DB4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BFC" w:rsidRPr="00380619" w:rsidRDefault="009938AD" w:rsidP="00214DB4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Reportable/</w:t>
      </w:r>
      <w:r w:rsidR="00ED0BFC" w:rsidRPr="00380619">
        <w:rPr>
          <w:rFonts w:ascii="Times New Roman" w:hAnsi="Times New Roman" w:cs="Times New Roman"/>
          <w:b/>
          <w:sz w:val="24"/>
          <w:szCs w:val="24"/>
          <w:u w:val="single"/>
        </w:rPr>
        <w:t>Not Reportable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/Redact</w:t>
      </w:r>
      <w:r w:rsidR="00F33B83" w:rsidRPr="003806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E2AE3" w:rsidRPr="004A2599" w:rsidRDefault="00BC73B1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[20</w:t>
      </w:r>
      <w:r w:rsidR="00106D16">
        <w:rPr>
          <w:rFonts w:ascii="Times New Roman" w:hAnsi="Times New Roman" w:cs="Times New Roman"/>
          <w:sz w:val="24"/>
          <w:szCs w:val="24"/>
        </w:rPr>
        <w:t>2</w:t>
      </w:r>
      <w:r w:rsidR="00CB19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] SCSC …</w:t>
      </w:r>
    </w:p>
    <w:p w:rsidR="002E2AE3" w:rsidRPr="004A2599" w:rsidRDefault="00DF3712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CS68/2021</w:t>
      </w:r>
    </w:p>
    <w:p w:rsidR="006A68E2" w:rsidRPr="004A2599" w:rsidRDefault="006A68E2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2D4EB8" w:rsidRPr="004A2599" w:rsidRDefault="008577B7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matter of</w:t>
      </w:r>
      <w:r w:rsidR="002D4EB8" w:rsidRPr="004A2599">
        <w:rPr>
          <w:rFonts w:ascii="Times New Roman" w:hAnsi="Times New Roman" w:cs="Times New Roman"/>
          <w:sz w:val="24"/>
          <w:szCs w:val="24"/>
        </w:rPr>
        <w:t>:</w:t>
      </w:r>
    </w:p>
    <w:p w:rsidR="00106D16" w:rsidRDefault="00DF3712" w:rsidP="00214DB4">
      <w:pPr>
        <w:pStyle w:val="Partynames"/>
      </w:pPr>
      <w:r>
        <w:t>SALMAN JASSEM AL DARWISH</w:t>
      </w:r>
      <w:r w:rsidR="00D75E6F">
        <w:tab/>
      </w:r>
      <w:r>
        <w:t>Plaintiff</w:t>
      </w:r>
    </w:p>
    <w:p w:rsidR="00394067" w:rsidRDefault="00394067" w:rsidP="00394067">
      <w:pPr>
        <w:pStyle w:val="Attorneysnames"/>
      </w:pPr>
      <w:r w:rsidRPr="00214DB4">
        <w:t>(</w:t>
      </w:r>
      <w:r w:rsidR="00DF3712">
        <w:t>Clifford Andre</w:t>
      </w:r>
      <w:r w:rsidRPr="00214DB4">
        <w:t>)</w:t>
      </w:r>
    </w:p>
    <w:p w:rsidR="00DF3712" w:rsidRDefault="00DF3712" w:rsidP="00394067">
      <w:pPr>
        <w:pStyle w:val="Attorneysnames"/>
      </w:pPr>
    </w:p>
    <w:p w:rsidR="00DF3712" w:rsidRPr="00DF3712" w:rsidRDefault="00DF3712" w:rsidP="00394067">
      <w:pPr>
        <w:pStyle w:val="Attorneysnames"/>
        <w:rPr>
          <w:i w:val="0"/>
        </w:rPr>
      </w:pPr>
      <w:proofErr w:type="gramStart"/>
      <w:r>
        <w:rPr>
          <w:i w:val="0"/>
        </w:rPr>
        <w:t>and</w:t>
      </w:r>
      <w:proofErr w:type="gramEnd"/>
    </w:p>
    <w:p w:rsidR="00DF3712" w:rsidRDefault="00DF3712" w:rsidP="00DF3712">
      <w:pPr>
        <w:pStyle w:val="Partynames"/>
      </w:pPr>
      <w:r>
        <w:t>EDEN ISLAND VILLAGE                                                                                              MANAGEMENT ASSOCIATION</w:t>
      </w:r>
      <w:r>
        <w:tab/>
        <w:t>Defendant</w:t>
      </w:r>
    </w:p>
    <w:p w:rsidR="00DF3712" w:rsidRPr="004A2599" w:rsidRDefault="00DF3712" w:rsidP="00DF3712">
      <w:pPr>
        <w:pStyle w:val="Attorneysnames"/>
      </w:pPr>
      <w:r w:rsidRPr="00214DB4">
        <w:t>(</w:t>
      </w:r>
      <w:r>
        <w:t>Tamara Christen</w:t>
      </w:r>
      <w:r w:rsidRPr="00214DB4">
        <w:t>)</w:t>
      </w:r>
    </w:p>
    <w:p w:rsidR="00DF3712" w:rsidRPr="00BB1A3E" w:rsidRDefault="00DF3712" w:rsidP="00DF3712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F3712" w:rsidRPr="004A2599" w:rsidRDefault="00DF3712" w:rsidP="00394067">
      <w:pPr>
        <w:pStyle w:val="Attorneysnames"/>
      </w:pPr>
    </w:p>
    <w:p w:rsidR="00BB1A3E" w:rsidRPr="00BB1A3E" w:rsidRDefault="00BB1A3E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5958" w:rsidRPr="004A2599" w:rsidRDefault="00405958" w:rsidP="006A39DE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Neutral Citation:</w:t>
      </w:r>
      <w:r w:rsidR="004A2599">
        <w:rPr>
          <w:rFonts w:ascii="Times New Roman" w:hAnsi="Times New Roman" w:cs="Times New Roman"/>
          <w:sz w:val="24"/>
          <w:szCs w:val="24"/>
        </w:rPr>
        <w:t xml:space="preserve"> </w:t>
      </w:r>
      <w:r w:rsidR="004A2599">
        <w:rPr>
          <w:rFonts w:ascii="Times New Roman" w:hAnsi="Times New Roman" w:cs="Times New Roman"/>
          <w:sz w:val="24"/>
          <w:szCs w:val="24"/>
        </w:rPr>
        <w:tab/>
      </w:r>
      <w:r w:rsidR="00DF3712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9E7A76">
        <w:rPr>
          <w:rFonts w:ascii="Times New Roman" w:hAnsi="Times New Roman" w:cs="Times New Roman"/>
          <w:sz w:val="24"/>
          <w:szCs w:val="24"/>
        </w:rPr>
        <w:t>Darwish</w:t>
      </w:r>
      <w:proofErr w:type="spellEnd"/>
      <w:r w:rsidR="000B76AC">
        <w:rPr>
          <w:rFonts w:ascii="Times New Roman" w:hAnsi="Times New Roman" w:cs="Times New Roman"/>
          <w:sz w:val="24"/>
          <w:szCs w:val="24"/>
        </w:rPr>
        <w:t xml:space="preserve"> </w:t>
      </w:r>
      <w:r w:rsidR="00DF3712">
        <w:rPr>
          <w:rFonts w:ascii="Times New Roman" w:hAnsi="Times New Roman" w:cs="Times New Roman"/>
          <w:sz w:val="24"/>
          <w:szCs w:val="24"/>
        </w:rPr>
        <w:t>v Eden Island Village Management Association</w:t>
      </w:r>
      <w:r w:rsidR="006A39DE">
        <w:rPr>
          <w:rFonts w:ascii="Times New Roman" w:hAnsi="Times New Roman" w:cs="Times New Roman"/>
          <w:sz w:val="24"/>
          <w:szCs w:val="24"/>
        </w:rPr>
        <w:t xml:space="preserve"> </w:t>
      </w:r>
      <w:r w:rsidR="00D31F1B" w:rsidRPr="004A2599">
        <w:rPr>
          <w:rFonts w:ascii="Times New Roman" w:hAnsi="Times New Roman" w:cs="Times New Roman"/>
          <w:sz w:val="24"/>
          <w:szCs w:val="24"/>
        </w:rPr>
        <w:t>(</w:t>
      </w:r>
      <w:r w:rsidR="00DF3712">
        <w:rPr>
          <w:rFonts w:ascii="Times New Roman" w:hAnsi="Times New Roman" w:cs="Times New Roman"/>
          <w:sz w:val="24"/>
          <w:szCs w:val="24"/>
        </w:rPr>
        <w:t>CS68/2021</w:t>
      </w:r>
      <w:r w:rsidR="00DD79CC">
        <w:rPr>
          <w:rFonts w:ascii="Times New Roman" w:hAnsi="Times New Roman" w:cs="Times New Roman"/>
          <w:sz w:val="24"/>
          <w:szCs w:val="24"/>
        </w:rPr>
        <w:t>) [20</w:t>
      </w:r>
      <w:r w:rsidR="006A39DE">
        <w:rPr>
          <w:rFonts w:ascii="Times New Roman" w:hAnsi="Times New Roman" w:cs="Times New Roman"/>
          <w:sz w:val="24"/>
          <w:szCs w:val="24"/>
        </w:rPr>
        <w:t>2</w:t>
      </w:r>
      <w:r w:rsidR="00CB19F5">
        <w:rPr>
          <w:rFonts w:ascii="Times New Roman" w:hAnsi="Times New Roman" w:cs="Times New Roman"/>
          <w:sz w:val="24"/>
          <w:szCs w:val="24"/>
        </w:rPr>
        <w:t>2</w:t>
      </w:r>
      <w:r w:rsidR="00DD79CC">
        <w:rPr>
          <w:rFonts w:ascii="Times New Roman" w:hAnsi="Times New Roman" w:cs="Times New Roman"/>
          <w:sz w:val="24"/>
          <w:szCs w:val="24"/>
        </w:rPr>
        <w:t>] SC</w:t>
      </w:r>
      <w:r w:rsidR="00D31F1B" w:rsidRPr="004A2599">
        <w:rPr>
          <w:rFonts w:ascii="Times New Roman" w:hAnsi="Times New Roman" w:cs="Times New Roman"/>
          <w:sz w:val="24"/>
          <w:szCs w:val="24"/>
        </w:rPr>
        <w:t xml:space="preserve">SC </w:t>
      </w:r>
      <w:r w:rsidR="00DD79CC">
        <w:rPr>
          <w:rFonts w:ascii="Times New Roman" w:hAnsi="Times New Roman" w:cs="Times New Roman"/>
          <w:sz w:val="24"/>
          <w:szCs w:val="24"/>
        </w:rPr>
        <w:t>…</w:t>
      </w:r>
      <w:r w:rsidR="00ED2759">
        <w:rPr>
          <w:rFonts w:ascii="Times New Roman" w:hAnsi="Times New Roman" w:cs="Times New Roman"/>
          <w:sz w:val="24"/>
          <w:szCs w:val="24"/>
        </w:rPr>
        <w:t>..</w:t>
      </w:r>
      <w:r w:rsidR="00D31F1B" w:rsidRPr="004A2599">
        <w:rPr>
          <w:rFonts w:ascii="Times New Roman" w:hAnsi="Times New Roman" w:cs="Times New Roman"/>
          <w:sz w:val="24"/>
          <w:szCs w:val="24"/>
        </w:rPr>
        <w:t xml:space="preserve"> (</w:t>
      </w:r>
      <w:r w:rsidR="00DF3712">
        <w:rPr>
          <w:rFonts w:ascii="Times New Roman" w:hAnsi="Times New Roman" w:cs="Times New Roman"/>
          <w:sz w:val="24"/>
          <w:szCs w:val="24"/>
        </w:rPr>
        <w:t xml:space="preserve">15 February </w:t>
      </w:r>
      <w:r w:rsidR="00CB19F5">
        <w:rPr>
          <w:rFonts w:ascii="Times New Roman" w:hAnsi="Times New Roman" w:cs="Times New Roman"/>
          <w:sz w:val="24"/>
          <w:szCs w:val="24"/>
        </w:rPr>
        <w:t>2022</w:t>
      </w:r>
      <w:r w:rsidR="00DD79CC">
        <w:rPr>
          <w:rFonts w:ascii="Times New Roman" w:hAnsi="Times New Roman" w:cs="Times New Roman"/>
          <w:sz w:val="24"/>
          <w:szCs w:val="24"/>
        </w:rPr>
        <w:t>)</w:t>
      </w:r>
      <w:r w:rsidR="00D31F1B" w:rsidRPr="004A2599">
        <w:rPr>
          <w:rFonts w:ascii="Times New Roman" w:hAnsi="Times New Roman" w:cs="Times New Roman"/>
          <w:sz w:val="24"/>
          <w:szCs w:val="24"/>
        </w:rPr>
        <w:t>.</w:t>
      </w:r>
    </w:p>
    <w:p w:rsidR="002E2AE3" w:rsidRDefault="009F125D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</w:t>
      </w:r>
      <w:r w:rsidR="00405958" w:rsidRPr="004A25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2599">
        <w:rPr>
          <w:rFonts w:ascii="Times New Roman" w:hAnsi="Times New Roman" w:cs="Times New Roman"/>
          <w:b/>
          <w:sz w:val="24"/>
          <w:szCs w:val="24"/>
        </w:rPr>
        <w:tab/>
      </w:r>
      <w:r w:rsidR="002422A2">
        <w:rPr>
          <w:rFonts w:ascii="Times New Roman" w:hAnsi="Times New Roman" w:cs="Times New Roman"/>
          <w:sz w:val="24"/>
          <w:szCs w:val="24"/>
        </w:rPr>
        <w:t>Carolus J</w:t>
      </w:r>
    </w:p>
    <w:p w:rsidR="00344425" w:rsidRPr="004A2599" w:rsidRDefault="00346D7F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Summary: </w:t>
      </w:r>
      <w:r w:rsidR="00F33B83">
        <w:rPr>
          <w:rFonts w:ascii="Times New Roman" w:hAnsi="Times New Roman" w:cs="Times New Roman"/>
          <w:b/>
          <w:sz w:val="24"/>
          <w:szCs w:val="24"/>
        </w:rPr>
        <w:tab/>
      </w:r>
      <w:r w:rsidR="00DF3712">
        <w:rPr>
          <w:rFonts w:ascii="Times New Roman" w:hAnsi="Times New Roman" w:cs="Times New Roman"/>
          <w:sz w:val="24"/>
          <w:szCs w:val="24"/>
        </w:rPr>
        <w:t xml:space="preserve">Plea in </w:t>
      </w:r>
      <w:proofErr w:type="spellStart"/>
      <w:r w:rsidR="00DF3712">
        <w:rPr>
          <w:rFonts w:ascii="Times New Roman" w:hAnsi="Times New Roman" w:cs="Times New Roman"/>
          <w:sz w:val="24"/>
          <w:szCs w:val="24"/>
        </w:rPr>
        <w:t>Limine</w:t>
      </w:r>
      <w:proofErr w:type="spellEnd"/>
      <w:r w:rsidR="00DF3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712">
        <w:rPr>
          <w:rFonts w:ascii="Times New Roman" w:hAnsi="Times New Roman" w:cs="Times New Roman"/>
          <w:sz w:val="24"/>
          <w:szCs w:val="24"/>
        </w:rPr>
        <w:t>Litis</w:t>
      </w:r>
      <w:proofErr w:type="spellEnd"/>
      <w:r w:rsidR="00DF3712">
        <w:rPr>
          <w:rFonts w:ascii="Times New Roman" w:hAnsi="Times New Roman" w:cs="Times New Roman"/>
          <w:sz w:val="24"/>
          <w:szCs w:val="24"/>
        </w:rPr>
        <w:t xml:space="preserve"> – No Cause of Action</w:t>
      </w:r>
      <w:r w:rsidR="002662A6">
        <w:rPr>
          <w:rFonts w:ascii="Times New Roman" w:hAnsi="Times New Roman" w:cs="Times New Roman"/>
          <w:sz w:val="24"/>
          <w:szCs w:val="24"/>
        </w:rPr>
        <w:t xml:space="preserve"> – Section 92 Seychelles Code of Civil Procedure</w:t>
      </w:r>
    </w:p>
    <w:p w:rsidR="00344425" w:rsidRDefault="00344425" w:rsidP="00214DB4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Delivered:</w:t>
      </w:r>
      <w:r w:rsidR="004A2599" w:rsidRPr="004A2599">
        <w:rPr>
          <w:rFonts w:ascii="Times New Roman" w:hAnsi="Times New Roman" w:cs="Times New Roman"/>
          <w:b/>
          <w:sz w:val="24"/>
          <w:szCs w:val="24"/>
        </w:rPr>
        <w:tab/>
      </w:r>
      <w:r w:rsidR="00DF3712">
        <w:rPr>
          <w:rFonts w:ascii="Times New Roman" w:hAnsi="Times New Roman" w:cs="Times New Roman"/>
          <w:sz w:val="24"/>
          <w:szCs w:val="24"/>
        </w:rPr>
        <w:t xml:space="preserve">15 February </w:t>
      </w:r>
      <w:r w:rsidR="00CB19F5">
        <w:rPr>
          <w:rFonts w:ascii="Times New Roman" w:hAnsi="Times New Roman" w:cs="Times New Roman"/>
          <w:sz w:val="24"/>
          <w:szCs w:val="24"/>
        </w:rPr>
        <w:t>2022</w:t>
      </w:r>
    </w:p>
    <w:p w:rsidR="002422A2" w:rsidRPr="00F33B83" w:rsidRDefault="002422A2" w:rsidP="00214DB4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</w:p>
    <w:p w:rsidR="00ED0BFC" w:rsidRPr="004A2599" w:rsidRDefault="00ED0BFC" w:rsidP="00214DB4">
      <w:pPr>
        <w:tabs>
          <w:tab w:val="left" w:pos="289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ORDER </w:t>
      </w:r>
    </w:p>
    <w:p w:rsidR="00CE09B9" w:rsidRDefault="00AD351A" w:rsidP="00AD35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662A6">
        <w:rPr>
          <w:rFonts w:ascii="Times New Roman" w:hAnsi="Times New Roman" w:cs="Times New Roman"/>
          <w:sz w:val="24"/>
          <w:szCs w:val="24"/>
        </w:rPr>
        <w:t xml:space="preserve">Plea in </w:t>
      </w:r>
      <w:proofErr w:type="spellStart"/>
      <w:r w:rsidR="009E7A76">
        <w:rPr>
          <w:rFonts w:ascii="Times New Roman" w:hAnsi="Times New Roman" w:cs="Times New Roman"/>
          <w:sz w:val="24"/>
          <w:szCs w:val="24"/>
        </w:rPr>
        <w:t>l</w:t>
      </w:r>
      <w:r w:rsidR="002662A6">
        <w:rPr>
          <w:rFonts w:ascii="Times New Roman" w:hAnsi="Times New Roman" w:cs="Times New Roman"/>
          <w:sz w:val="24"/>
          <w:szCs w:val="24"/>
        </w:rPr>
        <w:t>imine</w:t>
      </w:r>
      <w:proofErr w:type="spellEnd"/>
      <w:r w:rsidR="0026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A76">
        <w:rPr>
          <w:rFonts w:ascii="Times New Roman" w:hAnsi="Times New Roman" w:cs="Times New Roman"/>
          <w:sz w:val="24"/>
          <w:szCs w:val="24"/>
        </w:rPr>
        <w:t>l</w:t>
      </w:r>
      <w:r w:rsidR="002662A6">
        <w:rPr>
          <w:rFonts w:ascii="Times New Roman" w:hAnsi="Times New Roman" w:cs="Times New Roman"/>
          <w:sz w:val="24"/>
          <w:szCs w:val="24"/>
        </w:rPr>
        <w:t>itis</w:t>
      </w:r>
      <w:proofErr w:type="spellEnd"/>
      <w:r w:rsidR="002662A6">
        <w:rPr>
          <w:rFonts w:ascii="Times New Roman" w:hAnsi="Times New Roman" w:cs="Times New Roman"/>
          <w:sz w:val="24"/>
          <w:szCs w:val="24"/>
        </w:rPr>
        <w:t xml:space="preserve"> is dismissed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B83" w:rsidRDefault="00F33B83" w:rsidP="00214DB4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83" w:rsidRDefault="00D75E6F" w:rsidP="00214DB4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RULING</w:t>
      </w:r>
    </w:p>
    <w:p w:rsidR="00F33B83" w:rsidRPr="00F33B83" w:rsidRDefault="00F33B83" w:rsidP="00662CEA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B12AA" w:rsidRPr="005B12AA" w:rsidRDefault="00CE09B9" w:rsidP="00CB19F5">
      <w:pPr>
        <w:pStyle w:val="JudgmentText"/>
        <w:numPr>
          <w:ilvl w:val="0"/>
          <w:numId w:val="0"/>
        </w:numPr>
        <w:tabs>
          <w:tab w:val="left" w:pos="6115"/>
        </w:tabs>
        <w:spacing w:line="480" w:lineRule="auto"/>
        <w:ind w:left="720" w:hanging="720"/>
        <w:rPr>
          <w:b/>
        </w:rPr>
      </w:pPr>
      <w:r>
        <w:rPr>
          <w:b/>
        </w:rPr>
        <w:t>E. CAROLUS, J</w:t>
      </w:r>
      <w:r w:rsidR="00CB19F5">
        <w:rPr>
          <w:b/>
        </w:rPr>
        <w:tab/>
      </w:r>
    </w:p>
    <w:p w:rsidR="00C539F6" w:rsidRDefault="00C539F6" w:rsidP="00C539F6">
      <w:pPr>
        <w:pStyle w:val="Jjmntheading1"/>
      </w:pPr>
      <w:r>
        <w:t>Background</w:t>
      </w:r>
    </w:p>
    <w:p w:rsidR="000B76AC" w:rsidRDefault="009073B2" w:rsidP="00EF09D3">
      <w:pPr>
        <w:pStyle w:val="JudgmentText"/>
      </w:pPr>
      <w:r>
        <w:t xml:space="preserve">The plaintiff in this case </w:t>
      </w:r>
      <w:r w:rsidR="009E7A76">
        <w:t xml:space="preserve">Mr. Al </w:t>
      </w:r>
      <w:proofErr w:type="spellStart"/>
      <w:r w:rsidR="009E7A76">
        <w:t>Darwish</w:t>
      </w:r>
      <w:proofErr w:type="spellEnd"/>
      <w:r w:rsidR="005710AA">
        <w:t xml:space="preserve"> </w:t>
      </w:r>
      <w:r>
        <w:t>has filed a plaint against the defendant the Eden Island Village Management Association (“</w:t>
      </w:r>
      <w:r w:rsidR="00FE12F3">
        <w:t>EIVMA</w:t>
      </w:r>
      <w:r>
        <w:t xml:space="preserve">”) seeking </w:t>
      </w:r>
      <w:r w:rsidR="00014A9D">
        <w:t>amongst other remedies an interlocutory injunction</w:t>
      </w:r>
      <w:r w:rsidR="000B76AC">
        <w:t xml:space="preserve"> preventing the defendant from demolishing a structure erected by </w:t>
      </w:r>
      <w:r w:rsidR="00FE12F3">
        <w:t>him</w:t>
      </w:r>
      <w:r w:rsidR="00014A9D">
        <w:t xml:space="preserve">. The </w:t>
      </w:r>
      <w:r w:rsidR="00FE12F3">
        <w:t>EIVMA</w:t>
      </w:r>
      <w:r w:rsidR="00014A9D">
        <w:t xml:space="preserve"> has filed a statement of defence and counterclaim. In its defence it raises a plea in </w:t>
      </w:r>
      <w:proofErr w:type="spellStart"/>
      <w:r w:rsidR="00014A9D" w:rsidRPr="009E7A76">
        <w:rPr>
          <w:i/>
        </w:rPr>
        <w:t>limine</w:t>
      </w:r>
      <w:proofErr w:type="spellEnd"/>
      <w:r w:rsidR="00014A9D" w:rsidRPr="009E7A76">
        <w:rPr>
          <w:i/>
        </w:rPr>
        <w:t xml:space="preserve"> </w:t>
      </w:r>
      <w:proofErr w:type="spellStart"/>
      <w:r w:rsidR="00014A9D" w:rsidRPr="009E7A76">
        <w:rPr>
          <w:i/>
        </w:rPr>
        <w:t>litis</w:t>
      </w:r>
      <w:proofErr w:type="spellEnd"/>
      <w:r w:rsidR="00014A9D">
        <w:t xml:space="preserve"> that </w:t>
      </w:r>
      <w:r w:rsidR="00014A9D" w:rsidRPr="00014A9D">
        <w:rPr>
          <w:i/>
        </w:rPr>
        <w:t xml:space="preserve">“[t]he Plaint discloses no reasonable cause of action and is bad </w:t>
      </w:r>
      <w:r w:rsidR="00014A9D" w:rsidRPr="00014A9D">
        <w:rPr>
          <w:i/>
        </w:rPr>
        <w:lastRenderedPageBreak/>
        <w:t>in law and ought to be dismissed with costs”</w:t>
      </w:r>
      <w:r w:rsidR="00014A9D">
        <w:t xml:space="preserve">. </w:t>
      </w:r>
      <w:r w:rsidR="00745BB5">
        <w:t xml:space="preserve"> The defendant </w:t>
      </w:r>
      <w:r w:rsidR="00FE12F3">
        <w:t xml:space="preserve">also </w:t>
      </w:r>
      <w:r w:rsidR="00745BB5">
        <w:t>opposes the counterclaim and has filed a reply thereto.</w:t>
      </w:r>
    </w:p>
    <w:p w:rsidR="000B76AC" w:rsidRDefault="005710AA" w:rsidP="00C539F6">
      <w:pPr>
        <w:pStyle w:val="JudgmentText"/>
      </w:pPr>
      <w:r>
        <w:t>Counsels for the parties have agreed that the</w:t>
      </w:r>
      <w:r w:rsidR="00014A9D">
        <w:t xml:space="preserve"> </w:t>
      </w:r>
      <w:r w:rsidR="009E7A76" w:rsidRPr="009E7A76">
        <w:t>preliminary objection</w:t>
      </w:r>
      <w:r>
        <w:t xml:space="preserve"> should be dealt with before hearing the matter on the merits and have both made written submission in that regard</w:t>
      </w:r>
      <w:r w:rsidR="000B76AC">
        <w:t>.</w:t>
      </w:r>
      <w:r>
        <w:t xml:space="preserve"> It is this preliminary objection which </w:t>
      </w:r>
      <w:r w:rsidR="000B76AC">
        <w:t>is</w:t>
      </w:r>
      <w:r w:rsidR="00014A9D">
        <w:t xml:space="preserve"> the subject matter of this Ruling.</w:t>
      </w:r>
      <w:r w:rsidR="00C539F6">
        <w:t xml:space="preserve"> </w:t>
      </w:r>
    </w:p>
    <w:p w:rsidR="00705665" w:rsidRDefault="000B76AC" w:rsidP="000B76AC">
      <w:pPr>
        <w:pStyle w:val="JudgmentText"/>
      </w:pPr>
      <w:r>
        <w:t xml:space="preserve">The </w:t>
      </w:r>
      <w:r w:rsidR="00C539F6">
        <w:t xml:space="preserve">pleadings of the parties provide the </w:t>
      </w:r>
      <w:r w:rsidR="005710AA">
        <w:t xml:space="preserve">necessary </w:t>
      </w:r>
      <w:r w:rsidR="00C539F6">
        <w:t xml:space="preserve">background </w:t>
      </w:r>
      <w:r w:rsidR="00574AAE">
        <w:t>for determination of the issue at hand</w:t>
      </w:r>
      <w:r w:rsidR="00C539F6">
        <w:t xml:space="preserve"> and as such</w:t>
      </w:r>
      <w:r w:rsidR="00745BB5">
        <w:t xml:space="preserve"> the </w:t>
      </w:r>
      <w:r w:rsidR="00EF09D3">
        <w:t xml:space="preserve">contents of the </w:t>
      </w:r>
      <w:r w:rsidR="00745BB5">
        <w:t>plaint and statement of defence, insofar as relevant,</w:t>
      </w:r>
      <w:r w:rsidR="00C539F6">
        <w:t xml:space="preserve"> will be briefly set out below. </w:t>
      </w:r>
      <w:r w:rsidR="009E7A76">
        <w:t xml:space="preserve">In his plaint Mr. Al </w:t>
      </w:r>
      <w:proofErr w:type="spellStart"/>
      <w:r w:rsidR="009E7A76">
        <w:t>Darwish</w:t>
      </w:r>
      <w:proofErr w:type="spellEnd"/>
      <w:r w:rsidR="00951ACA">
        <w:t xml:space="preserve"> </w:t>
      </w:r>
      <w:r w:rsidR="009E7A76">
        <w:t>avers that he owns</w:t>
      </w:r>
      <w:r w:rsidR="00705665" w:rsidRPr="009E7A76">
        <w:t xml:space="preserve"> Villa No. 48 on Eden Island since ownership of the property was transferred to him on 25 November 2015.</w:t>
      </w:r>
      <w:r w:rsidR="009E7A76">
        <w:t xml:space="preserve"> He</w:t>
      </w:r>
      <w:r w:rsidR="00705665" w:rsidRPr="009E7A76">
        <w:t xml:space="preserve"> owns a jet ski</w:t>
      </w:r>
      <w:r>
        <w:t xml:space="preserve"> and</w:t>
      </w:r>
      <w:r w:rsidR="00705665" w:rsidRPr="009E7A76">
        <w:t xml:space="preserve"> built a corrugated iron shelter </w:t>
      </w:r>
      <w:r w:rsidRPr="009E7A76">
        <w:t>to store it</w:t>
      </w:r>
      <w:r>
        <w:t xml:space="preserve"> in. H</w:t>
      </w:r>
      <w:r w:rsidRPr="009E7A76">
        <w:t xml:space="preserve">e </w:t>
      </w:r>
      <w:r w:rsidR="00705665" w:rsidRPr="009E7A76">
        <w:t>avers</w:t>
      </w:r>
      <w:r>
        <w:t xml:space="preserve"> that the shelter</w:t>
      </w:r>
      <w:r w:rsidR="00705665" w:rsidRPr="009E7A76">
        <w:t xml:space="preserve"> is well established, constitutes no danger and holds the same colour and design to fit the surroundings.</w:t>
      </w:r>
      <w:r w:rsidR="009E7A76">
        <w:t xml:space="preserve"> </w:t>
      </w:r>
      <w:r w:rsidR="00705665" w:rsidRPr="009E7A76">
        <w:t xml:space="preserve">On 2 July 2021, </w:t>
      </w:r>
      <w:r w:rsidR="009E7A76">
        <w:t xml:space="preserve">Mr. Al </w:t>
      </w:r>
      <w:proofErr w:type="spellStart"/>
      <w:r w:rsidR="009E7A76">
        <w:t>Darwish</w:t>
      </w:r>
      <w:proofErr w:type="spellEnd"/>
      <w:r w:rsidR="009E7A76">
        <w:t xml:space="preserve"> </w:t>
      </w:r>
      <w:r w:rsidR="00705665" w:rsidRPr="009E7A76">
        <w:t xml:space="preserve">received an email from </w:t>
      </w:r>
      <w:r w:rsidR="009E7A76">
        <w:t xml:space="preserve">Mr. </w:t>
      </w:r>
      <w:r w:rsidR="009E7A76" w:rsidRPr="009E7A76">
        <w:t>De Clarisse</w:t>
      </w:r>
      <w:r w:rsidR="00433D0E">
        <w:t>,</w:t>
      </w:r>
      <w:r w:rsidR="009E7A76" w:rsidRPr="009E7A76">
        <w:t xml:space="preserve"> </w:t>
      </w:r>
      <w:r w:rsidR="00705665" w:rsidRPr="009E7A76">
        <w:t xml:space="preserve">the manager of the </w:t>
      </w:r>
      <w:r w:rsidR="009E7A76">
        <w:t>defendant</w:t>
      </w:r>
      <w:r w:rsidR="00433D0E">
        <w:t>,</w:t>
      </w:r>
      <w:r w:rsidR="00705665" w:rsidRPr="009E7A76">
        <w:t xml:space="preserve"> </w:t>
      </w:r>
      <w:r w:rsidR="00433D0E">
        <w:t xml:space="preserve">informing him that his </w:t>
      </w:r>
      <w:r w:rsidR="00705665" w:rsidRPr="009E7A76">
        <w:t>request to bui</w:t>
      </w:r>
      <w:r w:rsidR="00433D0E">
        <w:t>ld a shelter for his jet ski had</w:t>
      </w:r>
      <w:r w:rsidR="00705665" w:rsidRPr="009E7A76">
        <w:t xml:space="preserve"> been rejected by the Aesthetics Committee </w:t>
      </w:r>
      <w:r w:rsidR="009E7A76">
        <w:t>for</w:t>
      </w:r>
      <w:r w:rsidR="00705665" w:rsidRPr="009E7A76">
        <w:t xml:space="preserve"> aesthetics and safety concerns. </w:t>
      </w:r>
      <w:r w:rsidR="009E7A76">
        <w:t xml:space="preserve">Mr. Al </w:t>
      </w:r>
      <w:proofErr w:type="spellStart"/>
      <w:r w:rsidR="009E7A76">
        <w:t>Darwish</w:t>
      </w:r>
      <w:proofErr w:type="spellEnd"/>
      <w:r w:rsidR="00433D0E">
        <w:t xml:space="preserve"> </w:t>
      </w:r>
      <w:r w:rsidR="00705665" w:rsidRPr="009E7A76">
        <w:t>avers that in an email dated 6 July 2021</w:t>
      </w:r>
      <w:r w:rsidRPr="000B76AC">
        <w:t xml:space="preserve"> </w:t>
      </w:r>
      <w:r>
        <w:t>to Mr.</w:t>
      </w:r>
      <w:r w:rsidRPr="00433D0E">
        <w:t xml:space="preserve"> </w:t>
      </w:r>
      <w:r w:rsidRPr="009E7A76">
        <w:t>De Clarisse</w:t>
      </w:r>
      <w:r w:rsidR="00433D0E">
        <w:t xml:space="preserve">, he requested </w:t>
      </w:r>
      <w:r w:rsidR="00705665" w:rsidRPr="009E7A76">
        <w:t>clar</w:t>
      </w:r>
      <w:r w:rsidR="00EF09D3">
        <w:t xml:space="preserve">ification </w:t>
      </w:r>
      <w:r w:rsidR="006A09E9">
        <w:t xml:space="preserve">regarding the </w:t>
      </w:r>
      <w:r w:rsidR="00705665" w:rsidRPr="009E7A76">
        <w:t>safety concerns in order to cure them to the satisfaction of the Aesthetics Committee. However, this was not met with any response</w:t>
      </w:r>
      <w:r w:rsidR="00433D0E">
        <w:t xml:space="preserve"> and instead Mr</w:t>
      </w:r>
      <w:r w:rsidR="009E7A76">
        <w:t xml:space="preserve">. Al </w:t>
      </w:r>
      <w:proofErr w:type="spellStart"/>
      <w:r w:rsidR="009E7A76">
        <w:t>Darwish</w:t>
      </w:r>
      <w:proofErr w:type="spellEnd"/>
      <w:r w:rsidR="00433D0E">
        <w:t xml:space="preserve"> </w:t>
      </w:r>
      <w:r w:rsidR="00705665" w:rsidRPr="009E7A76">
        <w:t xml:space="preserve">was asked by the </w:t>
      </w:r>
      <w:r w:rsidR="00FE12F3">
        <w:t>EIVMA</w:t>
      </w:r>
      <w:r w:rsidR="00951ACA">
        <w:t xml:space="preserve"> </w:t>
      </w:r>
      <w:r w:rsidR="00705665" w:rsidRPr="009E7A76">
        <w:t xml:space="preserve">to remove the </w:t>
      </w:r>
      <w:proofErr w:type="gramStart"/>
      <w:r>
        <w:t>jet ski</w:t>
      </w:r>
      <w:proofErr w:type="gramEnd"/>
      <w:r w:rsidR="00433D0E">
        <w:t xml:space="preserve"> shelter, failing which</w:t>
      </w:r>
      <w:r w:rsidR="00705665" w:rsidRPr="009E7A76">
        <w:t xml:space="preserve"> the </w:t>
      </w:r>
      <w:r w:rsidR="00FE12F3">
        <w:t>EIVMA</w:t>
      </w:r>
      <w:r w:rsidR="00705665" w:rsidRPr="009E7A76">
        <w:t xml:space="preserve"> </w:t>
      </w:r>
      <w:r w:rsidR="006A09E9">
        <w:t xml:space="preserve">itself </w:t>
      </w:r>
      <w:r w:rsidR="00705665" w:rsidRPr="009E7A76">
        <w:t>w</w:t>
      </w:r>
      <w:r w:rsidR="00433D0E">
        <w:t>ould</w:t>
      </w:r>
      <w:r w:rsidR="00705665" w:rsidRPr="009E7A76">
        <w:t xml:space="preserve"> remove it and bill </w:t>
      </w:r>
      <w:r w:rsidR="009E7A76">
        <w:t xml:space="preserve">Mr. Al </w:t>
      </w:r>
      <w:proofErr w:type="spellStart"/>
      <w:r w:rsidR="009E7A76">
        <w:t>Darwish</w:t>
      </w:r>
      <w:proofErr w:type="spellEnd"/>
      <w:r w:rsidR="00433D0E">
        <w:t xml:space="preserve"> </w:t>
      </w:r>
      <w:r w:rsidR="00705665" w:rsidRPr="009E7A76">
        <w:t>for th</w:t>
      </w:r>
      <w:r w:rsidR="00433D0E">
        <w:t>e</w:t>
      </w:r>
      <w:r w:rsidR="00705665" w:rsidRPr="009E7A76">
        <w:t xml:space="preserve"> labour.</w:t>
      </w:r>
      <w:r w:rsidR="00433D0E">
        <w:t xml:space="preserve"> In terms of the plaint </w:t>
      </w:r>
      <w:r w:rsidR="009E7A76" w:rsidRPr="00433D0E">
        <w:t xml:space="preserve">Mr. Al </w:t>
      </w:r>
      <w:proofErr w:type="spellStart"/>
      <w:r w:rsidR="009E7A76" w:rsidRPr="00433D0E">
        <w:t>Darwish</w:t>
      </w:r>
      <w:proofErr w:type="spellEnd"/>
      <w:r w:rsidR="00433D0E" w:rsidRPr="00433D0E">
        <w:t xml:space="preserve"> </w:t>
      </w:r>
      <w:r w:rsidR="00705665" w:rsidRPr="00433D0E">
        <w:t xml:space="preserve">prays the court </w:t>
      </w:r>
      <w:r w:rsidR="006A09E9">
        <w:t xml:space="preserve">for </w:t>
      </w:r>
      <w:r w:rsidR="00705665" w:rsidRPr="00433D0E">
        <w:t>three orders which can be summarised as follows:</w:t>
      </w:r>
    </w:p>
    <w:p w:rsidR="00705665" w:rsidRPr="00705665" w:rsidRDefault="00705665" w:rsidP="00705665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05665">
        <w:rPr>
          <w:rFonts w:ascii="Times New Roman" w:hAnsi="Times New Roman" w:cs="Times New Roman"/>
          <w:sz w:val="24"/>
          <w:szCs w:val="24"/>
          <w:lang w:val="en-GB"/>
        </w:rPr>
        <w:t>An interlocutory injunction preventing the defendant from demolishing his jet ski shelter;</w:t>
      </w:r>
    </w:p>
    <w:p w:rsidR="00705665" w:rsidRPr="00705665" w:rsidRDefault="00705665" w:rsidP="00705665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05665">
        <w:rPr>
          <w:rFonts w:ascii="Times New Roman" w:hAnsi="Times New Roman" w:cs="Times New Roman"/>
          <w:sz w:val="24"/>
          <w:szCs w:val="24"/>
          <w:lang w:val="en-GB"/>
        </w:rPr>
        <w:t>An order to compel the defendant to provide him with specificities on safety of the jet ski shelter; and</w:t>
      </w:r>
    </w:p>
    <w:p w:rsidR="00705665" w:rsidRPr="00705665" w:rsidRDefault="00705665" w:rsidP="00705665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05665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="00951ACA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705665">
        <w:rPr>
          <w:rFonts w:ascii="Times New Roman" w:hAnsi="Times New Roman" w:cs="Times New Roman"/>
          <w:sz w:val="24"/>
          <w:szCs w:val="24"/>
          <w:lang w:val="en-GB"/>
        </w:rPr>
        <w:t xml:space="preserve"> order the court may deem fit.</w:t>
      </w:r>
    </w:p>
    <w:p w:rsidR="00705665" w:rsidRDefault="00951ACA" w:rsidP="0006076B">
      <w:pPr>
        <w:pStyle w:val="JudgmentText"/>
      </w:pPr>
      <w:r>
        <w:t>As stated, the defendant has raised a point of law in its statement of defence, on the basis of which it seeks the dismissal of the plaint with costs. On the merits</w:t>
      </w:r>
      <w:r w:rsidR="00754999">
        <w:t xml:space="preserve">, in essence, </w:t>
      </w:r>
      <w:r>
        <w:t>t</w:t>
      </w:r>
      <w:r w:rsidR="00705665" w:rsidRPr="005427B7">
        <w:t xml:space="preserve">he </w:t>
      </w:r>
      <w:r w:rsidR="00FE12F3">
        <w:t>EIVMA</w:t>
      </w:r>
      <w:r w:rsidR="00705665" w:rsidRPr="005427B7">
        <w:t xml:space="preserve"> </w:t>
      </w:r>
      <w:r>
        <w:t>avers</w:t>
      </w:r>
      <w:r w:rsidR="00705665" w:rsidRPr="005427B7">
        <w:t xml:space="preserve"> that </w:t>
      </w:r>
      <w:r w:rsidRPr="005427B7">
        <w:t xml:space="preserve">Mr. Al </w:t>
      </w:r>
      <w:proofErr w:type="spellStart"/>
      <w:r w:rsidR="00705665" w:rsidRPr="005427B7">
        <w:t>Darwish</w:t>
      </w:r>
      <w:proofErr w:type="spellEnd"/>
      <w:r w:rsidR="00705665" w:rsidRPr="005427B7">
        <w:t xml:space="preserve">, by virtue of owning property on Eden Island, agreed to become a member of the </w:t>
      </w:r>
      <w:r w:rsidR="00FE12F3">
        <w:t>EIVMA</w:t>
      </w:r>
      <w:r w:rsidR="00705665" w:rsidRPr="005427B7">
        <w:t xml:space="preserve"> and comply with the provisions of </w:t>
      </w:r>
      <w:r w:rsidR="006A09E9">
        <w:t>its</w:t>
      </w:r>
      <w:r w:rsidR="00705665" w:rsidRPr="005427B7">
        <w:t xml:space="preserve"> constitution and all rules made pursuant </w:t>
      </w:r>
      <w:r w:rsidR="006A09E9">
        <w:t>thereto</w:t>
      </w:r>
      <w:r w:rsidR="00754999">
        <w:t>, and that by</w:t>
      </w:r>
      <w:r w:rsidR="00754999" w:rsidRPr="00754999">
        <w:t xml:space="preserve"> </w:t>
      </w:r>
      <w:r w:rsidR="00754999">
        <w:t xml:space="preserve">building his </w:t>
      </w:r>
      <w:proofErr w:type="spellStart"/>
      <w:r w:rsidR="00754999">
        <w:t>jetski</w:t>
      </w:r>
      <w:proofErr w:type="spellEnd"/>
      <w:r w:rsidR="00754999">
        <w:t xml:space="preserve"> shelter without following the </w:t>
      </w:r>
      <w:r w:rsidR="00754999" w:rsidRPr="005427B7">
        <w:t>section III building plan</w:t>
      </w:r>
      <w:r w:rsidR="00754999">
        <w:t xml:space="preserve"> approval</w:t>
      </w:r>
      <w:r w:rsidR="00754999" w:rsidRPr="005427B7">
        <w:t xml:space="preserve"> and procedure</w:t>
      </w:r>
      <w:r w:rsidR="00745BB5">
        <w:t xml:space="preserve"> and without</w:t>
      </w:r>
      <w:r w:rsidR="00754999">
        <w:t xml:space="preserve"> first seeking the permission of the </w:t>
      </w:r>
      <w:r w:rsidR="00754999" w:rsidRPr="005427B7">
        <w:t>Aesthetics Committee</w:t>
      </w:r>
      <w:r w:rsidR="00754999">
        <w:t>,</w:t>
      </w:r>
      <w:r w:rsidR="00754999" w:rsidRPr="005427B7">
        <w:t xml:space="preserve"> Mr. Al </w:t>
      </w:r>
      <w:proofErr w:type="spellStart"/>
      <w:r w:rsidR="00754999" w:rsidRPr="005427B7">
        <w:t>Darwish</w:t>
      </w:r>
      <w:proofErr w:type="spellEnd"/>
      <w:r w:rsidR="00754999">
        <w:t xml:space="preserve"> </w:t>
      </w:r>
      <w:r w:rsidR="00745BB5">
        <w:t xml:space="preserve">breached </w:t>
      </w:r>
      <w:r w:rsidR="00754999" w:rsidRPr="005427B7">
        <w:t xml:space="preserve">the constitution </w:t>
      </w:r>
      <w:r w:rsidR="00754999">
        <w:t xml:space="preserve">and design guidelines. The </w:t>
      </w:r>
      <w:r w:rsidR="00FE12F3">
        <w:t>EIVMA</w:t>
      </w:r>
      <w:r w:rsidR="00754999">
        <w:t xml:space="preserve"> </w:t>
      </w:r>
      <w:r w:rsidR="0006076B">
        <w:t xml:space="preserve">also avers that </w:t>
      </w:r>
      <w:r w:rsidR="00705665" w:rsidRPr="00705665">
        <w:t xml:space="preserve">the Aesthetics Committee did not approve the application </w:t>
      </w:r>
      <w:r w:rsidR="006A09E9">
        <w:t>because of</w:t>
      </w:r>
      <w:r w:rsidR="0006076B">
        <w:t xml:space="preserve"> </w:t>
      </w:r>
      <w:r w:rsidR="00705665" w:rsidRPr="00705665">
        <w:t xml:space="preserve">aesthetic </w:t>
      </w:r>
      <w:r w:rsidR="0006076B">
        <w:t xml:space="preserve">and </w:t>
      </w:r>
      <w:r w:rsidR="0006076B" w:rsidRPr="00705665">
        <w:t xml:space="preserve">safety </w:t>
      </w:r>
      <w:r w:rsidR="00705665" w:rsidRPr="00705665">
        <w:t>concerns</w:t>
      </w:r>
      <w:r w:rsidR="0006076B">
        <w:t xml:space="preserve">. In respect </w:t>
      </w:r>
      <w:r w:rsidR="006A09E9">
        <w:t>safety,</w:t>
      </w:r>
      <w:r w:rsidR="0006076B">
        <w:t xml:space="preserve"> the plaintiff was informed that str</w:t>
      </w:r>
      <w:r w:rsidR="00705665" w:rsidRPr="00705665">
        <w:t xml:space="preserve">ong winds were </w:t>
      </w:r>
      <w:r w:rsidR="00745BB5">
        <w:t>considered</w:t>
      </w:r>
      <w:r w:rsidR="00705665" w:rsidRPr="00705665">
        <w:t xml:space="preserve"> a concern</w:t>
      </w:r>
      <w:r w:rsidR="0006076B">
        <w:t>.</w:t>
      </w:r>
      <w:r w:rsidR="00705665" w:rsidRPr="00705665">
        <w:t xml:space="preserve"> As such, </w:t>
      </w:r>
      <w:r w:rsidR="006A09E9">
        <w:t>EIVMA</w:t>
      </w:r>
      <w:r w:rsidR="00705665" w:rsidRPr="00705665">
        <w:t xml:space="preserve"> </w:t>
      </w:r>
      <w:r w:rsidR="0006076B">
        <w:t>claims that it</w:t>
      </w:r>
      <w:r w:rsidR="00705665" w:rsidRPr="00705665">
        <w:t xml:space="preserve"> acted within </w:t>
      </w:r>
      <w:r w:rsidR="0006076B">
        <w:t>its</w:t>
      </w:r>
      <w:r w:rsidR="00705665" w:rsidRPr="00705665">
        <w:t xml:space="preserve"> right</w:t>
      </w:r>
      <w:r w:rsidR="0006076B">
        <w:t>s</w:t>
      </w:r>
      <w:r w:rsidR="00705665" w:rsidRPr="00705665">
        <w:t xml:space="preserve"> to order </w:t>
      </w:r>
      <w:r w:rsidR="009E7A76" w:rsidRPr="005427B7">
        <w:t xml:space="preserve">Mr. Al </w:t>
      </w:r>
      <w:proofErr w:type="spellStart"/>
      <w:r w:rsidR="009E7A76" w:rsidRPr="005427B7">
        <w:t>Darwish</w:t>
      </w:r>
      <w:proofErr w:type="spellEnd"/>
      <w:r w:rsidR="005427B7">
        <w:t xml:space="preserve"> </w:t>
      </w:r>
      <w:r w:rsidR="00705665" w:rsidRPr="00705665">
        <w:t xml:space="preserve">to remove the </w:t>
      </w:r>
      <w:r w:rsidR="0006076B" w:rsidRPr="00705665">
        <w:t>jet</w:t>
      </w:r>
      <w:r w:rsidR="00745BB5">
        <w:t xml:space="preserve"> </w:t>
      </w:r>
      <w:r w:rsidR="0006076B" w:rsidRPr="00705665">
        <w:t xml:space="preserve">ski </w:t>
      </w:r>
      <w:r w:rsidR="00705665" w:rsidRPr="00705665">
        <w:t xml:space="preserve">which was erected without permission as required by the constitution and </w:t>
      </w:r>
      <w:r w:rsidR="005427B7">
        <w:t>design</w:t>
      </w:r>
      <w:r w:rsidR="00705665" w:rsidRPr="00705665">
        <w:t xml:space="preserve"> guidelines</w:t>
      </w:r>
      <w:r w:rsidR="0006076B">
        <w:t>, and further that it</w:t>
      </w:r>
      <w:r w:rsidR="00705665" w:rsidRPr="00705665">
        <w:t xml:space="preserve"> acted within </w:t>
      </w:r>
      <w:r w:rsidR="0006076B">
        <w:t>its</w:t>
      </w:r>
      <w:r w:rsidR="00705665" w:rsidRPr="00705665">
        <w:t xml:space="preserve"> right</w:t>
      </w:r>
      <w:r w:rsidR="0006076B">
        <w:t>s</w:t>
      </w:r>
      <w:r w:rsidR="00705665" w:rsidRPr="00705665">
        <w:t xml:space="preserve"> </w:t>
      </w:r>
      <w:r w:rsidR="0006076B">
        <w:t xml:space="preserve">under </w:t>
      </w:r>
      <w:r w:rsidR="00705665" w:rsidRPr="00705665">
        <w:t xml:space="preserve">the constitution to inform </w:t>
      </w:r>
      <w:r w:rsidR="009E7A76" w:rsidRPr="005427B7">
        <w:t xml:space="preserve">Mr. Al </w:t>
      </w:r>
      <w:proofErr w:type="spellStart"/>
      <w:r w:rsidR="009E7A76" w:rsidRPr="005427B7">
        <w:t>Darwish</w:t>
      </w:r>
      <w:proofErr w:type="spellEnd"/>
      <w:r w:rsidR="0006076B">
        <w:t xml:space="preserve"> </w:t>
      </w:r>
      <w:r w:rsidR="00705665" w:rsidRPr="00705665">
        <w:t xml:space="preserve">that if he failed to remove the </w:t>
      </w:r>
      <w:r w:rsidR="00745BB5" w:rsidRPr="00705665">
        <w:t xml:space="preserve">jet ski </w:t>
      </w:r>
      <w:r w:rsidR="00705665" w:rsidRPr="00705665">
        <w:t xml:space="preserve">shelter, </w:t>
      </w:r>
      <w:r w:rsidR="0006076B">
        <w:t xml:space="preserve">the </w:t>
      </w:r>
      <w:r w:rsidR="006A09E9">
        <w:t>EIVMA</w:t>
      </w:r>
      <w:r w:rsidR="0006076B">
        <w:t xml:space="preserve"> would remove it at his cost</w:t>
      </w:r>
      <w:r w:rsidR="00705665" w:rsidRPr="00705665">
        <w:t>.</w:t>
      </w:r>
      <w:r w:rsidR="0006076B">
        <w:t xml:space="preserve"> </w:t>
      </w:r>
      <w:r w:rsidR="00705665" w:rsidRPr="0006076B">
        <w:t xml:space="preserve">The </w:t>
      </w:r>
      <w:r w:rsidR="006A09E9">
        <w:t>EIVMA</w:t>
      </w:r>
      <w:r w:rsidR="00705665" w:rsidRPr="0006076B">
        <w:t xml:space="preserve"> </w:t>
      </w:r>
      <w:r w:rsidR="005427B7" w:rsidRPr="0006076B">
        <w:t>further aver</w:t>
      </w:r>
      <w:r w:rsidR="0006076B">
        <w:t xml:space="preserve">s </w:t>
      </w:r>
      <w:r w:rsidR="00705665" w:rsidRPr="0006076B">
        <w:t xml:space="preserve">that </w:t>
      </w:r>
      <w:r w:rsidR="009E7A76" w:rsidRPr="0006076B">
        <w:t xml:space="preserve">Mr. Al </w:t>
      </w:r>
      <w:proofErr w:type="spellStart"/>
      <w:r w:rsidR="009E7A76" w:rsidRPr="0006076B">
        <w:t>Darwish</w:t>
      </w:r>
      <w:proofErr w:type="spellEnd"/>
      <w:r w:rsidR="005427B7" w:rsidRPr="0006076B">
        <w:t xml:space="preserve"> </w:t>
      </w:r>
      <w:r w:rsidR="00705665" w:rsidRPr="0006076B">
        <w:t xml:space="preserve">failed to follow the appeals processes available to him and has opted instead to file a suit </w:t>
      </w:r>
      <w:r w:rsidR="00745BB5">
        <w:t xml:space="preserve">in the </w:t>
      </w:r>
      <w:r w:rsidR="00705665" w:rsidRPr="0006076B">
        <w:t>Supreme Court.</w:t>
      </w:r>
      <w:r w:rsidR="0006076B">
        <w:t xml:space="preserve"> The </w:t>
      </w:r>
      <w:r w:rsidR="006A09E9">
        <w:t>EIVMA</w:t>
      </w:r>
      <w:r w:rsidR="00705665" w:rsidRPr="0006076B">
        <w:t xml:space="preserve"> </w:t>
      </w:r>
      <w:r w:rsidR="0006076B">
        <w:t>seeks the following remedies in its statement of defence</w:t>
      </w:r>
      <w:r w:rsidR="00705665" w:rsidRPr="0006076B">
        <w:t>:</w:t>
      </w:r>
    </w:p>
    <w:p w:rsidR="00705665" w:rsidRPr="00705665" w:rsidRDefault="00705665" w:rsidP="00705665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05665">
        <w:rPr>
          <w:rFonts w:ascii="Times New Roman" w:hAnsi="Times New Roman" w:cs="Times New Roman"/>
          <w:sz w:val="24"/>
          <w:szCs w:val="24"/>
          <w:lang w:val="en-GB"/>
        </w:rPr>
        <w:t>Dismiss</w:t>
      </w:r>
      <w:r w:rsidR="0006076B">
        <w:rPr>
          <w:rFonts w:ascii="Times New Roman" w:hAnsi="Times New Roman" w:cs="Times New Roman"/>
          <w:sz w:val="24"/>
          <w:szCs w:val="24"/>
          <w:lang w:val="en-GB"/>
        </w:rPr>
        <w:t xml:space="preserve">al of </w:t>
      </w:r>
      <w:r w:rsidRPr="00705665">
        <w:rPr>
          <w:rFonts w:ascii="Times New Roman" w:hAnsi="Times New Roman" w:cs="Times New Roman"/>
          <w:sz w:val="24"/>
          <w:szCs w:val="24"/>
          <w:lang w:val="en-GB"/>
        </w:rPr>
        <w:t>the plaint in its entirety with costs;</w:t>
      </w:r>
    </w:p>
    <w:p w:rsidR="00705665" w:rsidRPr="00705665" w:rsidRDefault="0006076B" w:rsidP="00705665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705665" w:rsidRPr="00705665">
        <w:rPr>
          <w:rFonts w:ascii="Times New Roman" w:hAnsi="Times New Roman" w:cs="Times New Roman"/>
          <w:sz w:val="24"/>
          <w:szCs w:val="24"/>
          <w:lang w:val="en-GB"/>
        </w:rPr>
        <w:t xml:space="preserve">dismantling of the </w:t>
      </w:r>
      <w:r>
        <w:rPr>
          <w:rFonts w:ascii="Times New Roman" w:hAnsi="Times New Roman" w:cs="Times New Roman"/>
          <w:sz w:val="24"/>
          <w:szCs w:val="24"/>
          <w:lang w:val="en-GB"/>
        </w:rPr>
        <w:t>jet</w:t>
      </w:r>
      <w:r w:rsidR="006A09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05665">
        <w:rPr>
          <w:rFonts w:ascii="Times New Roman" w:hAnsi="Times New Roman" w:cs="Times New Roman"/>
          <w:sz w:val="24"/>
          <w:szCs w:val="24"/>
          <w:lang w:val="en-GB"/>
        </w:rPr>
        <w:t xml:space="preserve">ski shelter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at the costs of </w:t>
      </w:r>
      <w:r w:rsidR="009E7A76">
        <w:rPr>
          <w:rFonts w:ascii="Times New Roman" w:hAnsi="Times New Roman" w:cs="Times New Roman"/>
          <w:sz w:val="24"/>
          <w:szCs w:val="24"/>
          <w:lang w:val="en-GB"/>
        </w:rPr>
        <w:t xml:space="preserve">Mr. Al </w:t>
      </w:r>
      <w:proofErr w:type="spellStart"/>
      <w:r w:rsidR="009E7A76">
        <w:rPr>
          <w:rFonts w:ascii="Times New Roman" w:hAnsi="Times New Roman" w:cs="Times New Roman"/>
          <w:sz w:val="24"/>
          <w:szCs w:val="24"/>
          <w:lang w:val="en-GB"/>
        </w:rPr>
        <w:t>Darwish</w:t>
      </w:r>
      <w:proofErr w:type="spellEnd"/>
      <w:r w:rsidR="00705665" w:rsidRPr="00705665">
        <w:rPr>
          <w:rFonts w:ascii="Times New Roman" w:hAnsi="Times New Roman" w:cs="Times New Roman"/>
          <w:sz w:val="24"/>
          <w:szCs w:val="24"/>
          <w:lang w:val="en-GB"/>
        </w:rPr>
        <w:t>; and</w:t>
      </w:r>
    </w:p>
    <w:p w:rsidR="00745BB5" w:rsidRDefault="00705665" w:rsidP="00745BB5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05665">
        <w:rPr>
          <w:rFonts w:ascii="Times New Roman" w:hAnsi="Times New Roman" w:cs="Times New Roman"/>
          <w:sz w:val="24"/>
          <w:szCs w:val="24"/>
          <w:lang w:val="en-GB"/>
        </w:rPr>
        <w:t>Any other order the court may deem fit.</w:t>
      </w:r>
    </w:p>
    <w:p w:rsidR="00745BB5" w:rsidRPr="00745BB5" w:rsidRDefault="00745BB5" w:rsidP="00745BB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94305" w:rsidRDefault="00C539F6" w:rsidP="00705665">
      <w:pPr>
        <w:keepNext/>
        <w:keepLines/>
        <w:spacing w:before="240" w:after="0" w:line="360" w:lineRule="auto"/>
        <w:jc w:val="both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val="en-GB"/>
        </w:rPr>
        <w:t xml:space="preserve">Plea in </w:t>
      </w:r>
      <w:proofErr w:type="spellStart"/>
      <w:r>
        <w:rPr>
          <w:rFonts w:ascii="Times New Roman" w:eastAsiaTheme="majorEastAsia" w:hAnsi="Times New Roman" w:cs="Times New Roman"/>
          <w:b/>
          <w:sz w:val="24"/>
          <w:szCs w:val="24"/>
          <w:lang w:val="en-GB"/>
        </w:rPr>
        <w:t>Limine</w:t>
      </w:r>
      <w:proofErr w:type="spellEnd"/>
      <w:r>
        <w:rPr>
          <w:rFonts w:ascii="Times New Roman" w:eastAsiaTheme="majorEastAsia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/>
          <w:sz w:val="24"/>
          <w:szCs w:val="24"/>
          <w:lang w:val="en-GB"/>
        </w:rPr>
        <w:t>Litis</w:t>
      </w:r>
      <w:proofErr w:type="spellEnd"/>
      <w:r>
        <w:rPr>
          <w:rFonts w:ascii="Times New Roman" w:eastAsiaTheme="majorEastAsia" w:hAnsi="Times New Roman" w:cs="Times New Roman"/>
          <w:b/>
          <w:sz w:val="24"/>
          <w:szCs w:val="24"/>
          <w:lang w:val="en-GB"/>
        </w:rPr>
        <w:t xml:space="preserve"> – No cause of action</w:t>
      </w:r>
      <w:r w:rsidR="00705665" w:rsidRPr="00705665">
        <w:rPr>
          <w:rFonts w:ascii="Times New Roman" w:eastAsiaTheme="majorEastAsia" w:hAnsi="Times New Roman" w:cs="Times New Roman"/>
          <w:b/>
          <w:sz w:val="24"/>
          <w:szCs w:val="24"/>
          <w:lang w:val="en-GB"/>
        </w:rPr>
        <w:t xml:space="preserve"> </w:t>
      </w:r>
    </w:p>
    <w:p w:rsidR="00B94305" w:rsidRDefault="00705665" w:rsidP="00B94305">
      <w:pPr>
        <w:pStyle w:val="JudgmentText"/>
      </w:pPr>
      <w:r w:rsidRPr="00B94305">
        <w:t xml:space="preserve">In </w:t>
      </w:r>
      <w:r w:rsidR="009D3754">
        <w:t>her</w:t>
      </w:r>
      <w:r w:rsidR="00B94305" w:rsidRPr="00B94305">
        <w:t xml:space="preserve"> </w:t>
      </w:r>
      <w:r w:rsidRPr="00B94305">
        <w:t>submissions,</w:t>
      </w:r>
      <w:r w:rsidR="00B94305" w:rsidRPr="00B94305">
        <w:t xml:space="preserve"> in regards to </w:t>
      </w:r>
      <w:r w:rsidR="00745BB5">
        <w:t>its claim t</w:t>
      </w:r>
      <w:r w:rsidR="00B94305" w:rsidRPr="00B94305">
        <w:t>hat the plaint discloses no reasonable cause of action</w:t>
      </w:r>
      <w:r w:rsidR="009D3754">
        <w:t>,</w:t>
      </w:r>
      <w:r w:rsidR="00B94305" w:rsidRPr="00B94305">
        <w:t xml:space="preserve"> </w:t>
      </w:r>
      <w:r w:rsidR="009D3754">
        <w:t xml:space="preserve">counsel for </w:t>
      </w:r>
      <w:r w:rsidR="006A09E9">
        <w:t>EIVMA</w:t>
      </w:r>
      <w:r w:rsidR="00B94305" w:rsidRPr="00B94305">
        <w:t xml:space="preserve"> relies on</w:t>
      </w:r>
      <w:r w:rsidRPr="00B94305">
        <w:t xml:space="preserve"> </w:t>
      </w:r>
      <w:r w:rsidR="00B94305" w:rsidRPr="00B94305">
        <w:t xml:space="preserve">section 92 of the Seychelles Code of Civil Procedure (“SCCP”) </w:t>
      </w:r>
      <w:r w:rsidR="00566F7E">
        <w:t>and invites the court, on that basis,</w:t>
      </w:r>
      <w:r w:rsidRPr="00B94305">
        <w:t xml:space="preserve"> to exercise </w:t>
      </w:r>
      <w:r w:rsidR="00B94305" w:rsidRPr="00B94305">
        <w:t>its</w:t>
      </w:r>
      <w:r w:rsidRPr="00B94305">
        <w:t xml:space="preserve"> discretionary power</w:t>
      </w:r>
      <w:r w:rsidR="00B94305" w:rsidRPr="00B94305">
        <w:t xml:space="preserve"> under that provision</w:t>
      </w:r>
      <w:r w:rsidRPr="00B94305">
        <w:t xml:space="preserve"> to dismiss the matter.</w:t>
      </w:r>
    </w:p>
    <w:p w:rsidR="006376DE" w:rsidRDefault="00A208A0" w:rsidP="009D3754">
      <w:pPr>
        <w:pStyle w:val="JudgmentText"/>
      </w:pPr>
      <w:r>
        <w:t>Counsel</w:t>
      </w:r>
      <w:r w:rsidR="009D3754">
        <w:t xml:space="preserve"> </w:t>
      </w:r>
      <w:r w:rsidR="00705665" w:rsidRPr="009D3754">
        <w:t>interpret</w:t>
      </w:r>
      <w:r w:rsidR="009D3754">
        <w:t>s</w:t>
      </w:r>
      <w:r w:rsidR="00705665" w:rsidRPr="009D3754">
        <w:t xml:space="preserve"> section 92 </w:t>
      </w:r>
      <w:r w:rsidR="009D3754">
        <w:t xml:space="preserve">as providing </w:t>
      </w:r>
      <w:r w:rsidR="00705665" w:rsidRPr="009D3754">
        <w:t>two benchmarks that need to be reached in order for an action to be maintain</w:t>
      </w:r>
      <w:r w:rsidR="009D3754">
        <w:t>ed before the Court, t</w:t>
      </w:r>
      <w:r w:rsidR="00705665" w:rsidRPr="009D3754">
        <w:t>he first being that there needs to</w:t>
      </w:r>
      <w:r w:rsidR="005C3005">
        <w:t xml:space="preserve"> be</w:t>
      </w:r>
      <w:r w:rsidR="00705665" w:rsidRPr="009D3754">
        <w:t xml:space="preserve"> a cause of action and </w:t>
      </w:r>
      <w:r>
        <w:t xml:space="preserve">second that </w:t>
      </w:r>
      <w:r w:rsidR="00705665" w:rsidRPr="009D3754">
        <w:t>such action must be reasonable.</w:t>
      </w:r>
      <w:r w:rsidR="009D3754">
        <w:t xml:space="preserve"> </w:t>
      </w:r>
      <w:r>
        <w:t xml:space="preserve">She further </w:t>
      </w:r>
      <w:r w:rsidR="00705665" w:rsidRPr="009D3754">
        <w:t>rel</w:t>
      </w:r>
      <w:r w:rsidR="009D3754">
        <w:t>ies</w:t>
      </w:r>
      <w:r w:rsidR="00705665" w:rsidRPr="009D3754">
        <w:t xml:space="preserve"> on the</w:t>
      </w:r>
      <w:r>
        <w:t xml:space="preserve"> judgment of the Mauritius Court of Appeal in</w:t>
      </w:r>
      <w:r w:rsidR="00705665" w:rsidRPr="009D3754">
        <w:t xml:space="preserve"> </w:t>
      </w:r>
      <w:proofErr w:type="spellStart"/>
      <w:r w:rsidR="00705665" w:rsidRPr="009D3754">
        <w:rPr>
          <w:i/>
        </w:rPr>
        <w:t>Bessin</w:t>
      </w:r>
      <w:proofErr w:type="spellEnd"/>
      <w:r w:rsidR="00705665" w:rsidRPr="009D3754">
        <w:rPr>
          <w:i/>
        </w:rPr>
        <w:t xml:space="preserve"> v Attorney General </w:t>
      </w:r>
      <w:r w:rsidRPr="005C3005">
        <w:t>(1950) SLR 208</w:t>
      </w:r>
      <w:r>
        <w:rPr>
          <w:i/>
        </w:rPr>
        <w:t xml:space="preserve"> </w:t>
      </w:r>
      <w:r w:rsidRPr="00A208A0">
        <w:t>delivered</w:t>
      </w:r>
      <w:r>
        <w:t xml:space="preserve"> on 12 December 1951,</w:t>
      </w:r>
      <w:r w:rsidR="00727697">
        <w:t xml:space="preserve"> to state that </w:t>
      </w:r>
      <w:r w:rsidR="00745BB5" w:rsidRPr="005C3005">
        <w:rPr>
          <w:i/>
        </w:rPr>
        <w:t>“</w:t>
      </w:r>
      <w:r w:rsidR="00705665" w:rsidRPr="005C3005">
        <w:rPr>
          <w:i/>
        </w:rPr>
        <w:t>a motion that a pleading be struck out is to be decided solely on the pleadings</w:t>
      </w:r>
      <w:r w:rsidR="00745BB5" w:rsidRPr="005C3005">
        <w:rPr>
          <w:i/>
        </w:rPr>
        <w:t>”</w:t>
      </w:r>
      <w:r w:rsidR="00A42083">
        <w:t xml:space="preserve"> and </w:t>
      </w:r>
      <w:r w:rsidR="00745BB5" w:rsidRPr="005C3005">
        <w:rPr>
          <w:i/>
        </w:rPr>
        <w:t>“</w:t>
      </w:r>
      <w:r w:rsidR="00A42083" w:rsidRPr="005C3005">
        <w:rPr>
          <w:i/>
        </w:rPr>
        <w:t>hence no other documents, evidence or other matters are to be taken into account other than the plaint itself</w:t>
      </w:r>
      <w:r w:rsidR="00745BB5">
        <w:t>”.</w:t>
      </w:r>
      <w:r w:rsidR="00705665" w:rsidRPr="009D3754">
        <w:t xml:space="preserve"> </w:t>
      </w:r>
    </w:p>
    <w:p w:rsidR="007A0441" w:rsidRDefault="006376DE" w:rsidP="007A0441">
      <w:pPr>
        <w:pStyle w:val="JudgmentText"/>
      </w:pPr>
      <w:r>
        <w:t>Counsel submits that that there are four causes of action that the plaintiff could have raised namely breach of contract, fault, breach of a quasi-contract and a quasi-delict, and that none of these are averred in the plaint</w:t>
      </w:r>
      <w:r w:rsidR="00745BB5">
        <w:t>,</w:t>
      </w:r>
      <w:r>
        <w:t xml:space="preserve"> contrary to</w:t>
      </w:r>
      <w:r w:rsidRPr="006376DE">
        <w:t xml:space="preserve"> </w:t>
      </w:r>
      <w:r w:rsidR="00745BB5">
        <w:t xml:space="preserve">what is required under </w:t>
      </w:r>
      <w:r>
        <w:t>section 92. She therefore submits that</w:t>
      </w:r>
      <w:r w:rsidR="00705665" w:rsidRPr="009D3754">
        <w:t xml:space="preserve"> the plaint </w:t>
      </w:r>
      <w:r>
        <w:t>does not disclose any legal basis for the action</w:t>
      </w:r>
      <w:r w:rsidR="00146A26">
        <w:t xml:space="preserve"> and hence </w:t>
      </w:r>
      <w:r w:rsidR="00705665" w:rsidRPr="009D3754">
        <w:t xml:space="preserve">leaves </w:t>
      </w:r>
      <w:r w:rsidR="00146A26">
        <w:t>the defendant</w:t>
      </w:r>
      <w:r w:rsidR="00705665" w:rsidRPr="009D3754">
        <w:t xml:space="preserve"> a</w:t>
      </w:r>
      <w:r w:rsidR="00146A26">
        <w:t>nd the court guessing not only as to what gave rise to the cause of action but also what the cause of action</w:t>
      </w:r>
      <w:r w:rsidR="00146A26" w:rsidRPr="00146A26">
        <w:t xml:space="preserve"> </w:t>
      </w:r>
      <w:r w:rsidR="00146A26">
        <w:t>is.</w:t>
      </w:r>
      <w:r w:rsidR="00705665" w:rsidRPr="009D3754">
        <w:t xml:space="preserve"> </w:t>
      </w:r>
      <w:r w:rsidR="00146A26">
        <w:t xml:space="preserve"> She submits that they are </w:t>
      </w:r>
      <w:r w:rsidR="00146A26" w:rsidRPr="005C3005">
        <w:rPr>
          <w:i/>
        </w:rPr>
        <w:t>“left to take random guesses as to what the breach is and how the breach arises”</w:t>
      </w:r>
      <w:r w:rsidR="00146A26">
        <w:t>. This, she states, is contrary to the rules of pleadings that the cause of action must be disclosed and</w:t>
      </w:r>
      <w:r w:rsidR="006C6189">
        <w:t xml:space="preserve"> the breach particularised, that the plaint is therefore materially defective and bad in law and ought to be struck out. Furthermore without being able to clearly identify a cause of action, the EIMVA is</w:t>
      </w:r>
      <w:r w:rsidR="00705665" w:rsidRPr="009D3754">
        <w:t xml:space="preserve"> unable to formulate a </w:t>
      </w:r>
      <w:r w:rsidR="006C6189">
        <w:t xml:space="preserve">proper and effective </w:t>
      </w:r>
      <w:r w:rsidR="00705665" w:rsidRPr="009D3754">
        <w:t>defence.</w:t>
      </w:r>
    </w:p>
    <w:p w:rsidR="00DE562B" w:rsidRDefault="006C6189" w:rsidP="003E09B1">
      <w:pPr>
        <w:pStyle w:val="JudgmentText"/>
      </w:pPr>
      <w:r w:rsidRPr="007A0441">
        <w:t>Counsel relies on the</w:t>
      </w:r>
      <w:r w:rsidR="00705665" w:rsidRPr="007A0441">
        <w:t xml:space="preserve"> case of </w:t>
      </w:r>
      <w:r w:rsidR="00705665" w:rsidRPr="007A0441">
        <w:rPr>
          <w:i/>
        </w:rPr>
        <w:t xml:space="preserve">Philip </w:t>
      </w:r>
      <w:proofErr w:type="spellStart"/>
      <w:r w:rsidR="00705665" w:rsidRPr="007A0441">
        <w:rPr>
          <w:i/>
        </w:rPr>
        <w:t>Rath</w:t>
      </w:r>
      <w:proofErr w:type="spellEnd"/>
      <w:r w:rsidR="00705665" w:rsidRPr="007A0441">
        <w:rPr>
          <w:i/>
        </w:rPr>
        <w:t xml:space="preserve"> v Robin Richmond </w:t>
      </w:r>
      <w:r w:rsidR="00705665" w:rsidRPr="007A0441">
        <w:t>[2017] SCSC 433</w:t>
      </w:r>
      <w:r w:rsidR="003E09B1">
        <w:t xml:space="preserve"> as to the meaning of r</w:t>
      </w:r>
      <w:r w:rsidR="00705665" w:rsidRPr="007A0441">
        <w:t>easonable cause of action</w:t>
      </w:r>
      <w:r w:rsidR="003E09B1">
        <w:t xml:space="preserve"> namely </w:t>
      </w:r>
      <w:r w:rsidR="003E09B1" w:rsidRPr="005C3005">
        <w:rPr>
          <w:i/>
        </w:rPr>
        <w:t>“</w:t>
      </w:r>
      <w:r w:rsidR="002B4677" w:rsidRPr="005C3005">
        <w:rPr>
          <w:i/>
        </w:rPr>
        <w:t>a cause of action with some chance of success when only the allegations in the pleading are considered</w:t>
      </w:r>
      <w:r w:rsidR="003E09B1" w:rsidRPr="005C3005">
        <w:rPr>
          <w:i/>
        </w:rPr>
        <w:t>”</w:t>
      </w:r>
      <w:r w:rsidR="003E09B1">
        <w:t xml:space="preserve">. Further that a plaint which discloses a reasonable cause of action must contain all material facts that must be proved in order for the plaintiff to succeed in its claim. She </w:t>
      </w:r>
      <w:r w:rsidR="00DE562B">
        <w:t xml:space="preserve">goes on to state that the plaint in the instant matter is significantly lacking in material facts that ought to have been pleaded and therefore does not disclose a reasonable cause of action; </w:t>
      </w:r>
      <w:r w:rsidR="00DE562B" w:rsidRPr="00DE562B">
        <w:t xml:space="preserve">that dismantling a </w:t>
      </w:r>
      <w:r w:rsidR="00DE562B">
        <w:t>jet</w:t>
      </w:r>
      <w:r w:rsidR="005C3005">
        <w:t xml:space="preserve"> </w:t>
      </w:r>
      <w:r w:rsidR="00DE562B">
        <w:t>s</w:t>
      </w:r>
      <w:r w:rsidR="00DE562B" w:rsidRPr="00DE562B">
        <w:t>ki shed does not amount to a cause of action, let alone a reasonable one</w:t>
      </w:r>
      <w:r w:rsidR="00DE562B">
        <w:t xml:space="preserve">; </w:t>
      </w:r>
      <w:r w:rsidR="00566F7E">
        <w:t xml:space="preserve">and that for the court to find otherwise would amount to making a case for the plaintiff and deciding on its own whether the claim is a contractual or tortious one which, she submits, </w:t>
      </w:r>
      <w:r w:rsidR="003E09B1">
        <w:t xml:space="preserve">the Court </w:t>
      </w:r>
      <w:r w:rsidR="00566F7E">
        <w:t>cannot do. On that basis she invites the court to strike out the plaint.</w:t>
      </w:r>
    </w:p>
    <w:p w:rsidR="00D44E9F" w:rsidRDefault="00566F7E" w:rsidP="00D44E9F">
      <w:pPr>
        <w:pStyle w:val="JudgmentText"/>
      </w:pPr>
      <w:r>
        <w:t xml:space="preserve">The submissions of counsel for the plaintiff are not only brief but </w:t>
      </w:r>
      <w:r w:rsidR="00D44E9F">
        <w:t>also</w:t>
      </w:r>
      <w:r>
        <w:t xml:space="preserve"> </w:t>
      </w:r>
      <w:r w:rsidR="003E09B1">
        <w:t>un</w:t>
      </w:r>
      <w:r w:rsidR="00D44E9F">
        <w:t>helpful. He focuses on the prayers of the plaintiff instead of the material facts averred in the plaint which form the basis of the cause of action</w:t>
      </w:r>
      <w:r w:rsidR="003E09B1">
        <w:t xml:space="preserve">, and which would show whether </w:t>
      </w:r>
      <w:r w:rsidR="005C3005">
        <w:t xml:space="preserve">or not </w:t>
      </w:r>
      <w:r w:rsidR="003E09B1">
        <w:t>there is a reasonable cause of action</w:t>
      </w:r>
      <w:r w:rsidR="00D44E9F">
        <w:t>.</w:t>
      </w:r>
    </w:p>
    <w:p w:rsidR="00D44E9F" w:rsidRDefault="00D44E9F" w:rsidP="00D44E9F">
      <w:pPr>
        <w:pStyle w:val="Jjmntheading1"/>
      </w:pPr>
      <w:r>
        <w:t>Analysis</w:t>
      </w:r>
    </w:p>
    <w:p w:rsidR="00A609AB" w:rsidRDefault="00E23D6F" w:rsidP="00A609AB">
      <w:pPr>
        <w:pStyle w:val="JudgmentText"/>
      </w:pPr>
      <w:r>
        <w:t xml:space="preserve">The </w:t>
      </w:r>
      <w:r w:rsidR="006A09E9">
        <w:t>EIVMA</w:t>
      </w:r>
      <w:r w:rsidR="00A609AB">
        <w:t xml:space="preserve"> relies upon Section 92 of the SCCP to move for dismissal of the present case</w:t>
      </w:r>
      <w:r>
        <w:t xml:space="preserve"> on the ground that it discloses no reasonable cause of action</w:t>
      </w:r>
      <w:r w:rsidR="00A609AB">
        <w:t xml:space="preserve">. </w:t>
      </w:r>
      <w:r>
        <w:t xml:space="preserve">Section 92 </w:t>
      </w:r>
      <w:r w:rsidR="00A609AB">
        <w:t xml:space="preserve"> provides as follows:</w:t>
      </w:r>
    </w:p>
    <w:p w:rsidR="00A609AB" w:rsidRDefault="00A609AB" w:rsidP="00A609AB">
      <w:pPr>
        <w:pStyle w:val="NumberedQuotationindent1"/>
        <w:numPr>
          <w:ilvl w:val="3"/>
          <w:numId w:val="32"/>
        </w:numPr>
        <w:ind w:left="1440"/>
      </w:pPr>
      <w:r w:rsidRPr="003E09B1">
        <w:rPr>
          <w:b/>
        </w:rPr>
        <w:t xml:space="preserve">The court </w:t>
      </w:r>
      <w:r w:rsidRPr="00DB5670">
        <w:rPr>
          <w:b/>
          <w:u w:val="single"/>
        </w:rPr>
        <w:t>may</w:t>
      </w:r>
      <w:r w:rsidRPr="003E09B1">
        <w:rPr>
          <w:b/>
        </w:rPr>
        <w:t xml:space="preserve"> order any pleadings to be struck out, on the ground that it discloses no reasonable cause of action or answer, and in such case</w:t>
      </w:r>
      <w:r>
        <w:t xml:space="preserve">, or in case of the action or </w:t>
      </w:r>
      <w:proofErr w:type="spellStart"/>
      <w:r>
        <w:t>defence</w:t>
      </w:r>
      <w:proofErr w:type="spellEnd"/>
      <w:r>
        <w:t xml:space="preserve"> being shown by the pleadings to be frivolous of vexatious, </w:t>
      </w:r>
      <w:r w:rsidRPr="003E09B1">
        <w:rPr>
          <w:b/>
        </w:rPr>
        <w:t xml:space="preserve">the court </w:t>
      </w:r>
      <w:r w:rsidRPr="00DB5670">
        <w:rPr>
          <w:b/>
          <w:u w:val="single"/>
        </w:rPr>
        <w:t>may</w:t>
      </w:r>
      <w:r w:rsidRPr="003E09B1">
        <w:rPr>
          <w:b/>
        </w:rPr>
        <w:t xml:space="preserve"> order the action to be stayed or dismissed, or </w:t>
      </w:r>
      <w:r w:rsidRPr="00DB5670">
        <w:rPr>
          <w:b/>
          <w:u w:val="single"/>
        </w:rPr>
        <w:t>may</w:t>
      </w:r>
      <w:r w:rsidRPr="003E09B1">
        <w:rPr>
          <w:b/>
        </w:rPr>
        <w:t xml:space="preserve"> give judgment, on such terms as may be just</w:t>
      </w:r>
      <w:r>
        <w:t>.</w:t>
      </w:r>
      <w:r w:rsidR="003E09B1">
        <w:t xml:space="preserve"> </w:t>
      </w:r>
      <w:r w:rsidR="003E09B1">
        <w:rPr>
          <w:i w:val="0"/>
        </w:rPr>
        <w:t>Emphasis added.</w:t>
      </w:r>
    </w:p>
    <w:p w:rsidR="00A42083" w:rsidRDefault="00A42083" w:rsidP="00A42083">
      <w:pPr>
        <w:pStyle w:val="NumberedQuotationindent1"/>
        <w:numPr>
          <w:ilvl w:val="0"/>
          <w:numId w:val="0"/>
        </w:numPr>
        <w:ind w:left="1440"/>
      </w:pPr>
    </w:p>
    <w:p w:rsidR="00E23D6F" w:rsidRDefault="009F1D29" w:rsidP="00E23D6F">
      <w:pPr>
        <w:pStyle w:val="JudgmentText"/>
      </w:pPr>
      <w:r w:rsidRPr="00F00A7B">
        <w:t xml:space="preserve">A close reading of section 92 reveals that it envisages two scenarios: (1) where a pleading discloses no reasonable cause of action or answer; and (2) where the action or defence is shown by the pleading to be frivolous or vexatious. </w:t>
      </w:r>
      <w:r w:rsidR="003114FA">
        <w:t>The wording of the provision suggests that in th</w:t>
      </w:r>
      <w:r w:rsidRPr="00F00A7B">
        <w:t>e former case the pleading may be struck out</w:t>
      </w:r>
      <w:r>
        <w:t>,</w:t>
      </w:r>
      <w:r w:rsidRPr="00F00A7B">
        <w:t xml:space="preserve"> but in both cases the court may order the action to be stayed or dismissed or may give judgme</w:t>
      </w:r>
      <w:r>
        <w:t>nt on such terms as may be just.</w:t>
      </w:r>
      <w:r w:rsidR="00C42284">
        <w:t xml:space="preserve"> The court is given a discretion as to the actions that it may take.  </w:t>
      </w:r>
    </w:p>
    <w:p w:rsidR="003315A9" w:rsidRDefault="001D55DA" w:rsidP="00F00A7B">
      <w:pPr>
        <w:pStyle w:val="JudgmentText"/>
      </w:pPr>
      <w:r>
        <w:t xml:space="preserve">The principles governing the treatment of applications under section 92 are established in our jurisprudence and consistently followed by our courts. </w:t>
      </w:r>
    </w:p>
    <w:p w:rsidR="003315A9" w:rsidRDefault="001D55DA" w:rsidP="003315A9">
      <w:pPr>
        <w:pStyle w:val="JudgmentText"/>
      </w:pPr>
      <w:r>
        <w:t xml:space="preserve">Counsel </w:t>
      </w:r>
      <w:r w:rsidRPr="00D44E9F">
        <w:t>for EIMVA</w:t>
      </w:r>
      <w:r>
        <w:t xml:space="preserve"> </w:t>
      </w:r>
      <w:r w:rsidR="003315A9">
        <w:t xml:space="preserve">cites the following at paragraph [8] of </w:t>
      </w:r>
      <w:proofErr w:type="spellStart"/>
      <w:r w:rsidR="00DB5670" w:rsidRPr="00DB5670">
        <w:rPr>
          <w:i/>
        </w:rPr>
        <w:t>Rath</w:t>
      </w:r>
      <w:proofErr w:type="spellEnd"/>
      <w:r w:rsidR="00DB5670" w:rsidRPr="00DB5670">
        <w:rPr>
          <w:i/>
        </w:rPr>
        <w:t xml:space="preserve"> </w:t>
      </w:r>
      <w:r w:rsidR="005C3005">
        <w:t xml:space="preserve">(supra) </w:t>
      </w:r>
      <w:r w:rsidR="003315A9">
        <w:t>in regards to the definition of the term cause of action:</w:t>
      </w:r>
    </w:p>
    <w:p w:rsidR="003315A9" w:rsidRDefault="003315A9" w:rsidP="003315A9">
      <w:pPr>
        <w:pStyle w:val="Unnumberedquote"/>
      </w:pPr>
      <w:proofErr w:type="gramStart"/>
      <w:r>
        <w:t>The term cause of action comprise, according to English authorities, every fact which is material to be proved to enable a plaintiff to succeed; in other words, every fact which, if traversed, the plaintiff must prove to obtain judgment, so that a plaint which will not aver all material facts, would therefore, not disclose a reasonable cause of action [Cooke v Gill, L.R. 8 C.P.</w:t>
      </w:r>
      <w:proofErr w:type="gramEnd"/>
      <w:r>
        <w:t xml:space="preserve">  </w:t>
      </w:r>
      <w:proofErr w:type="gramStart"/>
      <w:r>
        <w:t>p.116</w:t>
      </w:r>
      <w:proofErr w:type="gramEnd"/>
      <w:r>
        <w:t xml:space="preserve"> Buckley v Hann, 5 Exch. 43; Read v Brown, 22 Q.B.D. p.131, C.A.].</w:t>
      </w:r>
    </w:p>
    <w:p w:rsidR="003315A9" w:rsidRDefault="003315A9" w:rsidP="003315A9">
      <w:pPr>
        <w:pStyle w:val="Unnumberedquote"/>
      </w:pPr>
    </w:p>
    <w:p w:rsidR="003315A9" w:rsidRDefault="003315A9" w:rsidP="003315A9">
      <w:pPr>
        <w:pStyle w:val="JudgmentText"/>
        <w:numPr>
          <w:ilvl w:val="0"/>
          <w:numId w:val="0"/>
        </w:numPr>
        <w:ind w:left="720"/>
      </w:pPr>
      <w:proofErr w:type="gramStart"/>
      <w:r>
        <w:t>and</w:t>
      </w:r>
      <w:proofErr w:type="gramEnd"/>
      <w:r>
        <w:t xml:space="preserve"> submits that the plaint in the instant matter is significantly lacking in material facts that ought to have been pleaded and therefore does not disclose a reasonable cause of action.</w:t>
      </w:r>
    </w:p>
    <w:p w:rsidR="00F00A7B" w:rsidRPr="00A11960" w:rsidRDefault="003315A9" w:rsidP="00F00A7B">
      <w:pPr>
        <w:pStyle w:val="JudgmentText"/>
      </w:pPr>
      <w:r w:rsidRPr="00A11960">
        <w:t>S</w:t>
      </w:r>
      <w:r w:rsidR="001D55DA" w:rsidRPr="00A11960">
        <w:t xml:space="preserve">he </w:t>
      </w:r>
      <w:r w:rsidR="00A42083" w:rsidRPr="00A11960">
        <w:t>rightly submit</w:t>
      </w:r>
      <w:r w:rsidR="001D55DA" w:rsidRPr="00A11960">
        <w:t>s</w:t>
      </w:r>
      <w:r w:rsidRPr="00A11960">
        <w:t xml:space="preserve"> </w:t>
      </w:r>
      <w:r w:rsidR="00A42083" w:rsidRPr="00A11960">
        <w:t xml:space="preserve">on the authority of both </w:t>
      </w:r>
      <w:proofErr w:type="spellStart"/>
      <w:r w:rsidR="00DB5670" w:rsidRPr="00A11960">
        <w:rPr>
          <w:i/>
        </w:rPr>
        <w:t>Bessin</w:t>
      </w:r>
      <w:proofErr w:type="spellEnd"/>
      <w:r w:rsidR="00DB5670" w:rsidRPr="00A11960">
        <w:rPr>
          <w:i/>
        </w:rPr>
        <w:t xml:space="preserve"> </w:t>
      </w:r>
      <w:r w:rsidR="00A42083" w:rsidRPr="00A11960">
        <w:t xml:space="preserve">and </w:t>
      </w:r>
      <w:proofErr w:type="spellStart"/>
      <w:r w:rsidR="00A42083" w:rsidRPr="00A11960">
        <w:rPr>
          <w:i/>
        </w:rPr>
        <w:t>Rath</w:t>
      </w:r>
      <w:proofErr w:type="spellEnd"/>
      <w:r w:rsidR="00A42083" w:rsidRPr="00A11960">
        <w:rPr>
          <w:i/>
        </w:rPr>
        <w:t xml:space="preserve"> </w:t>
      </w:r>
      <w:r w:rsidR="00A42083" w:rsidRPr="00A11960">
        <w:t xml:space="preserve">(supra), </w:t>
      </w:r>
      <w:r w:rsidRPr="00A11960">
        <w:t xml:space="preserve">that </w:t>
      </w:r>
      <w:r w:rsidR="00A42083" w:rsidRPr="00A11960">
        <w:t xml:space="preserve">a reasonable cause of action </w:t>
      </w:r>
      <w:r w:rsidR="00DF7322" w:rsidRPr="00A11960">
        <w:t>is one which must have some prospect of success</w:t>
      </w:r>
      <w:r w:rsidR="0099768E" w:rsidRPr="00A11960">
        <w:t xml:space="preserve"> which </w:t>
      </w:r>
      <w:r w:rsidR="00A42083" w:rsidRPr="00A11960">
        <w:t>sho</w:t>
      </w:r>
      <w:r w:rsidR="0099768E" w:rsidRPr="00A11960">
        <w:t>uld be obvious on the pleadings to the exclusion of any other extraneous evidence.</w:t>
      </w:r>
      <w:r w:rsidR="00C42284" w:rsidRPr="00A11960">
        <w:t xml:space="preserve"> </w:t>
      </w:r>
    </w:p>
    <w:p w:rsidR="00DB5670" w:rsidRDefault="00DB5670" w:rsidP="00DB5670">
      <w:pPr>
        <w:pStyle w:val="JudgmentText"/>
      </w:pPr>
      <w:r>
        <w:t xml:space="preserve">In </w:t>
      </w:r>
      <w:proofErr w:type="spellStart"/>
      <w:r w:rsidRPr="00DB5670">
        <w:rPr>
          <w:i/>
        </w:rPr>
        <w:t>Rath</w:t>
      </w:r>
      <w:proofErr w:type="spellEnd"/>
      <w:r>
        <w:rPr>
          <w:i/>
        </w:rPr>
        <w:t xml:space="preserve"> </w:t>
      </w:r>
      <w:r>
        <w:t>(supra)</w:t>
      </w:r>
      <w:r w:rsidRPr="00DB5670">
        <w:rPr>
          <w:i/>
        </w:rPr>
        <w:t xml:space="preserve"> </w:t>
      </w:r>
      <w:r w:rsidRPr="007A0441">
        <w:t>Robinson J</w:t>
      </w:r>
      <w:r>
        <w:t xml:space="preserve"> at paragraph [7] citing</w:t>
      </w:r>
      <w:r w:rsidRPr="007A0441">
        <w:t xml:space="preserve"> the following from O.18/19/5, Rules of the Supreme Court, Pleadings (Supreme Court Practice 1979 1 Part 1 Orders 1-114</w:t>
      </w:r>
      <w:r>
        <w:t>, explained</w:t>
      </w:r>
      <w:r w:rsidRPr="007A0441">
        <w:t xml:space="preserve"> what </w:t>
      </w:r>
      <w:r>
        <w:t>the term “</w:t>
      </w:r>
      <w:r w:rsidRPr="007A0441">
        <w:t>reasonable cause of action</w:t>
      </w:r>
      <w:r>
        <w:t>”</w:t>
      </w:r>
      <w:r w:rsidRPr="007A0441">
        <w:t xml:space="preserve"> means</w:t>
      </w:r>
      <w:r>
        <w:t>:</w:t>
      </w:r>
    </w:p>
    <w:p w:rsidR="00DB5670" w:rsidRDefault="00DB5670" w:rsidP="00FD2FE2">
      <w:pPr>
        <w:pStyle w:val="Unnumberedquote"/>
        <w:rPr>
          <w:lang w:val="en-GB"/>
        </w:rPr>
      </w:pPr>
      <w:r>
        <w:rPr>
          <w:lang w:val="en-GB"/>
        </w:rPr>
        <w:t>… A</w:t>
      </w:r>
      <w:r w:rsidRPr="00705665">
        <w:rPr>
          <w:lang w:val="en-GB"/>
        </w:rPr>
        <w:t xml:space="preserve"> reasonable cause of action </w:t>
      </w:r>
      <w:r>
        <w:rPr>
          <w:lang w:val="en-GB"/>
        </w:rPr>
        <w:t>means</w:t>
      </w:r>
      <w:r w:rsidRPr="00705665">
        <w:rPr>
          <w:lang w:val="en-GB"/>
        </w:rPr>
        <w:t xml:space="preserve"> </w:t>
      </w:r>
      <w:r>
        <w:rPr>
          <w:lang w:val="en-GB"/>
        </w:rPr>
        <w:t>a cause of action with some chance of success when only the allegations in the pleading are considered (per Lord Pearson in Drummond-Jackson v. British Medical Association [1970] 1 W.L.R. 688; [1970] 1All E.R. 1094, C.A.).</w:t>
      </w:r>
    </w:p>
    <w:p w:rsidR="00FD2FE2" w:rsidRPr="00FD2FE2" w:rsidRDefault="00FD2FE2" w:rsidP="00FD2FE2">
      <w:pPr>
        <w:pStyle w:val="Unnumberedquote"/>
        <w:rPr>
          <w:lang w:val="en-GB"/>
        </w:rPr>
      </w:pPr>
    </w:p>
    <w:p w:rsidR="00841CF2" w:rsidRPr="00841CF2" w:rsidRDefault="001D55DA" w:rsidP="00F00A7B">
      <w:pPr>
        <w:pStyle w:val="JudgmentText"/>
      </w:pPr>
      <w:r>
        <w:t xml:space="preserve">It was </w:t>
      </w:r>
      <w:r w:rsidR="005C3005">
        <w:t xml:space="preserve">also </w:t>
      </w:r>
      <w:r>
        <w:t xml:space="preserve">held in </w:t>
      </w:r>
      <w:proofErr w:type="spellStart"/>
      <w:r w:rsidRPr="00FD2FE2">
        <w:rPr>
          <w:i/>
        </w:rPr>
        <w:t>Bessin</w:t>
      </w:r>
      <w:proofErr w:type="spellEnd"/>
      <w:r w:rsidR="00841CF2">
        <w:rPr>
          <w:i/>
        </w:rPr>
        <w:t xml:space="preserve"> –</w:t>
      </w:r>
    </w:p>
    <w:p w:rsidR="001D55DA" w:rsidRDefault="00FD2FE2" w:rsidP="00841CF2">
      <w:pPr>
        <w:pStyle w:val="Unnumberedquote"/>
      </w:pPr>
      <w:r>
        <w:t xml:space="preserve"> </w:t>
      </w:r>
      <w:proofErr w:type="gramStart"/>
      <w:r>
        <w:t>that</w:t>
      </w:r>
      <w:proofErr w:type="gramEnd"/>
      <w:r>
        <w:t xml:space="preserve"> a Court hearing such an application [for dismissal of an action on the basis that it discloses no cause of action] must limit itself to the allegations </w:t>
      </w:r>
      <w:r w:rsidR="00841CF2">
        <w:t>contained in the pleadings and that no extraneous evidence was admissible to support the application.</w:t>
      </w:r>
    </w:p>
    <w:p w:rsidR="00841CF2" w:rsidRDefault="00841CF2" w:rsidP="00841CF2">
      <w:pPr>
        <w:pStyle w:val="Unnumberedquote"/>
      </w:pPr>
    </w:p>
    <w:p w:rsidR="00AB087C" w:rsidRDefault="005C3005" w:rsidP="00841CF2">
      <w:pPr>
        <w:pStyle w:val="JudgmentText"/>
      </w:pPr>
      <w:r>
        <w:t>In</w:t>
      </w:r>
      <w:r w:rsidR="00AB087C">
        <w:t xml:space="preserve"> </w:t>
      </w:r>
      <w:proofErr w:type="spellStart"/>
      <w:r w:rsidR="00AB087C" w:rsidRPr="003315A9">
        <w:rPr>
          <w:i/>
        </w:rPr>
        <w:t>Bessin</w:t>
      </w:r>
      <w:proofErr w:type="spellEnd"/>
      <w:r w:rsidR="00AB087C" w:rsidRPr="00C42284">
        <w:t xml:space="preserve"> </w:t>
      </w:r>
      <w:r>
        <w:t xml:space="preserve">it was further </w:t>
      </w:r>
      <w:proofErr w:type="spellStart"/>
      <w:r>
        <w:t>held</w:t>
      </w:r>
      <w:r w:rsidR="00AB087C" w:rsidRPr="003315A9">
        <w:rPr>
          <w:i/>
        </w:rPr>
        <w:t>“</w:t>
      </w:r>
      <w:r w:rsidR="00841CF2">
        <w:t>that</w:t>
      </w:r>
      <w:proofErr w:type="spellEnd"/>
      <w:r w:rsidR="00841CF2">
        <w:t xml:space="preserve"> </w:t>
      </w:r>
      <w:r w:rsidR="00AB087C" w:rsidRPr="003315A9">
        <w:rPr>
          <w:i/>
        </w:rPr>
        <w:t>only in plain and obvious cases should the court resort to the summary process of dismissing an action”.</w:t>
      </w:r>
      <w:r w:rsidR="0026696C">
        <w:rPr>
          <w:i/>
        </w:rPr>
        <w:t xml:space="preserve"> </w:t>
      </w:r>
      <w:r w:rsidR="0026696C" w:rsidRPr="0026696C">
        <w:t xml:space="preserve">This was reiterated in </w:t>
      </w:r>
      <w:proofErr w:type="spellStart"/>
      <w:r w:rsidR="0026696C" w:rsidRPr="0026696C">
        <w:t>Rath</w:t>
      </w:r>
      <w:proofErr w:type="spellEnd"/>
      <w:r w:rsidR="0026696C" w:rsidRPr="0026696C">
        <w:t xml:space="preserve"> at paragraph [7]</w:t>
      </w:r>
      <w:r w:rsidR="0026696C">
        <w:rPr>
          <w:i/>
        </w:rPr>
        <w:t>.</w:t>
      </w:r>
      <w:r w:rsidR="00AB087C" w:rsidRPr="003315A9">
        <w:rPr>
          <w:i/>
        </w:rPr>
        <w:t xml:space="preserve"> </w:t>
      </w:r>
      <w:r w:rsidR="00AB087C" w:rsidRPr="00527A4A">
        <w:t>In essence this means that</w:t>
      </w:r>
      <w:r w:rsidR="00AB087C" w:rsidRPr="003315A9">
        <w:rPr>
          <w:i/>
        </w:rPr>
        <w:t xml:space="preserve"> </w:t>
      </w:r>
      <w:r w:rsidR="00AB087C" w:rsidRPr="00527A4A">
        <w:t>the court cannot strike out a claim unless it is plain and obvious that there is no cause of action.</w:t>
      </w:r>
      <w:r w:rsidR="00841CF2">
        <w:t xml:space="preserve"> In that regard the Court at page 213 cited the following from</w:t>
      </w:r>
      <w:r w:rsidR="00DD43E6">
        <w:t xml:space="preserve"> the English Annual Practice, 1931 at p. 426 on O. 25 r. 4 of the English Rules of the Supreme Court (of which section 9</w:t>
      </w:r>
      <w:r w:rsidR="00222B00">
        <w:t>2</w:t>
      </w:r>
      <w:r w:rsidR="00DD43E6" w:rsidRPr="00DD43E6">
        <w:t xml:space="preserve"> </w:t>
      </w:r>
      <w:r w:rsidR="00DD43E6">
        <w:t>is a reproduction)</w:t>
      </w:r>
      <w:r w:rsidR="00841CF2">
        <w:t>:</w:t>
      </w:r>
    </w:p>
    <w:p w:rsidR="00841CF2" w:rsidRPr="00DD43E6" w:rsidRDefault="0026696C" w:rsidP="00DD43E6">
      <w:pPr>
        <w:pStyle w:val="Unnumberedquote"/>
        <w:rPr>
          <w:shd w:val="clear" w:color="auto" w:fill="FFFFFF"/>
        </w:rPr>
      </w:pPr>
      <w:r>
        <w:rPr>
          <w:rStyle w:val="Emphasis"/>
          <w:i/>
          <w:color w:val="333333"/>
          <w:bdr w:val="none" w:sz="0" w:space="0" w:color="auto" w:frame="1"/>
          <w:shd w:val="clear" w:color="auto" w:fill="FFFFFF"/>
        </w:rPr>
        <w:t>‘N</w:t>
      </w:r>
      <w:r w:rsidRPr="0026696C">
        <w:rPr>
          <w:rStyle w:val="Emphasis"/>
          <w:i/>
          <w:color w:val="333333"/>
          <w:bdr w:val="none" w:sz="0" w:space="0" w:color="auto" w:frame="1"/>
          <w:shd w:val="clear" w:color="auto" w:fill="FFFFFF"/>
        </w:rPr>
        <w:t>o Reasonable Cause of Action</w:t>
      </w:r>
      <w:r>
        <w:rPr>
          <w:rStyle w:val="Emphasis"/>
          <w:i/>
          <w:color w:val="333333"/>
          <w:bdr w:val="none" w:sz="0" w:space="0" w:color="auto" w:frame="1"/>
          <w:shd w:val="clear" w:color="auto" w:fill="FFFFFF"/>
        </w:rPr>
        <w:t xml:space="preserve">’ </w:t>
      </w:r>
      <w:r w:rsidRPr="0026696C">
        <w:rPr>
          <w:rStyle w:val="Emphasis"/>
          <w:i/>
          <w:color w:val="333333"/>
          <w:bdr w:val="none" w:sz="0" w:space="0" w:color="auto" w:frame="1"/>
          <w:shd w:val="clear" w:color="auto" w:fill="FFFFFF"/>
        </w:rPr>
        <w:t xml:space="preserve">― ″There is some difficulty in affixing a precise meaning to this term. In point of </w:t>
      </w:r>
      <w:proofErr w:type="gramStart"/>
      <w:r w:rsidRPr="0026696C">
        <w:rPr>
          <w:rStyle w:val="Emphasis"/>
          <w:i/>
          <w:color w:val="333333"/>
          <w:bdr w:val="none" w:sz="0" w:space="0" w:color="auto" w:frame="1"/>
          <w:shd w:val="clear" w:color="auto" w:fill="FFFFFF"/>
        </w:rPr>
        <w:t>law</w:t>
      </w:r>
      <w:proofErr w:type="gramEnd"/>
      <w:r w:rsidRPr="0026696C">
        <w:rPr>
          <w:rStyle w:val="Emphasis"/>
          <w:i/>
          <w:color w:val="333333"/>
          <w:bdr w:val="none" w:sz="0" w:space="0" w:color="auto" w:frame="1"/>
          <w:shd w:val="clear" w:color="auto" w:fill="FFFFFF"/>
        </w:rPr>
        <w:t xml:space="preserve"> … every cause of action is a reasonable one</w:t>
      </w:r>
      <w:r w:rsidRPr="0026696C">
        <w:rPr>
          <w:shd w:val="clear" w:color="auto" w:fill="FFFFFF"/>
        </w:rPr>
        <w:t> </w:t>
      </w:r>
      <w:r w:rsidRPr="0026696C">
        <w:rPr>
          <w:rStyle w:val="Emphasis"/>
          <w:i/>
          <w:color w:val="333333"/>
          <w:bdr w:val="none" w:sz="0" w:space="0" w:color="auto" w:frame="1"/>
          <w:shd w:val="clear" w:color="auto" w:fill="FFFFFF"/>
        </w:rPr>
        <w:t>(per Chitty, J., Rep. of Peru v. Peruvian Guano C</w:t>
      </w:r>
      <w:r>
        <w:rPr>
          <w:rStyle w:val="Emphasis"/>
          <w:i/>
          <w:color w:val="333333"/>
          <w:bdr w:val="none" w:sz="0" w:space="0" w:color="auto" w:frame="1"/>
          <w:shd w:val="clear" w:color="auto" w:fill="FFFFFF"/>
        </w:rPr>
        <w:t>. D. p. 495).</w:t>
      </w:r>
      <w:r w:rsidRPr="0026696C">
        <w:rPr>
          <w:shd w:val="clear" w:color="auto" w:fill="FFFFFF"/>
        </w:rPr>
        <w:t> </w:t>
      </w:r>
      <w:r>
        <w:rPr>
          <w:shd w:val="clear" w:color="auto" w:fill="FFFFFF"/>
        </w:rPr>
        <w:t xml:space="preserve">But the practice is clear. </w:t>
      </w:r>
      <w:proofErr w:type="gramStart"/>
      <w:r>
        <w:rPr>
          <w:shd w:val="clear" w:color="auto" w:fill="FFFFFF"/>
        </w:rPr>
        <w:t>So long as the statement of claim or the particulars (Davey v Bentinck, 1983, 1Q.B. 185) disclose some cause of</w:t>
      </w:r>
      <w:r w:rsidR="00DD43E6">
        <w:rPr>
          <w:shd w:val="clear" w:color="auto" w:fill="FFFFFF"/>
        </w:rPr>
        <w:t xml:space="preserve"> action or raise some question </w:t>
      </w:r>
      <w:r w:rsidRPr="0026696C">
        <w:rPr>
          <w:rStyle w:val="Emphasis"/>
          <w:i/>
          <w:color w:val="333333"/>
          <w:bdr w:val="none" w:sz="0" w:space="0" w:color="auto" w:frame="1"/>
          <w:shd w:val="clear" w:color="auto" w:fill="FFFFFF"/>
        </w:rPr>
        <w:t>fit to be decided by a Judge or jury, the mere fact that the case is weak, and not likely to succeed, is no ground for striking it out (Moore v. Lawson, 31 T</w:t>
      </w:r>
      <w:r w:rsidR="00DD43E6">
        <w:rPr>
          <w:rStyle w:val="Emphasis"/>
          <w:i/>
          <w:color w:val="333333"/>
          <w:bdr w:val="none" w:sz="0" w:space="0" w:color="auto" w:frame="1"/>
          <w:shd w:val="clear" w:color="auto" w:fill="FFFFFF"/>
        </w:rPr>
        <w:t xml:space="preserve">imes Rep. </w:t>
      </w:r>
      <w:r w:rsidRPr="0026696C">
        <w:rPr>
          <w:rStyle w:val="Emphasis"/>
          <w:i/>
          <w:color w:val="333333"/>
          <w:bdr w:val="none" w:sz="0" w:space="0" w:color="auto" w:frame="1"/>
          <w:shd w:val="clear" w:color="auto" w:fill="FFFFFF"/>
        </w:rPr>
        <w:t xml:space="preserve">418, C.A.; Wenlock v. </w:t>
      </w:r>
      <w:proofErr w:type="spellStart"/>
      <w:r w:rsidRPr="0026696C">
        <w:rPr>
          <w:rStyle w:val="Emphasis"/>
          <w:i/>
          <w:color w:val="333333"/>
          <w:bdr w:val="none" w:sz="0" w:space="0" w:color="auto" w:frame="1"/>
          <w:shd w:val="clear" w:color="auto" w:fill="FFFFFF"/>
        </w:rPr>
        <w:t>Moloney</w:t>
      </w:r>
      <w:proofErr w:type="spellEnd"/>
      <w:r w:rsidRPr="0026696C">
        <w:rPr>
          <w:rStyle w:val="Emphasis"/>
          <w:i/>
          <w:color w:val="333333"/>
          <w:bdr w:val="none" w:sz="0" w:space="0" w:color="auto" w:frame="1"/>
          <w:shd w:val="clear" w:color="auto" w:fill="FFFFFF"/>
        </w:rPr>
        <w:t xml:space="preserve"> [1965] 1 W.L.R. 1238; [1965] 2 ALL E.R. 871, C.A</w:t>
      </w:r>
      <w:r w:rsidR="00EA343E">
        <w:rPr>
          <w:rStyle w:val="Emphasis"/>
          <w:i/>
          <w:color w:val="333333"/>
          <w:bdr w:val="none" w:sz="0" w:space="0" w:color="auto" w:frame="1"/>
          <w:shd w:val="clear" w:color="auto" w:fill="FFFFFF"/>
        </w:rPr>
        <w:t>. …</w:t>
      </w:r>
      <w:r w:rsidRPr="0026696C">
        <w:rPr>
          <w:rStyle w:val="Emphasis"/>
          <w:i/>
          <w:color w:val="333333"/>
          <w:bdr w:val="none" w:sz="0" w:space="0" w:color="auto" w:frame="1"/>
          <w:shd w:val="clear" w:color="auto" w:fill="FFFFFF"/>
        </w:rPr>
        <w:t>).</w:t>
      </w:r>
      <w:proofErr w:type="gramEnd"/>
    </w:p>
    <w:p w:rsidR="00841CF2" w:rsidRPr="0026696C" w:rsidRDefault="00841CF2" w:rsidP="0026696C">
      <w:pPr>
        <w:pStyle w:val="Unnumberedquote"/>
      </w:pPr>
    </w:p>
    <w:p w:rsidR="00EA343E" w:rsidRDefault="00EA343E" w:rsidP="00F825C6">
      <w:pPr>
        <w:pStyle w:val="JudgmentText"/>
      </w:pPr>
      <w:r>
        <w:t xml:space="preserve">At page 215, the Court also quoted from </w:t>
      </w:r>
      <w:proofErr w:type="spellStart"/>
      <w:r w:rsidRPr="00EA343E">
        <w:rPr>
          <w:i/>
        </w:rPr>
        <w:t>Luxmore</w:t>
      </w:r>
      <w:proofErr w:type="spellEnd"/>
      <w:r w:rsidRPr="00EA343E">
        <w:rPr>
          <w:i/>
        </w:rPr>
        <w:t xml:space="preserve"> L.J. in </w:t>
      </w:r>
      <w:proofErr w:type="spellStart"/>
      <w:r w:rsidRPr="00EA343E">
        <w:rPr>
          <w:i/>
        </w:rPr>
        <w:t>Arbon</w:t>
      </w:r>
      <w:proofErr w:type="spellEnd"/>
      <w:r w:rsidRPr="00EA343E">
        <w:rPr>
          <w:i/>
        </w:rPr>
        <w:t xml:space="preserve"> v </w:t>
      </w:r>
      <w:proofErr w:type="spellStart"/>
      <w:r w:rsidRPr="00EA343E">
        <w:rPr>
          <w:i/>
        </w:rPr>
        <w:t>v</w:t>
      </w:r>
      <w:proofErr w:type="spellEnd"/>
      <w:r w:rsidRPr="00EA343E">
        <w:rPr>
          <w:i/>
        </w:rPr>
        <w:t xml:space="preserve">. Anderson &amp; </w:t>
      </w:r>
      <w:proofErr w:type="spellStart"/>
      <w:r w:rsidRPr="00EA343E">
        <w:rPr>
          <w:i/>
        </w:rPr>
        <w:t>Ors</w:t>
      </w:r>
      <w:proofErr w:type="spellEnd"/>
      <w:r>
        <w:t>., (1942) 1 A. E. R. 7, at p 264, as follows:</w:t>
      </w:r>
    </w:p>
    <w:p w:rsidR="00EA343E" w:rsidRDefault="00EA343E" w:rsidP="00EA343E">
      <w:pPr>
        <w:pStyle w:val="Unnumberedquote"/>
      </w:pPr>
      <w:r>
        <w:t>It is well settled that it is only in plain and obvious cases that recourse should be had to the summary process of dismissing an action under R.S.C. Ord. 25, r. 4 and that an action will not be dismissed under it unless the case is beyond doubt.</w:t>
      </w:r>
    </w:p>
    <w:p w:rsidR="00EA343E" w:rsidRDefault="00EA343E" w:rsidP="00EA343E">
      <w:pPr>
        <w:pStyle w:val="Unnumberedquote"/>
      </w:pPr>
    </w:p>
    <w:p w:rsidR="00C90B55" w:rsidRDefault="000369AD" w:rsidP="00602047">
      <w:pPr>
        <w:pStyle w:val="JudgmentText"/>
      </w:pPr>
      <w:r w:rsidRPr="000369AD">
        <w:t>A</w:t>
      </w:r>
      <w:r w:rsidR="00705665" w:rsidRPr="000369AD">
        <w:t xml:space="preserve"> reading</w:t>
      </w:r>
      <w:r w:rsidRPr="000369AD">
        <w:t xml:space="preserve"> of</w:t>
      </w:r>
      <w:r w:rsidR="00705665" w:rsidRPr="000369AD">
        <w:t xml:space="preserve"> the plaint </w:t>
      </w:r>
      <w:r w:rsidRPr="000369AD">
        <w:t xml:space="preserve">clearly reveals that Mr. Al </w:t>
      </w:r>
      <w:proofErr w:type="spellStart"/>
      <w:r w:rsidRPr="000369AD">
        <w:t>Darwish</w:t>
      </w:r>
      <w:proofErr w:type="spellEnd"/>
      <w:r w:rsidR="00705665" w:rsidRPr="000369AD">
        <w:t xml:space="preserve"> is a home owner</w:t>
      </w:r>
      <w:r w:rsidR="00527A4A">
        <w:t xml:space="preserve"> on Eden Island</w:t>
      </w:r>
      <w:r w:rsidR="00FE16BC">
        <w:t xml:space="preserve"> </w:t>
      </w:r>
      <w:r w:rsidRPr="000369AD">
        <w:t xml:space="preserve">and that he </w:t>
      </w:r>
      <w:r w:rsidR="00611747">
        <w:t>enjoys</w:t>
      </w:r>
      <w:r w:rsidRPr="000369AD">
        <w:t xml:space="preserve"> certain rights by virtue thereof.</w:t>
      </w:r>
      <w:r w:rsidR="00705665" w:rsidRPr="000369AD">
        <w:t xml:space="preserve"> </w:t>
      </w:r>
      <w:r>
        <w:t>It is also clear that</w:t>
      </w:r>
      <w:r w:rsidR="00155028">
        <w:t xml:space="preserve"> as a homeowner </w:t>
      </w:r>
      <w:r>
        <w:t>he is</w:t>
      </w:r>
      <w:r w:rsidR="00705665" w:rsidRPr="000369AD">
        <w:t xml:space="preserve"> </w:t>
      </w:r>
      <w:r>
        <w:t>aggrieved by</w:t>
      </w:r>
      <w:r w:rsidR="00574AAE">
        <w:t xml:space="preserve"> the </w:t>
      </w:r>
      <w:r w:rsidR="006A09E9">
        <w:t>EIVMA</w:t>
      </w:r>
      <w:r w:rsidR="00574AAE">
        <w:t xml:space="preserve">’s decision not to allow him </w:t>
      </w:r>
      <w:r w:rsidR="00705665" w:rsidRPr="000369AD">
        <w:t xml:space="preserve">to </w:t>
      </w:r>
      <w:r>
        <w:t>build a shelter for h</w:t>
      </w:r>
      <w:r w:rsidR="00705665" w:rsidRPr="000369AD">
        <w:t xml:space="preserve">is </w:t>
      </w:r>
      <w:proofErr w:type="spellStart"/>
      <w:r w:rsidRPr="000369AD">
        <w:t>jetski</w:t>
      </w:r>
      <w:proofErr w:type="spellEnd"/>
      <w:r w:rsidR="00705665" w:rsidRPr="000369AD">
        <w:t xml:space="preserve"> </w:t>
      </w:r>
      <w:r w:rsidR="00574AAE">
        <w:t xml:space="preserve">and to demolish the one he has constructed in breach of those rights. </w:t>
      </w:r>
      <w:r w:rsidR="00C90B55">
        <w:t xml:space="preserve">On that basis he has filed the present claim for an equitable remedy restraining the </w:t>
      </w:r>
      <w:r w:rsidR="006A09E9">
        <w:t>EIVMA</w:t>
      </w:r>
      <w:r w:rsidR="00C90B55">
        <w:t xml:space="preserve"> from preventing him from demolishing his </w:t>
      </w:r>
      <w:proofErr w:type="spellStart"/>
      <w:r w:rsidR="00C90B55">
        <w:t>jetski</w:t>
      </w:r>
      <w:proofErr w:type="spellEnd"/>
      <w:r w:rsidR="00C90B55">
        <w:t xml:space="preserve"> shelter and ordering the </w:t>
      </w:r>
      <w:r w:rsidR="006A09E9">
        <w:t>EIVMA</w:t>
      </w:r>
      <w:r w:rsidR="00C90B55">
        <w:t xml:space="preserve"> to provide him with requirements for the safety and improvement of the shelter. </w:t>
      </w:r>
      <w:r w:rsidR="00C90B55" w:rsidRPr="00527A4A">
        <w:t>However the plaint fails to articulate</w:t>
      </w:r>
      <w:r w:rsidR="00602047">
        <w:t xml:space="preserve"> all </w:t>
      </w:r>
      <w:r w:rsidR="00C90B55" w:rsidRPr="00527A4A">
        <w:t xml:space="preserve">this clearly. The plaint narrates a series of events without </w:t>
      </w:r>
      <w:r w:rsidR="00222B00">
        <w:t xml:space="preserve">clearly </w:t>
      </w:r>
      <w:r w:rsidR="00C90B55" w:rsidRPr="00527A4A">
        <w:t xml:space="preserve">stating the rights </w:t>
      </w:r>
      <w:r w:rsidR="00C90B55">
        <w:t xml:space="preserve">that </w:t>
      </w:r>
      <w:r w:rsidR="00C90B55" w:rsidRPr="00527A4A">
        <w:t xml:space="preserve">Mr. Al </w:t>
      </w:r>
      <w:proofErr w:type="spellStart"/>
      <w:r w:rsidR="00C90B55" w:rsidRPr="00527A4A">
        <w:t>Darwish</w:t>
      </w:r>
      <w:proofErr w:type="spellEnd"/>
      <w:r w:rsidR="00C90B55" w:rsidRPr="00527A4A">
        <w:t xml:space="preserve"> enjoys</w:t>
      </w:r>
      <w:r w:rsidR="00C90B55">
        <w:t xml:space="preserve"> by virtue of being a home owner, the source of those rights </w:t>
      </w:r>
      <w:r w:rsidR="00C90B55" w:rsidRPr="00527A4A">
        <w:t xml:space="preserve">and </w:t>
      </w:r>
      <w:r w:rsidR="00C90B55">
        <w:t xml:space="preserve">exactly </w:t>
      </w:r>
      <w:r w:rsidR="00C90B55" w:rsidRPr="00527A4A">
        <w:t xml:space="preserve">how </w:t>
      </w:r>
      <w:r w:rsidR="006A09E9">
        <w:t>EIVMA</w:t>
      </w:r>
      <w:r w:rsidR="00C90B55" w:rsidRPr="00527A4A">
        <w:t xml:space="preserve"> has infringed th</w:t>
      </w:r>
      <w:r w:rsidR="00C90B55">
        <w:t>o</w:t>
      </w:r>
      <w:r w:rsidR="00C90B55" w:rsidRPr="00527A4A">
        <w:t xml:space="preserve">se rights. In my view, this </w:t>
      </w:r>
      <w:r w:rsidR="00C90B55">
        <w:t xml:space="preserve">shows poor </w:t>
      </w:r>
      <w:r w:rsidR="00C90B55" w:rsidRPr="00527A4A">
        <w:t xml:space="preserve">drafting on </w:t>
      </w:r>
      <w:r w:rsidR="00C90B55">
        <w:t xml:space="preserve">the </w:t>
      </w:r>
      <w:r w:rsidR="00C90B55" w:rsidRPr="00527A4A">
        <w:t xml:space="preserve">part of </w:t>
      </w:r>
      <w:r w:rsidR="00C90B55">
        <w:t xml:space="preserve">Mr. Al </w:t>
      </w:r>
      <w:proofErr w:type="spellStart"/>
      <w:r w:rsidR="00C90B55">
        <w:t>Darwish’s</w:t>
      </w:r>
      <w:proofErr w:type="spellEnd"/>
      <w:r w:rsidR="00C90B55">
        <w:t xml:space="preserve"> </w:t>
      </w:r>
      <w:r w:rsidR="00C90B55" w:rsidRPr="00527A4A">
        <w:t xml:space="preserve">counsel </w:t>
      </w:r>
      <w:r w:rsidR="00C90B55">
        <w:t>rather</w:t>
      </w:r>
      <w:r w:rsidR="00C90B55" w:rsidRPr="00527A4A">
        <w:t xml:space="preserve"> </w:t>
      </w:r>
      <w:r w:rsidR="00C90B55">
        <w:t xml:space="preserve">than the absence of a </w:t>
      </w:r>
      <w:r w:rsidR="00C90B55" w:rsidRPr="00527A4A">
        <w:t>cause of action.</w:t>
      </w:r>
    </w:p>
    <w:p w:rsidR="00C90B55" w:rsidRDefault="00C90B55" w:rsidP="00C90B55">
      <w:pPr>
        <w:pStyle w:val="JudgmentText"/>
      </w:pPr>
      <w:r>
        <w:t>Furthermore the</w:t>
      </w:r>
      <w:r w:rsidR="00611747">
        <w:t xml:space="preserve"> </w:t>
      </w:r>
      <w:r w:rsidR="006A09E9">
        <w:t>EIVMA</w:t>
      </w:r>
      <w:r w:rsidR="00611747">
        <w:t xml:space="preserve"> have given reasons </w:t>
      </w:r>
      <w:r w:rsidR="00602047">
        <w:t xml:space="preserve">of </w:t>
      </w:r>
      <w:r w:rsidR="00602047" w:rsidRPr="00F825C6">
        <w:t xml:space="preserve">‘aesthetics’ and ‘safety’ </w:t>
      </w:r>
      <w:r w:rsidR="00602047">
        <w:t xml:space="preserve">concerns </w:t>
      </w:r>
      <w:r w:rsidR="00611747">
        <w:t xml:space="preserve">for ordering Mr. Al </w:t>
      </w:r>
      <w:proofErr w:type="spellStart"/>
      <w:r w:rsidR="00611747">
        <w:t>Dar</w:t>
      </w:r>
      <w:r w:rsidR="00602047">
        <w:t>w</w:t>
      </w:r>
      <w:r w:rsidR="00611747">
        <w:t>ish</w:t>
      </w:r>
      <w:proofErr w:type="spellEnd"/>
      <w:r w:rsidR="00611747">
        <w:t xml:space="preserve"> to demolish the shelter</w:t>
      </w:r>
      <w:r w:rsidR="00602047">
        <w:t>.</w:t>
      </w:r>
      <w:r w:rsidR="00611747">
        <w:t xml:space="preserve"> Mr. Al </w:t>
      </w:r>
      <w:proofErr w:type="spellStart"/>
      <w:r w:rsidR="00611747">
        <w:t>Darwish</w:t>
      </w:r>
      <w:proofErr w:type="spellEnd"/>
      <w:r w:rsidR="00611747">
        <w:t xml:space="preserve"> on his part has averred that these are matters that can be remedied and asked guidance regarding the same</w:t>
      </w:r>
      <w:r>
        <w:t xml:space="preserve"> which was not provided</w:t>
      </w:r>
      <w:r w:rsidR="00611747">
        <w:t xml:space="preserve">. The </w:t>
      </w:r>
      <w:r w:rsidR="006A09E9">
        <w:t>EIVMA</w:t>
      </w:r>
      <w:r w:rsidR="00611747">
        <w:t xml:space="preserve"> further claims that </w:t>
      </w:r>
      <w:r w:rsidR="00611747" w:rsidRPr="00734CDB">
        <w:t xml:space="preserve">Mr. Al </w:t>
      </w:r>
      <w:proofErr w:type="spellStart"/>
      <w:r w:rsidR="00611747" w:rsidRPr="00734CDB">
        <w:t>Darwish</w:t>
      </w:r>
      <w:proofErr w:type="spellEnd"/>
      <w:r w:rsidR="00611747">
        <w:t xml:space="preserve"> is in breach of its constitution and rules. </w:t>
      </w:r>
      <w:r w:rsidR="00611747" w:rsidRPr="00734CDB">
        <w:t xml:space="preserve">Mr. Al </w:t>
      </w:r>
      <w:proofErr w:type="spellStart"/>
      <w:r w:rsidR="00611747" w:rsidRPr="00734CDB">
        <w:t>Darwish</w:t>
      </w:r>
      <w:proofErr w:type="spellEnd"/>
      <w:r w:rsidR="00611747">
        <w:t xml:space="preserve"> on his part claims</w:t>
      </w:r>
      <w:r w:rsidR="00611747" w:rsidRPr="00734CDB">
        <w:t xml:space="preserve"> that he was never provided </w:t>
      </w:r>
      <w:r w:rsidR="00611747">
        <w:t xml:space="preserve">with </w:t>
      </w:r>
      <w:r w:rsidR="00611747" w:rsidRPr="00734CDB">
        <w:t>the constitution until 6 July 2021</w:t>
      </w:r>
      <w:r w:rsidR="00602047">
        <w:t xml:space="preserve"> although it seems that </w:t>
      </w:r>
      <w:r w:rsidR="00611747" w:rsidRPr="00734CDB">
        <w:t xml:space="preserve">the constitution </w:t>
      </w:r>
      <w:r w:rsidR="00602047">
        <w:t xml:space="preserve">forms part of </w:t>
      </w:r>
      <w:r w:rsidR="00611747" w:rsidRPr="00734CDB">
        <w:t>the transfer agreement</w:t>
      </w:r>
      <w:r>
        <w:t>.</w:t>
      </w:r>
      <w:r w:rsidRPr="00C90B55">
        <w:t xml:space="preserve"> </w:t>
      </w:r>
    </w:p>
    <w:p w:rsidR="00A11960" w:rsidRDefault="00602047" w:rsidP="00CF1E0D">
      <w:pPr>
        <w:pStyle w:val="JudgmentText"/>
        <w:rPr>
          <w:i/>
        </w:rPr>
      </w:pPr>
      <w:proofErr w:type="gramStart"/>
      <w:r>
        <w:t xml:space="preserve">In the circumstances, </w:t>
      </w:r>
      <w:r w:rsidR="00CF1E0D">
        <w:t xml:space="preserve"> I can do no better than reiterate what the Court stated in </w:t>
      </w:r>
      <w:proofErr w:type="spellStart"/>
      <w:r w:rsidR="00CF1E0D" w:rsidRPr="00A11960">
        <w:rPr>
          <w:i/>
        </w:rPr>
        <w:t>Bessin</w:t>
      </w:r>
      <w:proofErr w:type="spellEnd"/>
      <w:r w:rsidR="00CF1E0D">
        <w:t xml:space="preserve"> which I find applicable to the present case, namely that </w:t>
      </w:r>
      <w:r w:rsidR="00CF1E0D" w:rsidRPr="00CF1E0D">
        <w:rPr>
          <w:i/>
        </w:rPr>
        <w:t>“[t]he pleadings would perhaps have gained by being expressed with greater clarity … In either case on the face of the [plaint] a cause of action was disclosed, which even if it were not clearly expressed, demanded investigation and discussion …</w:t>
      </w:r>
      <w:r w:rsidR="00A11960">
        <w:rPr>
          <w:i/>
        </w:rPr>
        <w:t>”.</w:t>
      </w:r>
      <w:proofErr w:type="gramEnd"/>
      <w:r w:rsidR="00A11960">
        <w:rPr>
          <w:i/>
        </w:rPr>
        <w:t xml:space="preserve"> </w:t>
      </w:r>
    </w:p>
    <w:p w:rsidR="00AB087C" w:rsidRPr="00CF1E0D" w:rsidRDefault="00602047" w:rsidP="00CF1E0D">
      <w:pPr>
        <w:pStyle w:val="JudgmentText"/>
        <w:rPr>
          <w:i/>
        </w:rPr>
      </w:pPr>
      <w:r>
        <w:t>In any event, a</w:t>
      </w:r>
      <w:r w:rsidR="00AB087C">
        <w:t xml:space="preserve">s in the </w:t>
      </w:r>
      <w:proofErr w:type="spellStart"/>
      <w:r w:rsidR="00AB087C" w:rsidRPr="00CF1E0D">
        <w:rPr>
          <w:i/>
        </w:rPr>
        <w:t>Bessin</w:t>
      </w:r>
      <w:proofErr w:type="spellEnd"/>
      <w:r w:rsidR="00AB087C">
        <w:t xml:space="preserve"> case, it is my view that in the present matter the non-existence of a reasonable cause of action is not beyond doubt.</w:t>
      </w:r>
    </w:p>
    <w:p w:rsidR="00CB54C4" w:rsidRDefault="00CB54C4" w:rsidP="00CB54C4">
      <w:pPr>
        <w:pStyle w:val="Jjmntheading1"/>
      </w:pPr>
      <w:r>
        <w:t>Decision</w:t>
      </w:r>
    </w:p>
    <w:p w:rsidR="00705665" w:rsidRDefault="00DD5D0B" w:rsidP="00A07526">
      <w:pPr>
        <w:pStyle w:val="JudgmentText"/>
      </w:pPr>
      <w:r>
        <w:t>On the basis of the above, it my view that the plaint does disclose a cause of action</w:t>
      </w:r>
      <w:r w:rsidR="00A07526">
        <w:t xml:space="preserve">. </w:t>
      </w:r>
      <w:r>
        <w:t xml:space="preserve">Whilst admittedly the plaint is poorly </w:t>
      </w:r>
      <w:r w:rsidR="00705665" w:rsidRPr="00DD5D0B">
        <w:t>drafted</w:t>
      </w:r>
      <w:r>
        <w:t>, I find that</w:t>
      </w:r>
      <w:r w:rsidR="00705665" w:rsidRPr="00DD5D0B">
        <w:t xml:space="preserve"> </w:t>
      </w:r>
      <w:r>
        <w:t>this does not render it defective so as to warrant it</w:t>
      </w:r>
      <w:r w:rsidR="00705665" w:rsidRPr="00DD5D0B">
        <w:t xml:space="preserve"> </w:t>
      </w:r>
      <w:r w:rsidR="00CB54C4">
        <w:t>being</w:t>
      </w:r>
      <w:r w:rsidR="00705665" w:rsidRPr="00DD5D0B">
        <w:t xml:space="preserve"> struck out</w:t>
      </w:r>
      <w:r w:rsidRPr="00DD5D0B">
        <w:t xml:space="preserve"> or dismissed</w:t>
      </w:r>
      <w:r w:rsidR="00705665" w:rsidRPr="00DD5D0B">
        <w:t>.</w:t>
      </w:r>
      <w:r w:rsidR="00A07526">
        <w:t xml:space="preserve"> </w:t>
      </w:r>
      <w:r w:rsidR="00686979">
        <w:t>I therefore find no merit in t</w:t>
      </w:r>
      <w:r w:rsidR="00CB54C4">
        <w:t xml:space="preserve">he plea in </w:t>
      </w:r>
      <w:proofErr w:type="spellStart"/>
      <w:r w:rsidR="00CB54C4" w:rsidRPr="00A07526">
        <w:rPr>
          <w:i/>
        </w:rPr>
        <w:t>limine</w:t>
      </w:r>
      <w:proofErr w:type="spellEnd"/>
      <w:r w:rsidR="00CB54C4" w:rsidRPr="00A07526">
        <w:rPr>
          <w:i/>
        </w:rPr>
        <w:t xml:space="preserve"> </w:t>
      </w:r>
      <w:proofErr w:type="spellStart"/>
      <w:r w:rsidR="00CB54C4" w:rsidRPr="00A07526">
        <w:rPr>
          <w:i/>
        </w:rPr>
        <w:t>litis</w:t>
      </w:r>
      <w:proofErr w:type="spellEnd"/>
      <w:r w:rsidR="00CB54C4">
        <w:t xml:space="preserve"> that the plaint discloses no cause of action</w:t>
      </w:r>
      <w:r w:rsidR="00686979">
        <w:t>. The</w:t>
      </w:r>
      <w:r w:rsidR="00CB54C4">
        <w:t xml:space="preserve"> matter is to be fixed for hearing on the merits.</w:t>
      </w:r>
    </w:p>
    <w:p w:rsidR="00DC57CE" w:rsidRPr="00293995" w:rsidRDefault="00DC57CE" w:rsidP="00DC57CE">
      <w:pPr>
        <w:pStyle w:val="ListParagraph"/>
        <w:spacing w:after="24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3995">
        <w:rPr>
          <w:rFonts w:ascii="Times New Roman" w:hAnsi="Times New Roman" w:cs="Times New Roman"/>
          <w:sz w:val="24"/>
          <w:szCs w:val="24"/>
        </w:rPr>
        <w:t xml:space="preserve">Signed, dated and delivered at Ile du Port on </w:t>
      </w:r>
      <w:r w:rsidR="00014A9D">
        <w:rPr>
          <w:rFonts w:ascii="Times New Roman" w:hAnsi="Times New Roman" w:cs="Times New Roman"/>
          <w:sz w:val="24"/>
          <w:szCs w:val="24"/>
        </w:rPr>
        <w:t>15</w:t>
      </w:r>
      <w:r w:rsidR="00014A9D" w:rsidRPr="00014A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14A9D">
        <w:rPr>
          <w:rFonts w:ascii="Times New Roman" w:hAnsi="Times New Roman" w:cs="Times New Roman"/>
          <w:sz w:val="24"/>
          <w:szCs w:val="24"/>
        </w:rPr>
        <w:t xml:space="preserve"> February 2022</w:t>
      </w:r>
      <w:r w:rsidRPr="00293995">
        <w:rPr>
          <w:rFonts w:ascii="Times New Roman" w:hAnsi="Times New Roman" w:cs="Times New Roman"/>
          <w:sz w:val="24"/>
          <w:szCs w:val="24"/>
        </w:rPr>
        <w:t>.</w:t>
      </w:r>
    </w:p>
    <w:p w:rsidR="00DC57CE" w:rsidRDefault="00DC57CE" w:rsidP="00DC57CE">
      <w:pPr>
        <w:pStyle w:val="ListParagraph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C3EA2" w:rsidRDefault="001C3EA2" w:rsidP="00DC57CE">
      <w:pPr>
        <w:pStyle w:val="ListParagraph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C3EA2" w:rsidRDefault="001C3EA2" w:rsidP="00DC57CE">
      <w:pPr>
        <w:pStyle w:val="ListParagraph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C57CE" w:rsidRDefault="00DC57CE" w:rsidP="00AD351A">
      <w:pPr>
        <w:pStyle w:val="ListParagraph"/>
        <w:ind w:left="0"/>
        <w:contextualSpacing w:val="0"/>
        <w:jc w:val="both"/>
      </w:pPr>
      <w:r w:rsidRPr="00293995">
        <w:rPr>
          <w:rFonts w:ascii="Times New Roman" w:hAnsi="Times New Roman" w:cs="Times New Roman"/>
          <w:sz w:val="24"/>
          <w:szCs w:val="24"/>
        </w:rPr>
        <w:t>E. Carolus</w:t>
      </w:r>
      <w:r w:rsidR="00293995">
        <w:rPr>
          <w:rFonts w:ascii="Times New Roman" w:hAnsi="Times New Roman" w:cs="Times New Roman"/>
          <w:sz w:val="24"/>
          <w:szCs w:val="24"/>
        </w:rPr>
        <w:t xml:space="preserve"> </w:t>
      </w:r>
      <w:r w:rsidRPr="00293995">
        <w:rPr>
          <w:rFonts w:ascii="Times New Roman" w:hAnsi="Times New Roman" w:cs="Times New Roman"/>
          <w:sz w:val="24"/>
          <w:szCs w:val="24"/>
        </w:rPr>
        <w:t>J</w:t>
      </w:r>
    </w:p>
    <w:sectPr w:rsidR="00DC57CE" w:rsidSect="009B495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D4" w:rsidRDefault="00F516D4" w:rsidP="006A68E2">
      <w:pPr>
        <w:spacing w:after="0" w:line="240" w:lineRule="auto"/>
      </w:pPr>
      <w:r>
        <w:separator/>
      </w:r>
    </w:p>
  </w:endnote>
  <w:endnote w:type="continuationSeparator" w:id="0">
    <w:p w:rsidR="00F516D4" w:rsidRDefault="00F516D4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007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69AD" w:rsidRDefault="000369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D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69AD" w:rsidRDefault="00036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D4" w:rsidRDefault="00F516D4" w:rsidP="006A68E2">
      <w:pPr>
        <w:spacing w:after="0" w:line="240" w:lineRule="auto"/>
      </w:pPr>
      <w:r>
        <w:separator/>
      </w:r>
    </w:p>
  </w:footnote>
  <w:footnote w:type="continuationSeparator" w:id="0">
    <w:p w:rsidR="00F516D4" w:rsidRDefault="00F516D4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553C"/>
    <w:multiLevelType w:val="hybridMultilevel"/>
    <w:tmpl w:val="148478A0"/>
    <w:lvl w:ilvl="0" w:tplc="4180420C">
      <w:start w:val="5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D2014"/>
    <w:multiLevelType w:val="hybridMultilevel"/>
    <w:tmpl w:val="509E3912"/>
    <w:lvl w:ilvl="0" w:tplc="4204F38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5C56C6"/>
    <w:multiLevelType w:val="multilevel"/>
    <w:tmpl w:val="685E53E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4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46501E0"/>
    <w:multiLevelType w:val="multilevel"/>
    <w:tmpl w:val="2D0440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4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52C3035"/>
    <w:multiLevelType w:val="hybridMultilevel"/>
    <w:tmpl w:val="8B7A7354"/>
    <w:lvl w:ilvl="0" w:tplc="9EE4280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7542D2"/>
    <w:multiLevelType w:val="multilevel"/>
    <w:tmpl w:val="1CC89892"/>
    <w:numStyleLink w:val="Judgments"/>
  </w:abstractNum>
  <w:abstractNum w:abstractNumId="9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10" w15:restartNumberingAfterBreak="0">
    <w:nsid w:val="33CD6A16"/>
    <w:multiLevelType w:val="hybridMultilevel"/>
    <w:tmpl w:val="26B09B30"/>
    <w:lvl w:ilvl="0" w:tplc="10DE91F8">
      <w:start w:val="500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B59AA"/>
    <w:multiLevelType w:val="hybridMultilevel"/>
    <w:tmpl w:val="6CDEE984"/>
    <w:lvl w:ilvl="0" w:tplc="05C8288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0717F"/>
    <w:multiLevelType w:val="hybridMultilevel"/>
    <w:tmpl w:val="14EAB106"/>
    <w:lvl w:ilvl="0" w:tplc="C25A888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8A1AA4"/>
    <w:multiLevelType w:val="hybridMultilevel"/>
    <w:tmpl w:val="C3705652"/>
    <w:lvl w:ilvl="0" w:tplc="D4F2EC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AD12D2"/>
    <w:multiLevelType w:val="hybridMultilevel"/>
    <w:tmpl w:val="BA6C7130"/>
    <w:lvl w:ilvl="0" w:tplc="B9209BE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82A421A"/>
    <w:multiLevelType w:val="hybridMultilevel"/>
    <w:tmpl w:val="5C302C82"/>
    <w:lvl w:ilvl="0" w:tplc="F1DAEFAE">
      <w:start w:val="1"/>
      <w:numFmt w:val="decimal"/>
      <w:pStyle w:val="NumberedQuotationindent1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AD6940"/>
    <w:multiLevelType w:val="hybridMultilevel"/>
    <w:tmpl w:val="C35C16A0"/>
    <w:lvl w:ilvl="0" w:tplc="C728FD1C">
      <w:start w:val="100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045D8D"/>
    <w:multiLevelType w:val="multilevel"/>
    <w:tmpl w:val="541C48F2"/>
    <w:lvl w:ilvl="0">
      <w:start w:val="2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217053E"/>
    <w:multiLevelType w:val="multilevel"/>
    <w:tmpl w:val="9AE496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4E47C2C"/>
    <w:multiLevelType w:val="hybridMultilevel"/>
    <w:tmpl w:val="020E3C28"/>
    <w:lvl w:ilvl="0" w:tplc="2C60B9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5F3454"/>
    <w:multiLevelType w:val="multilevel"/>
    <w:tmpl w:val="71F0A15A"/>
    <w:lvl w:ilvl="0">
      <w:start w:val="2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3" w15:restartNumberingAfterBreak="0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CA5387"/>
    <w:multiLevelType w:val="hybridMultilevel"/>
    <w:tmpl w:val="37564B90"/>
    <w:lvl w:ilvl="0" w:tplc="10DE91F8">
      <w:start w:val="500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010BA"/>
    <w:multiLevelType w:val="multilevel"/>
    <w:tmpl w:val="DA9C2D4A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FDA30F1"/>
    <w:multiLevelType w:val="hybridMultilevel"/>
    <w:tmpl w:val="9A1CB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9"/>
  </w:num>
  <w:num w:numId="5">
    <w:abstractNumId w:val="8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i w:val="0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6">
    <w:abstractNumId w:val="23"/>
  </w:num>
  <w:num w:numId="7">
    <w:abstractNumId w:val="6"/>
  </w:num>
  <w:num w:numId="8">
    <w:abstractNumId w:val="17"/>
  </w:num>
  <w:num w:numId="9">
    <w:abstractNumId w:val="2"/>
  </w:num>
  <w:num w:numId="10">
    <w:abstractNumId w:val="17"/>
  </w:num>
  <w:num w:numId="11">
    <w:abstractNumId w:val="17"/>
  </w:num>
  <w:num w:numId="12">
    <w:abstractNumId w:val="15"/>
  </w:num>
  <w:num w:numId="13">
    <w:abstractNumId w:val="26"/>
  </w:num>
  <w:num w:numId="14">
    <w:abstractNumId w:val="25"/>
  </w:num>
  <w:num w:numId="15">
    <w:abstractNumId w:val="22"/>
  </w:num>
  <w:num w:numId="16">
    <w:abstractNumId w:val="20"/>
  </w:num>
  <w:num w:numId="17">
    <w:abstractNumId w:val="8"/>
    <w:lvlOverride w:ilvl="0">
      <w:startOverride w:val="1"/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startOverride w:val="5"/>
      <w:lvl w:ilvl="3">
        <w:start w:val="5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</w:num>
  <w:num w:numId="18">
    <w:abstractNumId w:val="3"/>
  </w:num>
  <w:num w:numId="19">
    <w:abstractNumId w:val="4"/>
  </w:num>
  <w:num w:numId="20">
    <w:abstractNumId w:val="19"/>
  </w:num>
  <w:num w:numId="21">
    <w:abstractNumId w:val="8"/>
    <w:lvlOverride w:ilvl="0">
      <w:startOverride w:val="1"/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startOverride w:val="22"/>
      <w:lvl w:ilvl="3">
        <w:start w:val="22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</w:num>
  <w:num w:numId="22">
    <w:abstractNumId w:val="21"/>
  </w:num>
  <w:num w:numId="23">
    <w:abstractNumId w:val="18"/>
  </w:num>
  <w:num w:numId="24">
    <w:abstractNumId w:val="10"/>
  </w:num>
  <w:num w:numId="25">
    <w:abstractNumId w:val="5"/>
  </w:num>
  <w:num w:numId="26">
    <w:abstractNumId w:val="11"/>
  </w:num>
  <w:num w:numId="27">
    <w:abstractNumId w:val="24"/>
  </w:num>
  <w:num w:numId="28">
    <w:abstractNumId w:val="0"/>
  </w:num>
  <w:num w:numId="29">
    <w:abstractNumId w:val="16"/>
  </w:num>
  <w:num w:numId="30">
    <w:abstractNumId w:val="1"/>
  </w:num>
  <w:num w:numId="31">
    <w:abstractNumId w:val="14"/>
  </w:num>
  <w:num w:numId="32">
    <w:abstractNumId w:val="8"/>
    <w:lvlOverride w:ilvl="0">
      <w:startOverride w:val="1"/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startOverride w:val="92"/>
      <w:lvl w:ilvl="3">
        <w:start w:val="92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C6"/>
    <w:rsid w:val="00014A9D"/>
    <w:rsid w:val="00025CDF"/>
    <w:rsid w:val="00025E48"/>
    <w:rsid w:val="0003329A"/>
    <w:rsid w:val="000369AD"/>
    <w:rsid w:val="00040193"/>
    <w:rsid w:val="0006076B"/>
    <w:rsid w:val="00071B84"/>
    <w:rsid w:val="0008560D"/>
    <w:rsid w:val="00086842"/>
    <w:rsid w:val="0009242F"/>
    <w:rsid w:val="00095255"/>
    <w:rsid w:val="00097D19"/>
    <w:rsid w:val="000A04AA"/>
    <w:rsid w:val="000A129A"/>
    <w:rsid w:val="000A67B7"/>
    <w:rsid w:val="000B76AC"/>
    <w:rsid w:val="000D189B"/>
    <w:rsid w:val="000D4043"/>
    <w:rsid w:val="000E2BFD"/>
    <w:rsid w:val="00106D16"/>
    <w:rsid w:val="001135C2"/>
    <w:rsid w:val="00116FCD"/>
    <w:rsid w:val="00134CE9"/>
    <w:rsid w:val="001428B9"/>
    <w:rsid w:val="00146A26"/>
    <w:rsid w:val="00155028"/>
    <w:rsid w:val="00165398"/>
    <w:rsid w:val="00165667"/>
    <w:rsid w:val="001723B1"/>
    <w:rsid w:val="00184CB5"/>
    <w:rsid w:val="001902EC"/>
    <w:rsid w:val="001C3EA2"/>
    <w:rsid w:val="001C78EC"/>
    <w:rsid w:val="001D33D2"/>
    <w:rsid w:val="001D55DA"/>
    <w:rsid w:val="001E66D2"/>
    <w:rsid w:val="002015F8"/>
    <w:rsid w:val="00212006"/>
    <w:rsid w:val="0021402A"/>
    <w:rsid w:val="00214DB4"/>
    <w:rsid w:val="0021728C"/>
    <w:rsid w:val="00222B00"/>
    <w:rsid w:val="002255D2"/>
    <w:rsid w:val="00226FAF"/>
    <w:rsid w:val="00235626"/>
    <w:rsid w:val="00237DAB"/>
    <w:rsid w:val="002422A2"/>
    <w:rsid w:val="00243AE1"/>
    <w:rsid w:val="00256B59"/>
    <w:rsid w:val="002662A6"/>
    <w:rsid w:val="0026696C"/>
    <w:rsid w:val="00280595"/>
    <w:rsid w:val="00283954"/>
    <w:rsid w:val="00293995"/>
    <w:rsid w:val="002B4677"/>
    <w:rsid w:val="002D4EB8"/>
    <w:rsid w:val="002E2541"/>
    <w:rsid w:val="002E2AE3"/>
    <w:rsid w:val="002E520D"/>
    <w:rsid w:val="002F0AE0"/>
    <w:rsid w:val="003054CE"/>
    <w:rsid w:val="003114FA"/>
    <w:rsid w:val="00311AE2"/>
    <w:rsid w:val="003137B8"/>
    <w:rsid w:val="003253D9"/>
    <w:rsid w:val="003315A9"/>
    <w:rsid w:val="00343D1E"/>
    <w:rsid w:val="00344425"/>
    <w:rsid w:val="00344D09"/>
    <w:rsid w:val="00345C4F"/>
    <w:rsid w:val="00346D7F"/>
    <w:rsid w:val="003615E7"/>
    <w:rsid w:val="00373850"/>
    <w:rsid w:val="00380619"/>
    <w:rsid w:val="00393E2E"/>
    <w:rsid w:val="00394067"/>
    <w:rsid w:val="003968E3"/>
    <w:rsid w:val="00396ED2"/>
    <w:rsid w:val="003A6C9E"/>
    <w:rsid w:val="003A7335"/>
    <w:rsid w:val="003D2C0A"/>
    <w:rsid w:val="003D7E0D"/>
    <w:rsid w:val="003E077B"/>
    <w:rsid w:val="003E09B1"/>
    <w:rsid w:val="003E2E94"/>
    <w:rsid w:val="003E6A33"/>
    <w:rsid w:val="003F1ED3"/>
    <w:rsid w:val="00401783"/>
    <w:rsid w:val="00403F4C"/>
    <w:rsid w:val="00405958"/>
    <w:rsid w:val="00412994"/>
    <w:rsid w:val="004253A1"/>
    <w:rsid w:val="00425FDC"/>
    <w:rsid w:val="00433D0E"/>
    <w:rsid w:val="004502EF"/>
    <w:rsid w:val="00463B4E"/>
    <w:rsid w:val="0046580E"/>
    <w:rsid w:val="00472219"/>
    <w:rsid w:val="0047264D"/>
    <w:rsid w:val="00497EB0"/>
    <w:rsid w:val="004A2599"/>
    <w:rsid w:val="004C16E0"/>
    <w:rsid w:val="004D7271"/>
    <w:rsid w:val="004E0CA6"/>
    <w:rsid w:val="004E7227"/>
    <w:rsid w:val="004F2C59"/>
    <w:rsid w:val="00505999"/>
    <w:rsid w:val="00513B59"/>
    <w:rsid w:val="0052262B"/>
    <w:rsid w:val="00527A4A"/>
    <w:rsid w:val="00540782"/>
    <w:rsid w:val="005427B7"/>
    <w:rsid w:val="0054673D"/>
    <w:rsid w:val="005520CD"/>
    <w:rsid w:val="0056656E"/>
    <w:rsid w:val="00566F7E"/>
    <w:rsid w:val="005710AA"/>
    <w:rsid w:val="00574AAE"/>
    <w:rsid w:val="0057551A"/>
    <w:rsid w:val="005777FC"/>
    <w:rsid w:val="005A20FB"/>
    <w:rsid w:val="005A29BD"/>
    <w:rsid w:val="005A42E4"/>
    <w:rsid w:val="005A5FCB"/>
    <w:rsid w:val="005A634F"/>
    <w:rsid w:val="005A7CA5"/>
    <w:rsid w:val="005B12AA"/>
    <w:rsid w:val="005C3005"/>
    <w:rsid w:val="005C7E57"/>
    <w:rsid w:val="005D3BC7"/>
    <w:rsid w:val="005F58DF"/>
    <w:rsid w:val="006006FA"/>
    <w:rsid w:val="00602047"/>
    <w:rsid w:val="00611747"/>
    <w:rsid w:val="0061354A"/>
    <w:rsid w:val="00635504"/>
    <w:rsid w:val="006376DE"/>
    <w:rsid w:val="00647324"/>
    <w:rsid w:val="00652326"/>
    <w:rsid w:val="00662CEA"/>
    <w:rsid w:val="00686979"/>
    <w:rsid w:val="00692C1F"/>
    <w:rsid w:val="006A09E9"/>
    <w:rsid w:val="006A39DE"/>
    <w:rsid w:val="006A68E2"/>
    <w:rsid w:val="006C6189"/>
    <w:rsid w:val="006D780F"/>
    <w:rsid w:val="006E11B8"/>
    <w:rsid w:val="0070371E"/>
    <w:rsid w:val="00705665"/>
    <w:rsid w:val="00722761"/>
    <w:rsid w:val="00727086"/>
    <w:rsid w:val="00727697"/>
    <w:rsid w:val="00734CDB"/>
    <w:rsid w:val="0073543F"/>
    <w:rsid w:val="00745BB5"/>
    <w:rsid w:val="007467FB"/>
    <w:rsid w:val="00746925"/>
    <w:rsid w:val="0074792D"/>
    <w:rsid w:val="00754999"/>
    <w:rsid w:val="007640D8"/>
    <w:rsid w:val="00786A14"/>
    <w:rsid w:val="00796B89"/>
    <w:rsid w:val="007971C6"/>
    <w:rsid w:val="007A0441"/>
    <w:rsid w:val="007A5C97"/>
    <w:rsid w:val="007A6EB9"/>
    <w:rsid w:val="007B7ACE"/>
    <w:rsid w:val="007C215E"/>
    <w:rsid w:val="007C6002"/>
    <w:rsid w:val="007D25FE"/>
    <w:rsid w:val="007D5750"/>
    <w:rsid w:val="007D5FD4"/>
    <w:rsid w:val="007D7944"/>
    <w:rsid w:val="008001C8"/>
    <w:rsid w:val="008318E0"/>
    <w:rsid w:val="00837A96"/>
    <w:rsid w:val="00837D2A"/>
    <w:rsid w:val="00841CF2"/>
    <w:rsid w:val="00843C9D"/>
    <w:rsid w:val="00847E98"/>
    <w:rsid w:val="008577B7"/>
    <w:rsid w:val="008621E3"/>
    <w:rsid w:val="00880C70"/>
    <w:rsid w:val="00885E26"/>
    <w:rsid w:val="008A672C"/>
    <w:rsid w:val="008B6751"/>
    <w:rsid w:val="008E771B"/>
    <w:rsid w:val="008F2778"/>
    <w:rsid w:val="00906991"/>
    <w:rsid w:val="009073B2"/>
    <w:rsid w:val="00911CB7"/>
    <w:rsid w:val="009171BB"/>
    <w:rsid w:val="00921A22"/>
    <w:rsid w:val="00941706"/>
    <w:rsid w:val="00951ACA"/>
    <w:rsid w:val="009539C2"/>
    <w:rsid w:val="00961E8D"/>
    <w:rsid w:val="009760F6"/>
    <w:rsid w:val="009938AD"/>
    <w:rsid w:val="0099768E"/>
    <w:rsid w:val="009A2633"/>
    <w:rsid w:val="009A769C"/>
    <w:rsid w:val="009B0521"/>
    <w:rsid w:val="009B495E"/>
    <w:rsid w:val="009B627B"/>
    <w:rsid w:val="009D3754"/>
    <w:rsid w:val="009E2834"/>
    <w:rsid w:val="009E618E"/>
    <w:rsid w:val="009E7A76"/>
    <w:rsid w:val="009E7E25"/>
    <w:rsid w:val="009F0DEB"/>
    <w:rsid w:val="009F125D"/>
    <w:rsid w:val="009F1D29"/>
    <w:rsid w:val="009F5DCE"/>
    <w:rsid w:val="009F7092"/>
    <w:rsid w:val="00A00373"/>
    <w:rsid w:val="00A02C57"/>
    <w:rsid w:val="00A07526"/>
    <w:rsid w:val="00A11960"/>
    <w:rsid w:val="00A2058F"/>
    <w:rsid w:val="00A208A0"/>
    <w:rsid w:val="00A212DD"/>
    <w:rsid w:val="00A27E67"/>
    <w:rsid w:val="00A33FDF"/>
    <w:rsid w:val="00A42083"/>
    <w:rsid w:val="00A50577"/>
    <w:rsid w:val="00A5237D"/>
    <w:rsid w:val="00A609AB"/>
    <w:rsid w:val="00A7185F"/>
    <w:rsid w:val="00A840A9"/>
    <w:rsid w:val="00A85E7E"/>
    <w:rsid w:val="00AA41AE"/>
    <w:rsid w:val="00AB087C"/>
    <w:rsid w:val="00AB5F07"/>
    <w:rsid w:val="00AC4D74"/>
    <w:rsid w:val="00AD351A"/>
    <w:rsid w:val="00AE1BC1"/>
    <w:rsid w:val="00B03209"/>
    <w:rsid w:val="00B060CB"/>
    <w:rsid w:val="00B0745F"/>
    <w:rsid w:val="00B24013"/>
    <w:rsid w:val="00B24F7A"/>
    <w:rsid w:val="00B37DA6"/>
    <w:rsid w:val="00B7263C"/>
    <w:rsid w:val="00B94305"/>
    <w:rsid w:val="00B950DF"/>
    <w:rsid w:val="00BA0A78"/>
    <w:rsid w:val="00BA6DFD"/>
    <w:rsid w:val="00BB1A3E"/>
    <w:rsid w:val="00BC73B1"/>
    <w:rsid w:val="00BD7FCF"/>
    <w:rsid w:val="00BF1944"/>
    <w:rsid w:val="00BF7675"/>
    <w:rsid w:val="00C207D0"/>
    <w:rsid w:val="00C2466E"/>
    <w:rsid w:val="00C42284"/>
    <w:rsid w:val="00C462CC"/>
    <w:rsid w:val="00C465F2"/>
    <w:rsid w:val="00C539F6"/>
    <w:rsid w:val="00C90B55"/>
    <w:rsid w:val="00CA10CA"/>
    <w:rsid w:val="00CA71F2"/>
    <w:rsid w:val="00CB19F5"/>
    <w:rsid w:val="00CB21F6"/>
    <w:rsid w:val="00CB54C4"/>
    <w:rsid w:val="00CC3DDC"/>
    <w:rsid w:val="00CC437E"/>
    <w:rsid w:val="00CC77E3"/>
    <w:rsid w:val="00CD09C7"/>
    <w:rsid w:val="00CD3BB0"/>
    <w:rsid w:val="00CE09B9"/>
    <w:rsid w:val="00CE4B4A"/>
    <w:rsid w:val="00CF1E0D"/>
    <w:rsid w:val="00CF71C9"/>
    <w:rsid w:val="00D14662"/>
    <w:rsid w:val="00D22B62"/>
    <w:rsid w:val="00D31F1B"/>
    <w:rsid w:val="00D33DBF"/>
    <w:rsid w:val="00D44E9F"/>
    <w:rsid w:val="00D62AD4"/>
    <w:rsid w:val="00D64CCE"/>
    <w:rsid w:val="00D710E7"/>
    <w:rsid w:val="00D75E6F"/>
    <w:rsid w:val="00D8462D"/>
    <w:rsid w:val="00D96597"/>
    <w:rsid w:val="00DB5670"/>
    <w:rsid w:val="00DC4128"/>
    <w:rsid w:val="00DC57CE"/>
    <w:rsid w:val="00DD43E6"/>
    <w:rsid w:val="00DD5D0B"/>
    <w:rsid w:val="00DD6ED6"/>
    <w:rsid w:val="00DD79CC"/>
    <w:rsid w:val="00DE1AB5"/>
    <w:rsid w:val="00DE1DC3"/>
    <w:rsid w:val="00DE562B"/>
    <w:rsid w:val="00DF1788"/>
    <w:rsid w:val="00DF3712"/>
    <w:rsid w:val="00DF7322"/>
    <w:rsid w:val="00E06253"/>
    <w:rsid w:val="00E1659A"/>
    <w:rsid w:val="00E17020"/>
    <w:rsid w:val="00E17CD3"/>
    <w:rsid w:val="00E23D6F"/>
    <w:rsid w:val="00E42C29"/>
    <w:rsid w:val="00E43C30"/>
    <w:rsid w:val="00E60F49"/>
    <w:rsid w:val="00E7009D"/>
    <w:rsid w:val="00E751B1"/>
    <w:rsid w:val="00E81FBE"/>
    <w:rsid w:val="00E8249F"/>
    <w:rsid w:val="00E830CC"/>
    <w:rsid w:val="00E97CC6"/>
    <w:rsid w:val="00EA343E"/>
    <w:rsid w:val="00EB0E51"/>
    <w:rsid w:val="00ED0BFC"/>
    <w:rsid w:val="00ED2759"/>
    <w:rsid w:val="00EE5604"/>
    <w:rsid w:val="00EF09D3"/>
    <w:rsid w:val="00EF13E2"/>
    <w:rsid w:val="00F00A7B"/>
    <w:rsid w:val="00F267D3"/>
    <w:rsid w:val="00F33B83"/>
    <w:rsid w:val="00F405CA"/>
    <w:rsid w:val="00F4560B"/>
    <w:rsid w:val="00F516D4"/>
    <w:rsid w:val="00F601B0"/>
    <w:rsid w:val="00F609FF"/>
    <w:rsid w:val="00F813B6"/>
    <w:rsid w:val="00F825C6"/>
    <w:rsid w:val="00FB1032"/>
    <w:rsid w:val="00FC113D"/>
    <w:rsid w:val="00FC5673"/>
    <w:rsid w:val="00FC79E7"/>
    <w:rsid w:val="00FD2FE2"/>
    <w:rsid w:val="00FD33FF"/>
    <w:rsid w:val="00FE12F3"/>
    <w:rsid w:val="00FE16BC"/>
    <w:rsid w:val="00FE6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0061C"/>
  <w15:docId w15:val="{D58B1B0C-5C78-4907-AAC0-27D7BC70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4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669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E59E4-FDE9-4A6B-919D-67BD2839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e.carolus</dc:creator>
  <cp:keywords/>
  <dc:description/>
  <cp:lastModifiedBy>louisianne michel</cp:lastModifiedBy>
  <cp:revision>4</cp:revision>
  <cp:lastPrinted>2019-03-22T08:06:00Z</cp:lastPrinted>
  <dcterms:created xsi:type="dcterms:W3CDTF">2022-02-23T10:28:00Z</dcterms:created>
  <dcterms:modified xsi:type="dcterms:W3CDTF">2022-04-13T03:49:00Z</dcterms:modified>
</cp:coreProperties>
</file>