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0BE3" w14:textId="77777777" w:rsidR="00A605D1" w:rsidRPr="00554065" w:rsidRDefault="00A605D1" w:rsidP="00A605D1">
      <w:pPr>
        <w:tabs>
          <w:tab w:val="left" w:pos="4092"/>
        </w:tabs>
        <w:spacing w:after="0" w:line="240" w:lineRule="auto"/>
        <w:jc w:val="center"/>
        <w:rPr>
          <w:rFonts w:ascii="Times New Roman" w:hAnsi="Times New Roman" w:cs="Times New Roman"/>
          <w:b/>
          <w:sz w:val="24"/>
          <w:szCs w:val="24"/>
        </w:rPr>
      </w:pPr>
      <w:r w:rsidRPr="00554065">
        <w:rPr>
          <w:rFonts w:ascii="Times New Roman" w:hAnsi="Times New Roman" w:cs="Times New Roman"/>
          <w:b/>
          <w:sz w:val="24"/>
          <w:szCs w:val="24"/>
        </w:rPr>
        <w:t xml:space="preserve">SUPREME COURT OF SEYCHELLES </w:t>
      </w:r>
    </w:p>
    <w:p w14:paraId="1A0CC76D" w14:textId="77777777" w:rsidR="00A605D1" w:rsidRPr="00554065" w:rsidRDefault="00A605D1" w:rsidP="00A605D1">
      <w:pPr>
        <w:pBdr>
          <w:bottom w:val="single" w:sz="4" w:space="1" w:color="auto"/>
        </w:pBdr>
        <w:tabs>
          <w:tab w:val="left" w:pos="4092"/>
        </w:tabs>
        <w:spacing w:line="240" w:lineRule="auto"/>
        <w:jc w:val="center"/>
        <w:rPr>
          <w:rFonts w:ascii="Times New Roman" w:hAnsi="Times New Roman" w:cs="Times New Roman"/>
          <w:b/>
          <w:sz w:val="24"/>
          <w:szCs w:val="24"/>
        </w:rPr>
      </w:pPr>
    </w:p>
    <w:p w14:paraId="774B70C5" w14:textId="2C5E342D" w:rsidR="00A605D1" w:rsidRPr="00554065" w:rsidRDefault="00A605D1" w:rsidP="004D3E70">
      <w:pPr>
        <w:spacing w:after="0" w:line="240" w:lineRule="auto"/>
        <w:ind w:left="5760"/>
        <w:rPr>
          <w:rFonts w:ascii="Times New Roman" w:hAnsi="Times New Roman" w:cs="Times New Roman"/>
          <w:b/>
          <w:sz w:val="24"/>
          <w:szCs w:val="24"/>
          <w:u w:val="single"/>
        </w:rPr>
      </w:pPr>
      <w:r w:rsidRPr="00554065">
        <w:rPr>
          <w:rFonts w:ascii="Times New Roman" w:hAnsi="Times New Roman" w:cs="Times New Roman"/>
          <w:b/>
          <w:sz w:val="24"/>
          <w:szCs w:val="24"/>
          <w:u w:val="single"/>
        </w:rPr>
        <w:t>Reportable</w:t>
      </w:r>
    </w:p>
    <w:p w14:paraId="24321D0B" w14:textId="4758CC90" w:rsidR="00A605D1" w:rsidRPr="00554065" w:rsidRDefault="00A605D1" w:rsidP="004D3E70">
      <w:pPr>
        <w:spacing w:after="0" w:line="240" w:lineRule="auto"/>
        <w:ind w:left="5580" w:firstLine="180"/>
        <w:rPr>
          <w:rFonts w:ascii="Times New Roman" w:hAnsi="Times New Roman" w:cs="Times New Roman"/>
          <w:sz w:val="24"/>
          <w:szCs w:val="24"/>
        </w:rPr>
      </w:pPr>
      <w:r w:rsidRPr="00554065">
        <w:rPr>
          <w:rFonts w:ascii="Times New Roman" w:hAnsi="Times New Roman" w:cs="Times New Roman"/>
          <w:sz w:val="24"/>
          <w:szCs w:val="24"/>
        </w:rPr>
        <w:t>[202</w:t>
      </w:r>
      <w:r w:rsidR="0086676C">
        <w:rPr>
          <w:rFonts w:ascii="Times New Roman" w:hAnsi="Times New Roman" w:cs="Times New Roman"/>
          <w:sz w:val="24"/>
          <w:szCs w:val="24"/>
        </w:rPr>
        <w:t>2</w:t>
      </w:r>
      <w:r w:rsidR="001F4EDC">
        <w:rPr>
          <w:rFonts w:ascii="Times New Roman" w:hAnsi="Times New Roman" w:cs="Times New Roman"/>
          <w:sz w:val="24"/>
          <w:szCs w:val="24"/>
        </w:rPr>
        <w:t>] SCSC 438</w:t>
      </w:r>
    </w:p>
    <w:p w14:paraId="0070376E" w14:textId="02DB89BE" w:rsidR="00A605D1" w:rsidRDefault="00E034F2" w:rsidP="00A605D1">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b/>
        <w:t>MA 165</w:t>
      </w:r>
      <w:r w:rsidR="004A4562">
        <w:rPr>
          <w:rFonts w:ascii="Times New Roman" w:hAnsi="Times New Roman" w:cs="Times New Roman"/>
          <w:sz w:val="24"/>
          <w:szCs w:val="24"/>
        </w:rPr>
        <w:t xml:space="preserve"> of 2021</w:t>
      </w:r>
    </w:p>
    <w:p w14:paraId="72C1A686" w14:textId="486EB3A5" w:rsidR="004A4562" w:rsidRPr="00554065" w:rsidRDefault="001F4EDC" w:rsidP="00A605D1">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b/>
        <w:t>Arising out of MC 58</w:t>
      </w:r>
      <w:r w:rsidR="004A4562">
        <w:rPr>
          <w:rFonts w:ascii="Times New Roman" w:hAnsi="Times New Roman" w:cs="Times New Roman"/>
          <w:sz w:val="24"/>
          <w:szCs w:val="24"/>
        </w:rPr>
        <w:t xml:space="preserve"> of 2021</w:t>
      </w:r>
    </w:p>
    <w:p w14:paraId="0B69F409" w14:textId="77777777" w:rsidR="00A605D1" w:rsidRPr="00554065" w:rsidRDefault="00A605D1" w:rsidP="00A605D1">
      <w:pPr>
        <w:tabs>
          <w:tab w:val="left" w:pos="540"/>
          <w:tab w:val="left" w:pos="4092"/>
        </w:tabs>
        <w:spacing w:after="0" w:line="240" w:lineRule="auto"/>
        <w:rPr>
          <w:rFonts w:ascii="Times New Roman" w:hAnsi="Times New Roman" w:cs="Times New Roman"/>
          <w:sz w:val="24"/>
          <w:szCs w:val="24"/>
        </w:rPr>
      </w:pPr>
    </w:p>
    <w:p w14:paraId="7AC3C50D" w14:textId="4EAE02DA" w:rsidR="00A605D1" w:rsidRDefault="00A605D1" w:rsidP="00A605D1">
      <w:pPr>
        <w:tabs>
          <w:tab w:val="left" w:pos="540"/>
          <w:tab w:val="left" w:pos="4092"/>
        </w:tabs>
        <w:spacing w:after="0" w:line="240" w:lineRule="auto"/>
        <w:rPr>
          <w:rFonts w:ascii="Times New Roman" w:hAnsi="Times New Roman" w:cs="Times New Roman"/>
          <w:sz w:val="24"/>
          <w:szCs w:val="24"/>
        </w:rPr>
      </w:pPr>
      <w:r w:rsidRPr="00554065">
        <w:rPr>
          <w:rFonts w:ascii="Times New Roman" w:hAnsi="Times New Roman" w:cs="Times New Roman"/>
          <w:sz w:val="24"/>
          <w:szCs w:val="24"/>
        </w:rPr>
        <w:t>In the matter of:</w:t>
      </w:r>
    </w:p>
    <w:p w14:paraId="34181F69" w14:textId="77777777" w:rsidR="00A77323" w:rsidRPr="00554065" w:rsidRDefault="00A77323" w:rsidP="00A605D1">
      <w:pPr>
        <w:tabs>
          <w:tab w:val="left" w:pos="540"/>
          <w:tab w:val="left" w:pos="4092"/>
        </w:tabs>
        <w:spacing w:after="0" w:line="240" w:lineRule="auto"/>
        <w:rPr>
          <w:rFonts w:ascii="Times New Roman" w:hAnsi="Times New Roman" w:cs="Times New Roman"/>
          <w:sz w:val="24"/>
          <w:szCs w:val="24"/>
        </w:rPr>
      </w:pPr>
    </w:p>
    <w:p w14:paraId="436B7501" w14:textId="2B46A5BA" w:rsidR="00A605D1" w:rsidRPr="00554065" w:rsidRDefault="0086676C" w:rsidP="00A605D1">
      <w:pPr>
        <w:pStyle w:val="Partynames"/>
        <w:spacing w:before="0"/>
      </w:pPr>
      <w:r>
        <w:t>Beau Vallon Properties</w:t>
      </w:r>
      <w:r w:rsidR="00A77323">
        <w:t xml:space="preserve"> </w:t>
      </w:r>
      <w:r w:rsidR="00A77323">
        <w:tab/>
      </w:r>
      <w:r w:rsidR="004D3E70">
        <w:t xml:space="preserve">   </w:t>
      </w:r>
      <w:r w:rsidR="00A77323">
        <w:t>Applicant</w:t>
      </w:r>
    </w:p>
    <w:p w14:paraId="0C748AA6" w14:textId="2FC9A50E" w:rsidR="00A605D1" w:rsidRPr="00554065" w:rsidRDefault="00A77323" w:rsidP="00A605D1">
      <w:pPr>
        <w:pStyle w:val="Partynames"/>
        <w:spacing w:before="0"/>
        <w:rPr>
          <w:b w:val="0"/>
          <w:i/>
        </w:rPr>
      </w:pPr>
      <w:r>
        <w:rPr>
          <w:b w:val="0"/>
          <w:i/>
        </w:rPr>
        <w:t>(rep</w:t>
      </w:r>
      <w:r w:rsidR="0086676C">
        <w:rPr>
          <w:b w:val="0"/>
          <w:i/>
        </w:rPr>
        <w:t>.</w:t>
      </w:r>
      <w:r>
        <w:rPr>
          <w:b w:val="0"/>
          <w:i/>
        </w:rPr>
        <w:t xml:space="preserve"> by Mr</w:t>
      </w:r>
      <w:r w:rsidR="00D6074F">
        <w:rPr>
          <w:b w:val="0"/>
          <w:i/>
        </w:rPr>
        <w:t>.</w:t>
      </w:r>
      <w:r w:rsidR="0086676C">
        <w:rPr>
          <w:b w:val="0"/>
          <w:i/>
        </w:rPr>
        <w:t xml:space="preserve"> S. Rouillon</w:t>
      </w:r>
      <w:r w:rsidR="00A605D1" w:rsidRPr="00554065">
        <w:rPr>
          <w:b w:val="0"/>
          <w:i/>
        </w:rPr>
        <w:t>)</w:t>
      </w:r>
    </w:p>
    <w:p w14:paraId="5A179EC4" w14:textId="77777777" w:rsidR="0086676C" w:rsidRDefault="0086676C" w:rsidP="00A77323">
      <w:pPr>
        <w:tabs>
          <w:tab w:val="left" w:pos="7920"/>
        </w:tabs>
        <w:spacing w:after="0" w:line="240" w:lineRule="auto"/>
        <w:rPr>
          <w:rFonts w:ascii="Times New Roman" w:hAnsi="Times New Roman" w:cs="Times New Roman"/>
          <w:sz w:val="24"/>
          <w:szCs w:val="24"/>
        </w:rPr>
      </w:pPr>
    </w:p>
    <w:p w14:paraId="616D35F4" w14:textId="5E9E38F6" w:rsidR="0086676C" w:rsidRDefault="0086676C" w:rsidP="00A77323">
      <w:pPr>
        <w:tabs>
          <w:tab w:val="left" w:pos="7920"/>
        </w:tabs>
        <w:spacing w:after="0" w:line="240" w:lineRule="auto"/>
        <w:rPr>
          <w:rFonts w:ascii="Times New Roman" w:hAnsi="Times New Roman" w:cs="Times New Roman"/>
          <w:sz w:val="24"/>
          <w:szCs w:val="24"/>
        </w:rPr>
      </w:pPr>
      <w:r>
        <w:rPr>
          <w:rFonts w:ascii="Times New Roman" w:hAnsi="Times New Roman" w:cs="Times New Roman"/>
          <w:sz w:val="24"/>
          <w:szCs w:val="24"/>
        </w:rPr>
        <w:t>vs</w:t>
      </w:r>
    </w:p>
    <w:p w14:paraId="3A94EDF7" w14:textId="77777777" w:rsidR="0086676C" w:rsidRDefault="0086676C" w:rsidP="00A77323">
      <w:pPr>
        <w:tabs>
          <w:tab w:val="left" w:pos="7920"/>
        </w:tabs>
        <w:spacing w:after="0" w:line="240" w:lineRule="auto"/>
        <w:rPr>
          <w:rFonts w:ascii="Times New Roman" w:hAnsi="Times New Roman" w:cs="Times New Roman"/>
          <w:sz w:val="24"/>
          <w:szCs w:val="24"/>
        </w:rPr>
      </w:pPr>
    </w:p>
    <w:p w14:paraId="75C7769F" w14:textId="5510AEE6" w:rsidR="0086676C" w:rsidRPr="0086676C" w:rsidRDefault="0086676C" w:rsidP="00A77323">
      <w:pPr>
        <w:tabs>
          <w:tab w:val="left" w:pos="7920"/>
        </w:tabs>
        <w:spacing w:after="0" w:line="240" w:lineRule="auto"/>
        <w:rPr>
          <w:rFonts w:ascii="Times New Roman" w:hAnsi="Times New Roman" w:cs="Times New Roman"/>
          <w:b/>
          <w:sz w:val="24"/>
          <w:szCs w:val="24"/>
        </w:rPr>
      </w:pPr>
      <w:r w:rsidRPr="0086676C">
        <w:rPr>
          <w:rFonts w:ascii="Times New Roman" w:hAnsi="Times New Roman" w:cs="Times New Roman"/>
          <w:b/>
          <w:sz w:val="24"/>
          <w:szCs w:val="24"/>
        </w:rPr>
        <w:t>The Minister</w:t>
      </w:r>
    </w:p>
    <w:p w14:paraId="0B47326E" w14:textId="77777777" w:rsidR="0086676C" w:rsidRDefault="0086676C" w:rsidP="00A77323">
      <w:pPr>
        <w:tabs>
          <w:tab w:val="left" w:pos="7920"/>
        </w:tabs>
        <w:spacing w:after="0" w:line="240" w:lineRule="auto"/>
        <w:rPr>
          <w:rFonts w:ascii="Times New Roman" w:hAnsi="Times New Roman" w:cs="Times New Roman"/>
          <w:b/>
          <w:sz w:val="24"/>
          <w:szCs w:val="24"/>
        </w:rPr>
      </w:pPr>
      <w:r w:rsidRPr="0086676C">
        <w:rPr>
          <w:rFonts w:ascii="Times New Roman" w:hAnsi="Times New Roman" w:cs="Times New Roman"/>
          <w:b/>
          <w:sz w:val="24"/>
          <w:szCs w:val="24"/>
        </w:rPr>
        <w:t>Ministry of Employment and Social Affairs</w:t>
      </w:r>
      <w:r>
        <w:rPr>
          <w:rFonts w:ascii="Times New Roman" w:hAnsi="Times New Roman" w:cs="Times New Roman"/>
          <w:sz w:val="24"/>
          <w:szCs w:val="24"/>
        </w:rPr>
        <w:t xml:space="preserve">                       </w:t>
      </w:r>
      <w:r w:rsidRPr="0086676C">
        <w:rPr>
          <w:rFonts w:ascii="Times New Roman" w:hAnsi="Times New Roman" w:cs="Times New Roman"/>
          <w:b/>
          <w:sz w:val="24"/>
          <w:szCs w:val="24"/>
        </w:rPr>
        <w:t xml:space="preserve">Respondent </w:t>
      </w:r>
    </w:p>
    <w:p w14:paraId="0A0D1A40" w14:textId="398E7BEF" w:rsidR="00A605D1" w:rsidRPr="00A77323" w:rsidRDefault="0086676C" w:rsidP="00A77323">
      <w:pPr>
        <w:tabs>
          <w:tab w:val="left" w:pos="7920"/>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(rep. </w:t>
      </w:r>
      <w:r w:rsidR="002D27B5">
        <w:rPr>
          <w:rFonts w:ascii="Times New Roman" w:hAnsi="Times New Roman" w:cs="Times New Roman"/>
          <w:i/>
          <w:sz w:val="24"/>
          <w:szCs w:val="24"/>
        </w:rPr>
        <w:t xml:space="preserve">by </w:t>
      </w:r>
      <w:r>
        <w:rPr>
          <w:rFonts w:ascii="Times New Roman" w:hAnsi="Times New Roman" w:cs="Times New Roman"/>
          <w:i/>
          <w:sz w:val="24"/>
          <w:szCs w:val="24"/>
        </w:rPr>
        <w:t>State Counsel Corrine Rose)</w:t>
      </w:r>
      <w:r w:rsidR="00A605D1" w:rsidRPr="00554065">
        <w:rPr>
          <w:rFonts w:ascii="Times New Roman" w:hAnsi="Times New Roman" w:cs="Times New Roman"/>
          <w:sz w:val="24"/>
          <w:szCs w:val="24"/>
        </w:rPr>
        <w:tab/>
      </w:r>
    </w:p>
    <w:p w14:paraId="33B4C9FD" w14:textId="77777777" w:rsidR="00A605D1" w:rsidRPr="00554065" w:rsidRDefault="00A605D1" w:rsidP="00A605D1">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0D874390" w14:textId="67D719DE" w:rsidR="00A605D1" w:rsidRPr="0086676C" w:rsidRDefault="00A605D1" w:rsidP="0086676C">
      <w:pPr>
        <w:spacing w:before="120" w:after="0" w:line="240" w:lineRule="auto"/>
        <w:ind w:left="1886" w:hanging="1886"/>
        <w:rPr>
          <w:rFonts w:ascii="Times New Roman" w:hAnsi="Times New Roman" w:cs="Times New Roman"/>
          <w:b/>
          <w:sz w:val="24"/>
          <w:szCs w:val="24"/>
        </w:rPr>
      </w:pPr>
      <w:r w:rsidRPr="00554065">
        <w:rPr>
          <w:rFonts w:ascii="Times New Roman" w:hAnsi="Times New Roman" w:cs="Times New Roman"/>
          <w:b/>
          <w:sz w:val="24"/>
          <w:szCs w:val="24"/>
        </w:rPr>
        <w:t>Neutral Citation:</w:t>
      </w:r>
      <w:r w:rsidRPr="00554065">
        <w:rPr>
          <w:rFonts w:ascii="Times New Roman" w:hAnsi="Times New Roman" w:cs="Times New Roman"/>
          <w:sz w:val="24"/>
          <w:szCs w:val="24"/>
        </w:rPr>
        <w:t xml:space="preserve"> </w:t>
      </w:r>
      <w:r w:rsidRPr="00554065">
        <w:rPr>
          <w:rFonts w:ascii="Times New Roman" w:hAnsi="Times New Roman" w:cs="Times New Roman"/>
          <w:sz w:val="24"/>
          <w:szCs w:val="24"/>
        </w:rPr>
        <w:tab/>
      </w:r>
      <w:r w:rsidR="0086676C" w:rsidRPr="002D27B5">
        <w:rPr>
          <w:rFonts w:ascii="Times New Roman" w:hAnsi="Times New Roman" w:cs="Times New Roman"/>
          <w:b/>
          <w:i/>
          <w:sz w:val="24"/>
          <w:szCs w:val="24"/>
        </w:rPr>
        <w:t xml:space="preserve">Beau Vallon Properties </w:t>
      </w:r>
      <w:proofErr w:type="gramStart"/>
      <w:r w:rsidR="0086676C" w:rsidRPr="002D27B5">
        <w:rPr>
          <w:rFonts w:ascii="Times New Roman" w:hAnsi="Times New Roman" w:cs="Times New Roman"/>
          <w:b/>
          <w:i/>
          <w:sz w:val="24"/>
          <w:szCs w:val="24"/>
        </w:rPr>
        <w:t>v</w:t>
      </w:r>
      <w:proofErr w:type="gramEnd"/>
      <w:r w:rsidR="0086676C" w:rsidRPr="002D27B5">
        <w:rPr>
          <w:rFonts w:ascii="Times New Roman" w:hAnsi="Times New Roman" w:cs="Times New Roman"/>
          <w:b/>
          <w:i/>
          <w:sz w:val="24"/>
          <w:szCs w:val="24"/>
        </w:rPr>
        <w:t xml:space="preserve"> The Minister, Ministry of Employment and Social Affairs</w:t>
      </w:r>
      <w:r w:rsidR="002D27B5" w:rsidRPr="002D27B5">
        <w:rPr>
          <w:rFonts w:ascii="Times New Roman" w:hAnsi="Times New Roman" w:cs="Times New Roman"/>
          <w:b/>
          <w:i/>
          <w:sz w:val="24"/>
          <w:szCs w:val="24"/>
        </w:rPr>
        <w:t xml:space="preserve"> (MA146 of 2021) </w:t>
      </w:r>
      <w:r w:rsidRPr="002D27B5">
        <w:rPr>
          <w:rFonts w:ascii="Times New Roman" w:hAnsi="Times New Roman" w:cs="Times New Roman"/>
          <w:b/>
          <w:sz w:val="24"/>
          <w:szCs w:val="24"/>
        </w:rPr>
        <w:t>[202</w:t>
      </w:r>
      <w:r w:rsidR="0086676C" w:rsidRPr="002D27B5">
        <w:rPr>
          <w:rFonts w:ascii="Times New Roman" w:hAnsi="Times New Roman" w:cs="Times New Roman"/>
          <w:b/>
          <w:sz w:val="24"/>
          <w:szCs w:val="24"/>
        </w:rPr>
        <w:t>2</w:t>
      </w:r>
      <w:r w:rsidR="001F4EDC" w:rsidRPr="002D27B5">
        <w:rPr>
          <w:rFonts w:ascii="Times New Roman" w:hAnsi="Times New Roman" w:cs="Times New Roman"/>
          <w:b/>
          <w:sz w:val="24"/>
          <w:szCs w:val="24"/>
        </w:rPr>
        <w:t>] SCSC 438</w:t>
      </w:r>
      <w:r w:rsidR="001F4EDC">
        <w:rPr>
          <w:rFonts w:ascii="Times New Roman" w:hAnsi="Times New Roman" w:cs="Times New Roman"/>
          <w:sz w:val="24"/>
          <w:szCs w:val="24"/>
        </w:rPr>
        <w:t xml:space="preserve"> </w:t>
      </w:r>
    </w:p>
    <w:p w14:paraId="1937AF20" w14:textId="77777777" w:rsidR="00A605D1" w:rsidRPr="00554065" w:rsidRDefault="00A605D1" w:rsidP="00A605D1">
      <w:pPr>
        <w:spacing w:after="0" w:line="240" w:lineRule="auto"/>
        <w:ind w:left="1890" w:hanging="1890"/>
        <w:rPr>
          <w:rFonts w:ascii="Times New Roman" w:hAnsi="Times New Roman" w:cs="Times New Roman"/>
          <w:sz w:val="24"/>
          <w:szCs w:val="24"/>
        </w:rPr>
      </w:pPr>
      <w:r w:rsidRPr="00554065">
        <w:rPr>
          <w:rFonts w:ascii="Times New Roman" w:hAnsi="Times New Roman" w:cs="Times New Roman"/>
          <w:b/>
          <w:sz w:val="24"/>
          <w:szCs w:val="24"/>
        </w:rPr>
        <w:t xml:space="preserve">Before: </w:t>
      </w:r>
      <w:r w:rsidRPr="00554065">
        <w:rPr>
          <w:rFonts w:ascii="Times New Roman" w:hAnsi="Times New Roman" w:cs="Times New Roman"/>
          <w:b/>
          <w:sz w:val="24"/>
          <w:szCs w:val="24"/>
        </w:rPr>
        <w:tab/>
      </w:r>
      <w:r w:rsidRPr="00554065">
        <w:rPr>
          <w:rFonts w:ascii="Times New Roman" w:hAnsi="Times New Roman" w:cs="Times New Roman"/>
          <w:sz w:val="24"/>
          <w:szCs w:val="24"/>
        </w:rPr>
        <w:t>Andre J</w:t>
      </w:r>
    </w:p>
    <w:p w14:paraId="084620DE" w14:textId="0EDAD17D" w:rsidR="00A605D1" w:rsidRPr="00554065" w:rsidRDefault="00A605D1" w:rsidP="00A605D1">
      <w:pPr>
        <w:spacing w:after="0" w:line="240" w:lineRule="auto"/>
        <w:ind w:left="1890" w:hanging="1890"/>
        <w:rPr>
          <w:rFonts w:ascii="Times New Roman" w:hAnsi="Times New Roman" w:cs="Times New Roman"/>
          <w:sz w:val="24"/>
          <w:szCs w:val="24"/>
        </w:rPr>
      </w:pPr>
      <w:r w:rsidRPr="00554065">
        <w:rPr>
          <w:rFonts w:ascii="Times New Roman" w:hAnsi="Times New Roman" w:cs="Times New Roman"/>
          <w:b/>
          <w:sz w:val="24"/>
          <w:szCs w:val="24"/>
        </w:rPr>
        <w:t xml:space="preserve">Summary: </w:t>
      </w:r>
      <w:r w:rsidRPr="00554065">
        <w:rPr>
          <w:rFonts w:ascii="Times New Roman" w:hAnsi="Times New Roman" w:cs="Times New Roman"/>
          <w:b/>
          <w:sz w:val="24"/>
          <w:szCs w:val="24"/>
        </w:rPr>
        <w:tab/>
      </w:r>
      <w:r w:rsidR="00A77323">
        <w:rPr>
          <w:rFonts w:ascii="Times New Roman" w:hAnsi="Times New Roman" w:cs="Times New Roman"/>
          <w:sz w:val="24"/>
          <w:szCs w:val="24"/>
        </w:rPr>
        <w:t xml:space="preserve">Supreme Court (Supervisory Jurisdiction over Subordinate Courts, Tribunals and Adjudicating Authorities) Rules </w:t>
      </w:r>
    </w:p>
    <w:p w14:paraId="475A72A2" w14:textId="14F0CA5E" w:rsidR="00A77323" w:rsidRDefault="00A605D1" w:rsidP="00A77323">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554065">
        <w:rPr>
          <w:rFonts w:ascii="Times New Roman" w:hAnsi="Times New Roman" w:cs="Times New Roman"/>
          <w:b/>
          <w:sz w:val="24"/>
          <w:szCs w:val="24"/>
        </w:rPr>
        <w:t xml:space="preserve">Heard: </w:t>
      </w:r>
      <w:r w:rsidRPr="00554065">
        <w:rPr>
          <w:rFonts w:ascii="Times New Roman" w:hAnsi="Times New Roman" w:cs="Times New Roman"/>
          <w:sz w:val="24"/>
          <w:szCs w:val="24"/>
        </w:rPr>
        <w:tab/>
      </w:r>
      <w:r w:rsidRPr="00554065">
        <w:rPr>
          <w:rFonts w:ascii="Times New Roman" w:hAnsi="Times New Roman" w:cs="Times New Roman"/>
          <w:sz w:val="24"/>
          <w:szCs w:val="24"/>
        </w:rPr>
        <w:tab/>
      </w:r>
      <w:r w:rsidR="004D0A95">
        <w:rPr>
          <w:rFonts w:ascii="Times New Roman" w:hAnsi="Times New Roman" w:cs="Times New Roman"/>
          <w:sz w:val="24"/>
          <w:szCs w:val="24"/>
        </w:rPr>
        <w:t>16 March 2022</w:t>
      </w:r>
    </w:p>
    <w:p w14:paraId="6FCB71BF" w14:textId="35ED21E1" w:rsidR="00A605D1" w:rsidRDefault="00A77323" w:rsidP="00A77323">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w:t>
      </w:r>
      <w:r w:rsidR="00A605D1" w:rsidRPr="00554065">
        <w:rPr>
          <w:rFonts w:ascii="Times New Roman" w:hAnsi="Times New Roman" w:cs="Times New Roman"/>
          <w:b/>
          <w:sz w:val="24"/>
          <w:szCs w:val="24"/>
        </w:rPr>
        <w:t>livered:</w:t>
      </w:r>
      <w:r w:rsidR="00A605D1" w:rsidRPr="00554065">
        <w:rPr>
          <w:rFonts w:ascii="Times New Roman" w:hAnsi="Times New Roman" w:cs="Times New Roman"/>
          <w:b/>
          <w:sz w:val="24"/>
          <w:szCs w:val="24"/>
        </w:rPr>
        <w:tab/>
      </w:r>
      <w:r w:rsidR="00D6074F">
        <w:rPr>
          <w:rFonts w:ascii="Times New Roman" w:hAnsi="Times New Roman" w:cs="Times New Roman"/>
          <w:sz w:val="24"/>
          <w:szCs w:val="24"/>
        </w:rPr>
        <w:tab/>
      </w:r>
      <w:r w:rsidR="004D0A95">
        <w:rPr>
          <w:rFonts w:ascii="Times New Roman" w:hAnsi="Times New Roman" w:cs="Times New Roman"/>
          <w:sz w:val="24"/>
          <w:szCs w:val="24"/>
        </w:rPr>
        <w:t>30 May 2022</w:t>
      </w:r>
    </w:p>
    <w:p w14:paraId="6539946B" w14:textId="136D4DF4" w:rsidR="00D8144F" w:rsidRDefault="00D8144F" w:rsidP="00A77323">
      <w:pPr>
        <w:tabs>
          <w:tab w:val="left" w:pos="720"/>
          <w:tab w:val="left" w:pos="1440"/>
          <w:tab w:val="left" w:pos="2160"/>
        </w:tabs>
        <w:spacing w:after="0" w:line="240" w:lineRule="auto"/>
        <w:ind w:left="1890" w:hanging="1890"/>
        <w:rPr>
          <w:rFonts w:ascii="Times New Roman" w:hAnsi="Times New Roman" w:cs="Times New Roman"/>
          <w:sz w:val="24"/>
          <w:szCs w:val="24"/>
        </w:rPr>
      </w:pPr>
    </w:p>
    <w:p w14:paraId="635456BD" w14:textId="14F39E92" w:rsidR="00D8144F" w:rsidRPr="00554065" w:rsidRDefault="00D8144F" w:rsidP="00A77323">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CEB06E6" w14:textId="77777777" w:rsidR="00461D32" w:rsidRDefault="00461D32" w:rsidP="00461D32">
      <w:pPr>
        <w:tabs>
          <w:tab w:val="left" w:pos="2892"/>
        </w:tabs>
        <w:spacing w:before="120" w:after="0" w:line="240" w:lineRule="auto"/>
        <w:jc w:val="center"/>
        <w:rPr>
          <w:rFonts w:ascii="Times New Roman" w:hAnsi="Times New Roman" w:cs="Times New Roman"/>
          <w:b/>
          <w:sz w:val="24"/>
          <w:szCs w:val="24"/>
        </w:rPr>
      </w:pPr>
      <w:r w:rsidRPr="00FC7E35">
        <w:rPr>
          <w:rFonts w:ascii="Times New Roman" w:hAnsi="Times New Roman" w:cs="Times New Roman"/>
          <w:b/>
          <w:sz w:val="24"/>
          <w:szCs w:val="24"/>
        </w:rPr>
        <w:t xml:space="preserve">ORDER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61D32" w14:paraId="13DD8837" w14:textId="77777777" w:rsidTr="00A31F09">
        <w:tc>
          <w:tcPr>
            <w:tcW w:w="9360" w:type="dxa"/>
          </w:tcPr>
          <w:p w14:paraId="74EBC47B" w14:textId="77777777" w:rsidR="00461D32" w:rsidRPr="007F59C5" w:rsidRDefault="00461D32" w:rsidP="0086676C">
            <w:pPr>
              <w:tabs>
                <w:tab w:val="left" w:pos="2892"/>
              </w:tabs>
              <w:spacing w:before="120"/>
              <w:jc w:val="both"/>
              <w:rPr>
                <w:rFonts w:ascii="Times New Roman" w:hAnsi="Times New Roman" w:cs="Times New Roman"/>
                <w:i/>
                <w:sz w:val="24"/>
                <w:szCs w:val="24"/>
              </w:rPr>
            </w:pPr>
          </w:p>
        </w:tc>
      </w:tr>
      <w:tr w:rsidR="00461D32" w14:paraId="462ADE8E" w14:textId="77777777" w:rsidTr="00A31F09">
        <w:tc>
          <w:tcPr>
            <w:tcW w:w="9360" w:type="dxa"/>
          </w:tcPr>
          <w:p w14:paraId="544A6C55" w14:textId="7F5F2937" w:rsidR="00461D32" w:rsidRPr="007F59C5" w:rsidRDefault="00FC58B0" w:rsidP="00D8144F">
            <w:pPr>
              <w:jc w:val="center"/>
              <w:rPr>
                <w:rFonts w:ascii="Times New Roman" w:hAnsi="Times New Roman" w:cs="Times New Roman"/>
                <w:sz w:val="24"/>
                <w:szCs w:val="24"/>
              </w:rPr>
            </w:pPr>
            <w:r>
              <w:rPr>
                <w:rFonts w:ascii="Times New Roman" w:hAnsi="Times New Roman" w:cs="Times New Roman"/>
                <w:sz w:val="24"/>
                <w:szCs w:val="24"/>
              </w:rPr>
              <w:t>The application for leave for judicial review is denied.</w:t>
            </w:r>
            <w:r w:rsidR="00A31F09">
              <w:rPr>
                <w:rFonts w:ascii="Times New Roman" w:hAnsi="Times New Roman" w:cs="Times New Roman"/>
                <w:sz w:val="24"/>
                <w:szCs w:val="24"/>
              </w:rPr>
              <w:tab/>
            </w:r>
          </w:p>
        </w:tc>
      </w:tr>
      <w:tr w:rsidR="00461D32" w14:paraId="64EA1335" w14:textId="77777777" w:rsidTr="00A31F09">
        <w:tc>
          <w:tcPr>
            <w:tcW w:w="9360" w:type="dxa"/>
          </w:tcPr>
          <w:p w14:paraId="75A8DA14" w14:textId="4CA347EE" w:rsidR="00461D32" w:rsidRDefault="00A31F09" w:rsidP="00A31F09">
            <w:pPr>
              <w:tabs>
                <w:tab w:val="left" w:pos="3587"/>
              </w:tabs>
              <w:jc w:val="both"/>
              <w:rPr>
                <w:rFonts w:ascii="Times New Roman" w:hAnsi="Times New Roman" w:cs="Times New Roman"/>
                <w:b/>
                <w:sz w:val="24"/>
                <w:szCs w:val="24"/>
              </w:rPr>
            </w:pPr>
            <w:r>
              <w:rPr>
                <w:rFonts w:ascii="Times New Roman" w:hAnsi="Times New Roman" w:cs="Times New Roman"/>
                <w:b/>
                <w:sz w:val="24"/>
                <w:szCs w:val="24"/>
              </w:rPr>
              <w:tab/>
            </w:r>
          </w:p>
          <w:p w14:paraId="69C33211" w14:textId="77777777" w:rsidR="00461D32" w:rsidRDefault="00461D32" w:rsidP="00A02A80">
            <w:pPr>
              <w:pBdr>
                <w:top w:val="single" w:sz="4" w:space="1" w:color="auto"/>
                <w:bottom w:val="single" w:sz="4" w:space="1" w:color="auto"/>
              </w:pBdr>
              <w:tabs>
                <w:tab w:val="left" w:pos="2892"/>
              </w:tabs>
              <w:jc w:val="center"/>
              <w:rPr>
                <w:rFonts w:ascii="Times New Roman" w:hAnsi="Times New Roman" w:cs="Times New Roman"/>
                <w:b/>
                <w:sz w:val="24"/>
                <w:szCs w:val="24"/>
              </w:rPr>
            </w:pPr>
          </w:p>
          <w:p w14:paraId="0064994F" w14:textId="4D4390CE" w:rsidR="00461D32" w:rsidRDefault="00A77323" w:rsidP="00A02A80">
            <w:pPr>
              <w:pBdr>
                <w:top w:val="single" w:sz="4" w:space="1" w:color="auto"/>
                <w:bottom w:val="single" w:sz="4" w:space="1" w:color="auto"/>
              </w:pBdr>
              <w:tabs>
                <w:tab w:val="left" w:pos="2892"/>
              </w:tabs>
              <w:jc w:val="center"/>
              <w:rPr>
                <w:rFonts w:ascii="Times New Roman" w:hAnsi="Times New Roman" w:cs="Times New Roman"/>
                <w:b/>
                <w:sz w:val="24"/>
                <w:szCs w:val="24"/>
              </w:rPr>
            </w:pPr>
            <w:r>
              <w:rPr>
                <w:rFonts w:ascii="Times New Roman" w:hAnsi="Times New Roman" w:cs="Times New Roman"/>
                <w:b/>
                <w:sz w:val="24"/>
                <w:szCs w:val="24"/>
              </w:rPr>
              <w:t xml:space="preserve">RULING </w:t>
            </w:r>
          </w:p>
          <w:p w14:paraId="2E5A2B17" w14:textId="77777777" w:rsidR="00461D32" w:rsidRDefault="00461D32" w:rsidP="00A02A80">
            <w:pPr>
              <w:pBdr>
                <w:top w:val="single" w:sz="4" w:space="1" w:color="auto"/>
                <w:bottom w:val="single" w:sz="4" w:space="1" w:color="auto"/>
              </w:pBdr>
              <w:tabs>
                <w:tab w:val="left" w:pos="2892"/>
              </w:tabs>
              <w:jc w:val="center"/>
              <w:rPr>
                <w:rFonts w:ascii="Times New Roman" w:hAnsi="Times New Roman" w:cs="Times New Roman"/>
                <w:b/>
                <w:sz w:val="24"/>
                <w:szCs w:val="24"/>
              </w:rPr>
            </w:pPr>
          </w:p>
          <w:p w14:paraId="5433DE75" w14:textId="77777777" w:rsidR="00461D32" w:rsidRPr="0013636C" w:rsidRDefault="00461D32" w:rsidP="00A02A80">
            <w:pPr>
              <w:tabs>
                <w:tab w:val="left" w:pos="2892"/>
              </w:tabs>
              <w:jc w:val="both"/>
              <w:rPr>
                <w:rFonts w:ascii="Times New Roman" w:hAnsi="Times New Roman" w:cs="Times New Roman"/>
                <w:sz w:val="24"/>
                <w:szCs w:val="24"/>
              </w:rPr>
            </w:pPr>
          </w:p>
        </w:tc>
      </w:tr>
    </w:tbl>
    <w:p w14:paraId="34923D32" w14:textId="77777777" w:rsidR="00833008" w:rsidRPr="00A31F09" w:rsidRDefault="00833008" w:rsidP="00672A56">
      <w:pPr>
        <w:pStyle w:val="Jjmntheading1"/>
      </w:pPr>
      <w:r w:rsidRPr="00A31F09">
        <w:t xml:space="preserve">ANDRE J </w:t>
      </w:r>
    </w:p>
    <w:p w14:paraId="69427FCD" w14:textId="1AECF32B" w:rsidR="00AB59FC" w:rsidRPr="00254ED2" w:rsidRDefault="00833008" w:rsidP="000B3F48">
      <w:pPr>
        <w:pStyle w:val="Jjmntheading1"/>
      </w:pPr>
      <w:r w:rsidRPr="00254ED2">
        <w:t>Introduction</w:t>
      </w:r>
      <w:r w:rsidR="00C76943" w:rsidRPr="00254ED2">
        <w:tab/>
      </w:r>
      <w:bookmarkStart w:id="0" w:name="_GoBack"/>
      <w:bookmarkEnd w:id="0"/>
    </w:p>
    <w:p w14:paraId="3682492F" w14:textId="2488E7B0" w:rsidR="00A77323" w:rsidRPr="004D535D" w:rsidRDefault="00714FC6" w:rsidP="00714FC6">
      <w:pPr>
        <w:pStyle w:val="JudgmentText"/>
        <w:rPr>
          <w:rFonts w:asciiTheme="majorBidi" w:hAnsiTheme="majorBidi" w:cstheme="majorBidi"/>
        </w:rPr>
      </w:pPr>
      <w:r w:rsidRPr="004D535D">
        <w:rPr>
          <w:rFonts w:asciiTheme="majorBidi" w:hAnsiTheme="majorBidi" w:cstheme="majorBidi"/>
        </w:rPr>
        <w:t xml:space="preserve">This </w:t>
      </w:r>
      <w:r w:rsidR="00A77323" w:rsidRPr="004D535D">
        <w:rPr>
          <w:rFonts w:asciiTheme="majorBidi" w:hAnsiTheme="majorBidi" w:cstheme="majorBidi"/>
        </w:rPr>
        <w:t>Ruling</w:t>
      </w:r>
      <w:r w:rsidRPr="004D535D">
        <w:rPr>
          <w:rFonts w:asciiTheme="majorBidi" w:hAnsiTheme="majorBidi" w:cstheme="majorBidi"/>
        </w:rPr>
        <w:t xml:space="preserve"> arises out of a</w:t>
      </w:r>
      <w:r w:rsidR="00A77323" w:rsidRPr="004D535D">
        <w:rPr>
          <w:rFonts w:asciiTheme="majorBidi" w:hAnsiTheme="majorBidi" w:cstheme="majorBidi"/>
        </w:rPr>
        <w:t xml:space="preserve">n application dated </w:t>
      </w:r>
      <w:r w:rsidR="004D0A95">
        <w:rPr>
          <w:rFonts w:asciiTheme="majorBidi" w:hAnsiTheme="majorBidi" w:cstheme="majorBidi"/>
        </w:rPr>
        <w:t>and filed on the 19</w:t>
      </w:r>
      <w:r w:rsidR="004D0A95" w:rsidRPr="004D3E70">
        <w:rPr>
          <w:rFonts w:asciiTheme="majorBidi" w:hAnsiTheme="majorBidi" w:cstheme="majorBidi"/>
          <w:vertAlign w:val="superscript"/>
        </w:rPr>
        <w:t>th</w:t>
      </w:r>
      <w:r w:rsidR="004D3E70">
        <w:rPr>
          <w:rFonts w:asciiTheme="majorBidi" w:hAnsiTheme="majorBidi" w:cstheme="majorBidi"/>
        </w:rPr>
        <w:t xml:space="preserve"> July 2021,</w:t>
      </w:r>
      <w:r w:rsidRPr="004D535D">
        <w:rPr>
          <w:rFonts w:asciiTheme="majorBidi" w:hAnsiTheme="majorBidi" w:cstheme="majorBidi"/>
        </w:rPr>
        <w:t xml:space="preserve"> wherein </w:t>
      </w:r>
      <w:r w:rsidR="0086676C" w:rsidRPr="004D535D">
        <w:rPr>
          <w:rFonts w:asciiTheme="majorBidi" w:hAnsiTheme="majorBidi" w:cstheme="majorBidi"/>
        </w:rPr>
        <w:t>Beau Vallon Properties</w:t>
      </w:r>
      <w:r w:rsidR="00A77323" w:rsidRPr="004D535D">
        <w:rPr>
          <w:rFonts w:asciiTheme="majorBidi" w:hAnsiTheme="majorBidi" w:cstheme="majorBidi"/>
        </w:rPr>
        <w:t xml:space="preserve"> </w:t>
      </w:r>
      <w:r w:rsidR="00B637E5" w:rsidRPr="004D535D">
        <w:rPr>
          <w:rFonts w:asciiTheme="majorBidi" w:hAnsiTheme="majorBidi" w:cstheme="majorBidi"/>
        </w:rPr>
        <w:t>(</w:t>
      </w:r>
      <w:r w:rsidR="004D535D" w:rsidRPr="004D535D">
        <w:rPr>
          <w:rFonts w:asciiTheme="majorBidi" w:hAnsiTheme="majorBidi" w:cstheme="majorBidi"/>
        </w:rPr>
        <w:t>a</w:t>
      </w:r>
      <w:r w:rsidR="00A77323" w:rsidRPr="004D535D">
        <w:rPr>
          <w:rFonts w:asciiTheme="majorBidi" w:hAnsiTheme="majorBidi" w:cstheme="majorBidi"/>
        </w:rPr>
        <w:t>pplicant</w:t>
      </w:r>
      <w:r w:rsidR="00B637E5" w:rsidRPr="004D535D">
        <w:rPr>
          <w:rFonts w:asciiTheme="majorBidi" w:hAnsiTheme="majorBidi" w:cstheme="majorBidi"/>
        </w:rPr>
        <w:t>/petitioner</w:t>
      </w:r>
      <w:r w:rsidRPr="004D535D">
        <w:rPr>
          <w:rFonts w:asciiTheme="majorBidi" w:hAnsiTheme="majorBidi" w:cstheme="majorBidi"/>
        </w:rPr>
        <w:t xml:space="preserve">), prays for </w:t>
      </w:r>
      <w:r w:rsidR="00A77323" w:rsidRPr="004D535D">
        <w:rPr>
          <w:rFonts w:asciiTheme="majorBidi" w:hAnsiTheme="majorBidi" w:cstheme="majorBidi"/>
        </w:rPr>
        <w:t>lea</w:t>
      </w:r>
      <w:r w:rsidR="0086676C" w:rsidRPr="004D535D">
        <w:rPr>
          <w:rFonts w:asciiTheme="majorBidi" w:hAnsiTheme="majorBidi" w:cstheme="majorBidi"/>
        </w:rPr>
        <w:t>ve to seek judicial review of t</w:t>
      </w:r>
      <w:r w:rsidR="00A77323" w:rsidRPr="004D535D">
        <w:rPr>
          <w:rFonts w:asciiTheme="majorBidi" w:hAnsiTheme="majorBidi" w:cstheme="majorBidi"/>
        </w:rPr>
        <w:t xml:space="preserve">he decision of the </w:t>
      </w:r>
      <w:r w:rsidR="00D6074F" w:rsidRPr="004D535D">
        <w:rPr>
          <w:rFonts w:asciiTheme="majorBidi" w:hAnsiTheme="majorBidi" w:cstheme="majorBidi"/>
        </w:rPr>
        <w:t>M</w:t>
      </w:r>
      <w:r w:rsidR="00A77323" w:rsidRPr="004D535D">
        <w:rPr>
          <w:rFonts w:asciiTheme="majorBidi" w:hAnsiTheme="majorBidi" w:cstheme="majorBidi"/>
        </w:rPr>
        <w:t xml:space="preserve">inistry of Employment and Social Affairs </w:t>
      </w:r>
      <w:r w:rsidR="00B637E5" w:rsidRPr="004D535D">
        <w:rPr>
          <w:rFonts w:asciiTheme="majorBidi" w:hAnsiTheme="majorBidi" w:cstheme="majorBidi"/>
        </w:rPr>
        <w:t xml:space="preserve">(respondent) </w:t>
      </w:r>
      <w:r w:rsidR="00A77323" w:rsidRPr="004D535D">
        <w:rPr>
          <w:rFonts w:asciiTheme="majorBidi" w:hAnsiTheme="majorBidi" w:cstheme="majorBidi"/>
        </w:rPr>
        <w:t>given on the 24 February 2021 and 15 April 2021.</w:t>
      </w:r>
    </w:p>
    <w:p w14:paraId="707A86FD" w14:textId="12A65E99" w:rsidR="009A52A6" w:rsidRPr="004D535D" w:rsidRDefault="009A52A6" w:rsidP="009A52A6">
      <w:pPr>
        <w:pStyle w:val="JudgmentText"/>
      </w:pPr>
      <w:r w:rsidRPr="004D535D">
        <w:lastRenderedPageBreak/>
        <w:t xml:space="preserve">The </w:t>
      </w:r>
      <w:r w:rsidR="00B637E5" w:rsidRPr="004D535D">
        <w:rPr>
          <w:rFonts w:asciiTheme="majorBidi" w:hAnsiTheme="majorBidi" w:cstheme="majorBidi"/>
        </w:rPr>
        <w:t>applicant/petitioner</w:t>
      </w:r>
      <w:r w:rsidRPr="004D535D">
        <w:t xml:space="preserve"> seeks </w:t>
      </w:r>
      <w:r w:rsidR="00B637E5" w:rsidRPr="004D535D">
        <w:t xml:space="preserve">leave to proceed with </w:t>
      </w:r>
      <w:r w:rsidRPr="004D535D">
        <w:t xml:space="preserve">judicial review of the decision of the respondent taken by a Competent Officer. The decision in question allowed Steve Forte, the employee of the </w:t>
      </w:r>
      <w:r w:rsidR="00B637E5" w:rsidRPr="004D535D">
        <w:rPr>
          <w:rFonts w:asciiTheme="majorBidi" w:hAnsiTheme="majorBidi" w:cstheme="majorBidi"/>
        </w:rPr>
        <w:t>applicant/petitioner</w:t>
      </w:r>
      <w:r w:rsidR="004D535D" w:rsidRPr="004D535D">
        <w:t>, to file a grievance with the respondent beyond the statutorily prescribed 14 days</w:t>
      </w:r>
      <w:r w:rsidRPr="004D535D">
        <w:t>.</w:t>
      </w:r>
    </w:p>
    <w:p w14:paraId="006877FC" w14:textId="7BC393D5" w:rsidR="009A52A6" w:rsidRPr="004D535D" w:rsidRDefault="009A52A6" w:rsidP="00B637E5">
      <w:pPr>
        <w:pStyle w:val="JudgmentText"/>
        <w:numPr>
          <w:ilvl w:val="0"/>
          <w:numId w:val="0"/>
        </w:numPr>
        <w:ind w:left="720" w:hanging="720"/>
        <w:rPr>
          <w:rFonts w:asciiTheme="majorBidi" w:hAnsiTheme="majorBidi" w:cstheme="majorBidi"/>
        </w:rPr>
      </w:pPr>
      <w:r w:rsidRPr="004D535D">
        <w:rPr>
          <w:rFonts w:asciiTheme="majorBidi" w:hAnsiTheme="majorBidi" w:cstheme="majorBidi"/>
        </w:rPr>
        <w:t>[3]</w:t>
      </w:r>
      <w:r w:rsidRPr="004D535D">
        <w:rPr>
          <w:rFonts w:asciiTheme="majorBidi" w:hAnsiTheme="majorBidi" w:cstheme="majorBidi"/>
        </w:rPr>
        <w:tab/>
        <w:t>The respondent</w:t>
      </w:r>
      <w:r w:rsidR="004D535D" w:rsidRPr="004D535D">
        <w:rPr>
          <w:rFonts w:asciiTheme="majorBidi" w:hAnsiTheme="majorBidi" w:cstheme="majorBidi"/>
        </w:rPr>
        <w:t>,</w:t>
      </w:r>
      <w:r w:rsidRPr="004D535D">
        <w:rPr>
          <w:rFonts w:asciiTheme="majorBidi" w:hAnsiTheme="majorBidi" w:cstheme="majorBidi"/>
        </w:rPr>
        <w:t xml:space="preserve"> by way of affidavit of Jules </w:t>
      </w:r>
      <w:r w:rsidR="00B637E5" w:rsidRPr="004D535D">
        <w:rPr>
          <w:rFonts w:asciiTheme="majorBidi" w:hAnsiTheme="majorBidi" w:cstheme="majorBidi"/>
        </w:rPr>
        <w:t>B</w:t>
      </w:r>
      <w:r w:rsidR="004D535D" w:rsidRPr="004D535D">
        <w:rPr>
          <w:rFonts w:asciiTheme="majorBidi" w:hAnsiTheme="majorBidi" w:cstheme="majorBidi"/>
        </w:rPr>
        <w:t xml:space="preserve">aker (the Principal Secretary of the Ministry) dated </w:t>
      </w:r>
      <w:r w:rsidRPr="004D535D">
        <w:rPr>
          <w:rFonts w:asciiTheme="majorBidi" w:hAnsiTheme="majorBidi" w:cstheme="majorBidi"/>
        </w:rPr>
        <w:t>9 November 2021</w:t>
      </w:r>
      <w:r w:rsidR="004D535D" w:rsidRPr="004D535D">
        <w:rPr>
          <w:rFonts w:asciiTheme="majorBidi" w:hAnsiTheme="majorBidi" w:cstheme="majorBidi"/>
        </w:rPr>
        <w:t>,</w:t>
      </w:r>
      <w:r w:rsidRPr="004D535D">
        <w:rPr>
          <w:rFonts w:asciiTheme="majorBidi" w:hAnsiTheme="majorBidi" w:cstheme="majorBidi"/>
        </w:rPr>
        <w:t xml:space="preserve"> </w:t>
      </w:r>
      <w:r w:rsidR="00B637E5" w:rsidRPr="004D535D">
        <w:rPr>
          <w:rFonts w:asciiTheme="majorBidi" w:hAnsiTheme="majorBidi" w:cstheme="majorBidi"/>
        </w:rPr>
        <w:t>objects</w:t>
      </w:r>
      <w:r w:rsidRPr="004D535D">
        <w:rPr>
          <w:rFonts w:asciiTheme="majorBidi" w:hAnsiTheme="majorBidi" w:cstheme="majorBidi"/>
        </w:rPr>
        <w:t xml:space="preserve"> to the application on the ground that the </w:t>
      </w:r>
      <w:r w:rsidR="00B637E5" w:rsidRPr="004D535D">
        <w:rPr>
          <w:rFonts w:asciiTheme="majorBidi" w:hAnsiTheme="majorBidi" w:cstheme="majorBidi"/>
        </w:rPr>
        <w:t>petition</w:t>
      </w:r>
      <w:r w:rsidRPr="004D535D">
        <w:rPr>
          <w:rFonts w:asciiTheme="majorBidi" w:hAnsiTheme="majorBidi" w:cstheme="majorBidi"/>
        </w:rPr>
        <w:t xml:space="preserve"> and affidavit </w:t>
      </w:r>
      <w:r w:rsidR="00B637E5" w:rsidRPr="004D535D">
        <w:rPr>
          <w:rFonts w:asciiTheme="majorBidi" w:hAnsiTheme="majorBidi" w:cstheme="majorBidi"/>
        </w:rPr>
        <w:t xml:space="preserve">(annexed to the application) </w:t>
      </w:r>
      <w:r w:rsidR="004D535D" w:rsidRPr="004D535D">
        <w:rPr>
          <w:rFonts w:asciiTheme="majorBidi" w:hAnsiTheme="majorBidi" w:cstheme="majorBidi"/>
        </w:rPr>
        <w:t>do not disclose</w:t>
      </w:r>
      <w:r w:rsidRPr="004D535D">
        <w:rPr>
          <w:rFonts w:asciiTheme="majorBidi" w:hAnsiTheme="majorBidi" w:cstheme="majorBidi"/>
        </w:rPr>
        <w:t xml:space="preserve"> acceptable grounds</w:t>
      </w:r>
      <w:r w:rsidR="004D535D" w:rsidRPr="004D535D">
        <w:rPr>
          <w:rFonts w:asciiTheme="majorBidi" w:hAnsiTheme="majorBidi" w:cstheme="majorBidi"/>
        </w:rPr>
        <w:t xml:space="preserve"> for judicial review and</w:t>
      </w:r>
      <w:r w:rsidRPr="004D535D">
        <w:rPr>
          <w:rFonts w:asciiTheme="majorBidi" w:hAnsiTheme="majorBidi" w:cstheme="majorBidi"/>
        </w:rPr>
        <w:t xml:space="preserve"> for this court to grant an order of certiorari to quash the decision of the respondent</w:t>
      </w:r>
      <w:r w:rsidR="004D535D" w:rsidRPr="004D535D">
        <w:rPr>
          <w:rFonts w:asciiTheme="majorBidi" w:hAnsiTheme="majorBidi" w:cstheme="majorBidi"/>
        </w:rPr>
        <w:t xml:space="preserve">. As such, the respondent submits that </w:t>
      </w:r>
      <w:r w:rsidRPr="004D535D">
        <w:rPr>
          <w:rFonts w:asciiTheme="majorBidi" w:hAnsiTheme="majorBidi" w:cstheme="majorBidi"/>
        </w:rPr>
        <w:t xml:space="preserve">the application should fail. </w:t>
      </w:r>
    </w:p>
    <w:p w14:paraId="5374A994" w14:textId="7CCA3DFD" w:rsidR="00714FC6" w:rsidRPr="004D535D" w:rsidRDefault="009A52A6" w:rsidP="00714FC6">
      <w:pPr>
        <w:pStyle w:val="Jjmntheading1"/>
        <w:rPr>
          <w:rFonts w:asciiTheme="majorBidi" w:hAnsiTheme="majorBidi" w:cstheme="majorBidi"/>
          <w:sz w:val="22"/>
          <w:szCs w:val="22"/>
        </w:rPr>
      </w:pPr>
      <w:r w:rsidRPr="004D535D">
        <w:t xml:space="preserve">Background and pleadings </w:t>
      </w:r>
    </w:p>
    <w:p w14:paraId="6C0E85EC" w14:textId="1F924C05" w:rsidR="009A52A6" w:rsidRPr="004D535D" w:rsidRDefault="00B637E5" w:rsidP="00B637E5">
      <w:pPr>
        <w:pStyle w:val="JudgmentText"/>
        <w:numPr>
          <w:ilvl w:val="0"/>
          <w:numId w:val="0"/>
        </w:numPr>
        <w:ind w:left="720" w:hanging="720"/>
        <w:rPr>
          <w:b/>
        </w:rPr>
      </w:pPr>
      <w:r w:rsidRPr="004D535D">
        <w:t>[4]</w:t>
      </w:r>
      <w:r w:rsidRPr="004D535D">
        <w:tab/>
      </w:r>
      <w:r w:rsidR="009A52A6" w:rsidRPr="004D535D">
        <w:t xml:space="preserve">It is the contention of the </w:t>
      </w:r>
      <w:r w:rsidRPr="004D535D">
        <w:rPr>
          <w:rFonts w:asciiTheme="majorBidi" w:hAnsiTheme="majorBidi" w:cstheme="majorBidi"/>
        </w:rPr>
        <w:t>applicant/petitioner</w:t>
      </w:r>
      <w:r w:rsidR="009A52A6" w:rsidRPr="004D535D">
        <w:t xml:space="preserve"> that the employee had ample opportunity to lodge a grievance with the Ministry within the statutorily provided 14 days. Instead, the employee lodged a grievance several months out of time, on the basis that he was in Russia and because of COVID-19, he could not come back to Seychelles to do so in person. The </w:t>
      </w:r>
      <w:r w:rsidRPr="004D535D">
        <w:rPr>
          <w:rFonts w:asciiTheme="majorBidi" w:hAnsiTheme="majorBidi" w:cstheme="majorBidi"/>
        </w:rPr>
        <w:t>applicant/petitioner</w:t>
      </w:r>
      <w:r w:rsidR="009A52A6" w:rsidRPr="004D535D">
        <w:t xml:space="preserve"> </w:t>
      </w:r>
      <w:r w:rsidR="004D535D" w:rsidRPr="004D535D">
        <w:t xml:space="preserve">further </w:t>
      </w:r>
      <w:r w:rsidR="009A52A6" w:rsidRPr="004D535D">
        <w:t xml:space="preserve">submits that the employee had </w:t>
      </w:r>
      <w:r w:rsidR="004D535D" w:rsidRPr="004D535D">
        <w:t>an</w:t>
      </w:r>
      <w:r w:rsidR="009A52A6" w:rsidRPr="004D535D">
        <w:t xml:space="preserve"> opportunity to file the grievance within 14 days given that he was already in touch with the respondent since May 2020 when he first queried about non-payment of salary. In addition to this, the </w:t>
      </w:r>
      <w:r w:rsidRPr="004D535D">
        <w:rPr>
          <w:rFonts w:asciiTheme="majorBidi" w:hAnsiTheme="majorBidi" w:cstheme="majorBidi"/>
        </w:rPr>
        <w:t>applicant/petitioner</w:t>
      </w:r>
      <w:r w:rsidR="009A52A6" w:rsidRPr="004D535D">
        <w:t xml:space="preserve"> argues that the employee could have used email to file his grievance rather than waiting until he physically got back to Seychelles. It is the contention of the </w:t>
      </w:r>
      <w:r w:rsidRPr="004D535D">
        <w:rPr>
          <w:rFonts w:asciiTheme="majorBidi" w:hAnsiTheme="majorBidi" w:cstheme="majorBidi"/>
        </w:rPr>
        <w:t>applicant/petitioner</w:t>
      </w:r>
      <w:r w:rsidR="009A52A6" w:rsidRPr="004D535D">
        <w:t xml:space="preserve"> that the employee should have given full reasons for the delay in filing his grievance, and further show that such as delay was in no way attributable to his fault. In support of these arguments, counsel for the </w:t>
      </w:r>
      <w:r w:rsidRPr="004D535D">
        <w:rPr>
          <w:rFonts w:asciiTheme="majorBidi" w:hAnsiTheme="majorBidi" w:cstheme="majorBidi"/>
        </w:rPr>
        <w:t>applicant/petitioner</w:t>
      </w:r>
      <w:r w:rsidR="009A52A6" w:rsidRPr="004D535D">
        <w:t xml:space="preserve"> relies on the authority of </w:t>
      </w:r>
      <w:r w:rsidR="004D535D" w:rsidRPr="004D535D">
        <w:rPr>
          <w:b/>
          <w:i/>
        </w:rPr>
        <w:t>Antoine v Minister of Employment Immigration and Civil Status and Ano</w:t>
      </w:r>
      <w:r w:rsidR="004D0A95">
        <w:rPr>
          <w:b/>
          <w:i/>
        </w:rPr>
        <w:t>r</w:t>
      </w:r>
      <w:r w:rsidR="004D535D" w:rsidRPr="004D535D">
        <w:t xml:space="preserve"> </w:t>
      </w:r>
      <w:r w:rsidR="004D535D" w:rsidRPr="004D535D">
        <w:rPr>
          <w:b/>
        </w:rPr>
        <w:t>(CA 19/2018) [2019] SCSC 205 (07 March 2019)</w:t>
      </w:r>
      <w:r w:rsidR="004D535D">
        <w:t xml:space="preserve"> and </w:t>
      </w:r>
      <w:r w:rsidR="009A52A6" w:rsidRPr="004D535D">
        <w:rPr>
          <w:b/>
          <w:i/>
        </w:rPr>
        <w:t xml:space="preserve">Petite Anse Development Ltd </w:t>
      </w:r>
      <w:proofErr w:type="gramStart"/>
      <w:r w:rsidR="009A52A6" w:rsidRPr="004D535D">
        <w:rPr>
          <w:b/>
          <w:i/>
        </w:rPr>
        <w:t>v</w:t>
      </w:r>
      <w:proofErr w:type="gramEnd"/>
      <w:r w:rsidR="009A52A6" w:rsidRPr="004D535D">
        <w:rPr>
          <w:b/>
          <w:i/>
        </w:rPr>
        <w:t xml:space="preserve"> Competent Officer &amp; Anor</w:t>
      </w:r>
      <w:r w:rsidR="009A52A6" w:rsidRPr="004D535D">
        <w:rPr>
          <w:b/>
        </w:rPr>
        <w:t xml:space="preserve"> (SCA 1/2013) [2014] SCCA 46 (12 December 2014).</w:t>
      </w:r>
    </w:p>
    <w:p w14:paraId="739285A8" w14:textId="6C5B66A0" w:rsidR="009A52A6" w:rsidRPr="004D535D" w:rsidRDefault="00B637E5" w:rsidP="00B637E5">
      <w:pPr>
        <w:pStyle w:val="JudgmentText"/>
        <w:numPr>
          <w:ilvl w:val="0"/>
          <w:numId w:val="0"/>
        </w:numPr>
        <w:ind w:left="720" w:hanging="720"/>
      </w:pPr>
      <w:r w:rsidRPr="004D535D">
        <w:t>[5]</w:t>
      </w:r>
      <w:r w:rsidRPr="004D535D">
        <w:tab/>
      </w:r>
      <w:r w:rsidR="009A52A6" w:rsidRPr="004D535D">
        <w:t xml:space="preserve">It is against this background that the </w:t>
      </w:r>
      <w:r w:rsidRPr="004D535D">
        <w:rPr>
          <w:rFonts w:asciiTheme="majorBidi" w:hAnsiTheme="majorBidi" w:cstheme="majorBidi"/>
        </w:rPr>
        <w:t>applicant/petitioner</w:t>
      </w:r>
      <w:r w:rsidR="009A52A6" w:rsidRPr="004D535D">
        <w:t xml:space="preserve"> applies to the Supreme Court, for the </w:t>
      </w:r>
      <w:r w:rsidR="00127C94" w:rsidRPr="004D535D">
        <w:t>latter</w:t>
      </w:r>
      <w:r w:rsidR="009A52A6" w:rsidRPr="004D535D">
        <w:t xml:space="preserve"> to exercise its supervisory jurisdiction as empowered by art. 125 (1) (c) of the Constitution of Seychelles. In particular, the </w:t>
      </w:r>
      <w:r w:rsidRPr="004D535D">
        <w:rPr>
          <w:rFonts w:asciiTheme="majorBidi" w:hAnsiTheme="majorBidi" w:cstheme="majorBidi"/>
        </w:rPr>
        <w:t>applicant/petitioner</w:t>
      </w:r>
      <w:r w:rsidR="009A52A6" w:rsidRPr="004D535D">
        <w:t xml:space="preserve"> seeks for judicial review of the </w:t>
      </w:r>
      <w:r w:rsidRPr="004D535D">
        <w:t>decision of the r</w:t>
      </w:r>
      <w:r w:rsidR="009A52A6" w:rsidRPr="004D535D">
        <w:t xml:space="preserve">espondent. Moreover, the </w:t>
      </w:r>
      <w:r w:rsidRPr="004D535D">
        <w:rPr>
          <w:rFonts w:asciiTheme="majorBidi" w:hAnsiTheme="majorBidi" w:cstheme="majorBidi"/>
        </w:rPr>
        <w:t>applicant/petitioner</w:t>
      </w:r>
      <w:r w:rsidR="004D535D">
        <w:t xml:space="preserve"> seeks for </w:t>
      </w:r>
      <w:r w:rsidR="009A52A6" w:rsidRPr="004D535D">
        <w:t xml:space="preserve">an order </w:t>
      </w:r>
      <w:r w:rsidR="009A52A6" w:rsidRPr="004D535D">
        <w:lastRenderedPageBreak/>
        <w:t>c</w:t>
      </w:r>
      <w:r w:rsidR="004D535D">
        <w:t>ertiorari to quash the decision</w:t>
      </w:r>
      <w:r w:rsidRPr="004D535D">
        <w:t xml:space="preserve"> of the r</w:t>
      </w:r>
      <w:r w:rsidR="009A52A6" w:rsidRPr="004D535D">
        <w:t>espondent, confirming that the decision was filed out of time and therefore not complying with the requirements of the law.</w:t>
      </w:r>
    </w:p>
    <w:p w14:paraId="1B6D3CE8" w14:textId="77777777" w:rsidR="004F25B1" w:rsidRDefault="00B637E5" w:rsidP="00B637E5">
      <w:pPr>
        <w:pStyle w:val="JudgmentText"/>
        <w:numPr>
          <w:ilvl w:val="0"/>
          <w:numId w:val="0"/>
        </w:numPr>
        <w:ind w:left="720" w:hanging="720"/>
      </w:pPr>
      <w:r w:rsidRPr="004D535D">
        <w:t>[6]</w:t>
      </w:r>
      <w:r w:rsidRPr="004D535D">
        <w:tab/>
        <w:t>The r</w:t>
      </w:r>
      <w:r w:rsidR="009A52A6" w:rsidRPr="004D535D">
        <w:t>espondent’s main submission</w:t>
      </w:r>
      <w:r w:rsidR="007A5D96" w:rsidRPr="004D535D">
        <w:t xml:space="preserve"> as filed on the 16 March 2022,</w:t>
      </w:r>
      <w:r w:rsidR="009A52A6" w:rsidRPr="004D535D">
        <w:t xml:space="preserve"> is that </w:t>
      </w:r>
      <w:r w:rsidR="004F25B1" w:rsidRPr="004F25B1">
        <w:t>are no acceptable grounds for granting judicial review in the petition and supporting affidavit of the 19 July 2021. In addition to this, the respondent submits that if the applicant/petitioner is challenging the decision that was made by the respondent, then the appropriate recourse is by way of appeal and not judicial review.</w:t>
      </w:r>
    </w:p>
    <w:p w14:paraId="78223D34" w14:textId="3DFC5B50" w:rsidR="009A52A6" w:rsidRPr="004D535D" w:rsidRDefault="004F25B1" w:rsidP="004F25B1">
      <w:pPr>
        <w:pStyle w:val="JudgmentText"/>
        <w:numPr>
          <w:ilvl w:val="0"/>
          <w:numId w:val="0"/>
        </w:numPr>
        <w:ind w:left="720" w:hanging="720"/>
      </w:pPr>
      <w:r>
        <w:t>[7]</w:t>
      </w:r>
      <w:r>
        <w:tab/>
        <w:t xml:space="preserve">Notwithstanding the objection against the application, the respondent further highlight that </w:t>
      </w:r>
      <w:r w:rsidR="00127C94" w:rsidRPr="004D535D">
        <w:t>the Competent O</w:t>
      </w:r>
      <w:r w:rsidR="009A52A6" w:rsidRPr="004D535D">
        <w:t xml:space="preserve">fficer followed the procedures set out by the law while dealing with the grievance filed by the employee. To begin, the employee sought permission to file his grievance out of time, citing the reasons why he could not do so within the prescribed 14 </w:t>
      </w:r>
      <w:r>
        <w:t>days. From this, the Competent O</w:t>
      </w:r>
      <w:r w:rsidR="009A52A6" w:rsidRPr="004D535D">
        <w:t xml:space="preserve">fficer proceeded to accept the reasons given by the employee and allowed for the grievance to be filed. </w:t>
      </w:r>
      <w:r w:rsidR="00B637E5" w:rsidRPr="004D535D">
        <w:t>Against this background, the r</w:t>
      </w:r>
      <w:r w:rsidR="009A52A6" w:rsidRPr="004D535D">
        <w:t>espondent submits that their decision to allow the grievance to be lodged out of time and the reasons thereon were proper, justified, legal and reasonable in the circumstances. Moreover, it is t</w:t>
      </w:r>
      <w:r w:rsidR="00B637E5" w:rsidRPr="004D535D">
        <w:t>he submission of the r</w:t>
      </w:r>
      <w:r w:rsidR="007A5D96" w:rsidRPr="004D535D">
        <w:t>espondent</w:t>
      </w:r>
      <w:r w:rsidR="009A52A6" w:rsidRPr="004D535D">
        <w:t xml:space="preserve"> that the d</w:t>
      </w:r>
      <w:r w:rsidR="00B637E5" w:rsidRPr="004D535D">
        <w:t>ecision</w:t>
      </w:r>
      <w:r>
        <w:t xml:space="preserve"> taken by the Competent O</w:t>
      </w:r>
      <w:r w:rsidR="009A52A6" w:rsidRPr="004D535D">
        <w:t xml:space="preserve">fficer was executed and arrived at in a procedurally correct manner.  </w:t>
      </w:r>
    </w:p>
    <w:p w14:paraId="003C008C" w14:textId="3DAEAC33" w:rsidR="007A5D96" w:rsidRPr="004D535D" w:rsidRDefault="007A5D96" w:rsidP="007A5D96">
      <w:pPr>
        <w:pStyle w:val="Jjmntheading1"/>
      </w:pPr>
      <w:r w:rsidRPr="004D535D">
        <w:t xml:space="preserve">Legal analysis and findings </w:t>
      </w:r>
    </w:p>
    <w:p w14:paraId="5934B3E7" w14:textId="15308324" w:rsidR="00C91564" w:rsidRPr="004D535D" w:rsidRDefault="005D6EAC" w:rsidP="005D6EAC">
      <w:pPr>
        <w:pStyle w:val="JudgmentText"/>
        <w:numPr>
          <w:ilvl w:val="0"/>
          <w:numId w:val="0"/>
        </w:numPr>
        <w:ind w:left="720" w:hanging="720"/>
      </w:pPr>
      <w:r w:rsidRPr="004D535D">
        <w:t>[8]</w:t>
      </w:r>
      <w:r w:rsidRPr="004D535D">
        <w:tab/>
      </w:r>
      <w:r w:rsidR="00C91564" w:rsidRPr="004D535D">
        <w:t>R</w:t>
      </w:r>
      <w:r w:rsidR="007A5D96" w:rsidRPr="004D535D">
        <w:t>espondent raises an objection to the effect that there are no acceptable grounds for judicial revie</w:t>
      </w:r>
      <w:r w:rsidR="00C91564" w:rsidRPr="004D535D">
        <w:t>w in the petition and affidavit</w:t>
      </w:r>
      <w:r w:rsidR="004F25B1">
        <w:t>, and therefore the leave application fails</w:t>
      </w:r>
      <w:r w:rsidR="007A5D96" w:rsidRPr="004D535D">
        <w:t xml:space="preserve">. </w:t>
      </w:r>
    </w:p>
    <w:p w14:paraId="5468A5D6" w14:textId="703DEA8B" w:rsidR="00C91564" w:rsidRPr="004D535D" w:rsidRDefault="005D6EAC" w:rsidP="005D6EAC">
      <w:pPr>
        <w:pStyle w:val="JudgmentText"/>
        <w:numPr>
          <w:ilvl w:val="0"/>
          <w:numId w:val="0"/>
        </w:numPr>
        <w:ind w:left="720" w:hanging="720"/>
      </w:pPr>
      <w:r w:rsidRPr="004D535D">
        <w:t>[9]</w:t>
      </w:r>
      <w:r w:rsidRPr="004D535D">
        <w:tab/>
      </w:r>
      <w:r w:rsidR="00C91564" w:rsidRPr="004D535D">
        <w:t xml:space="preserve">The pertinent questions to be determined at this stage in the light of the objection raised are as </w:t>
      </w:r>
      <w:r w:rsidR="001F4EDC" w:rsidRPr="004D535D">
        <w:t>follows: -</w:t>
      </w:r>
    </w:p>
    <w:p w14:paraId="36A2EC44" w14:textId="77777777" w:rsidR="007A5D96" w:rsidRPr="004D535D" w:rsidRDefault="007A5D96" w:rsidP="004F25B1">
      <w:pPr>
        <w:pStyle w:val="ListParagraph"/>
        <w:numPr>
          <w:ilvl w:val="0"/>
          <w:numId w:val="44"/>
        </w:numPr>
        <w:spacing w:line="360" w:lineRule="auto"/>
        <w:jc w:val="both"/>
        <w:rPr>
          <w:rFonts w:ascii="Times New Roman" w:hAnsi="Times New Roman" w:cs="Times New Roman"/>
          <w:sz w:val="24"/>
        </w:rPr>
      </w:pPr>
      <w:r w:rsidRPr="004D535D">
        <w:rPr>
          <w:rFonts w:ascii="Times New Roman" w:hAnsi="Times New Roman" w:cs="Times New Roman"/>
          <w:sz w:val="24"/>
        </w:rPr>
        <w:t xml:space="preserve">the understanding of what judicial review is vis-à-vis an appeal; </w:t>
      </w:r>
    </w:p>
    <w:p w14:paraId="234EB323" w14:textId="77777777" w:rsidR="007A5D96" w:rsidRPr="004D535D" w:rsidRDefault="007A5D96" w:rsidP="004F25B1">
      <w:pPr>
        <w:pStyle w:val="ListParagraph"/>
        <w:numPr>
          <w:ilvl w:val="0"/>
          <w:numId w:val="44"/>
        </w:numPr>
        <w:spacing w:line="360" w:lineRule="auto"/>
        <w:jc w:val="both"/>
        <w:rPr>
          <w:rFonts w:ascii="Times New Roman" w:hAnsi="Times New Roman" w:cs="Times New Roman"/>
          <w:sz w:val="24"/>
        </w:rPr>
      </w:pPr>
      <w:r w:rsidRPr="004D535D">
        <w:rPr>
          <w:rFonts w:ascii="Times New Roman" w:hAnsi="Times New Roman" w:cs="Times New Roman"/>
          <w:sz w:val="24"/>
        </w:rPr>
        <w:t>what the law and jurisprudence in Seychelles considers to be grounds for judicial review; and</w:t>
      </w:r>
    </w:p>
    <w:p w14:paraId="1D3B15AA" w14:textId="34218F6F" w:rsidR="007A5D96" w:rsidRPr="004D535D" w:rsidRDefault="007A5D96" w:rsidP="004F25B1">
      <w:pPr>
        <w:pStyle w:val="ListParagraph"/>
        <w:numPr>
          <w:ilvl w:val="0"/>
          <w:numId w:val="44"/>
        </w:numPr>
        <w:spacing w:line="360" w:lineRule="auto"/>
        <w:jc w:val="both"/>
        <w:rPr>
          <w:rFonts w:ascii="Times New Roman" w:hAnsi="Times New Roman" w:cs="Times New Roman"/>
          <w:sz w:val="24"/>
        </w:rPr>
      </w:pPr>
      <w:r w:rsidRPr="004D535D">
        <w:rPr>
          <w:rFonts w:ascii="Times New Roman" w:hAnsi="Times New Roman" w:cs="Times New Roman"/>
          <w:sz w:val="24"/>
        </w:rPr>
        <w:t xml:space="preserve">whether or not </w:t>
      </w:r>
      <w:r w:rsidR="004F25B1">
        <w:rPr>
          <w:rFonts w:ascii="Times New Roman" w:hAnsi="Times New Roman" w:cs="Times New Roman"/>
          <w:sz w:val="24"/>
        </w:rPr>
        <w:t>the applicant/petitioner raises acceptable grounds for judicial review</w:t>
      </w:r>
      <w:r w:rsidRPr="004D535D">
        <w:rPr>
          <w:rFonts w:ascii="Times New Roman" w:hAnsi="Times New Roman" w:cs="Times New Roman"/>
          <w:sz w:val="24"/>
        </w:rPr>
        <w:t>.</w:t>
      </w:r>
    </w:p>
    <w:p w14:paraId="642F8FCC" w14:textId="37185E3B" w:rsidR="007A5D96" w:rsidRPr="004D535D" w:rsidRDefault="005D6EAC" w:rsidP="005D6EAC">
      <w:pPr>
        <w:pStyle w:val="JudgmentText"/>
        <w:numPr>
          <w:ilvl w:val="0"/>
          <w:numId w:val="0"/>
        </w:numPr>
        <w:ind w:left="720" w:hanging="720"/>
      </w:pPr>
      <w:r w:rsidRPr="004D535D">
        <w:t>[10]</w:t>
      </w:r>
      <w:r w:rsidRPr="004D535D">
        <w:tab/>
      </w:r>
      <w:r w:rsidR="004F25B1">
        <w:t>It</w:t>
      </w:r>
      <w:r w:rsidR="00C91564" w:rsidRPr="004D535D">
        <w:t xml:space="preserve"> is trite that b</w:t>
      </w:r>
      <w:r w:rsidR="007A5D96" w:rsidRPr="004D535D">
        <w:t>oth judicial review and appeal require a higher Court to review the decision of the lower Court or adjudicating authority. The distinction however, is in the nature of the review and the outcome therein. In appeal proceedings, the aggrieved party seeks a different outcome. Usually, this will require the higher Court to go through the facts and merits to bring about a different decision from that of a lower court or adjudicating authority. That is to say, the Court will go into the merits of the case.</w:t>
      </w:r>
    </w:p>
    <w:p w14:paraId="651F06CA" w14:textId="54836F61" w:rsidR="007A5D96" w:rsidRPr="004D535D" w:rsidRDefault="005D6EAC" w:rsidP="005D6EAC">
      <w:pPr>
        <w:pStyle w:val="JudgmentText"/>
        <w:numPr>
          <w:ilvl w:val="0"/>
          <w:numId w:val="0"/>
        </w:numPr>
        <w:ind w:left="720" w:hanging="720"/>
      </w:pPr>
      <w:r w:rsidRPr="004D535D">
        <w:t>[11]</w:t>
      </w:r>
      <w:r w:rsidRPr="004D535D">
        <w:tab/>
      </w:r>
      <w:r w:rsidR="007A5D96" w:rsidRPr="004D535D">
        <w:t>Judicial review on the other hand, assess</w:t>
      </w:r>
      <w:r w:rsidR="00C91564" w:rsidRPr="004D535D">
        <w:t>es</w:t>
      </w:r>
      <w:r w:rsidR="007A5D96" w:rsidRPr="004D535D">
        <w:t xml:space="preserve"> a decision making process on the submission by the </w:t>
      </w:r>
      <w:r w:rsidRPr="004D535D">
        <w:rPr>
          <w:rFonts w:asciiTheme="majorBidi" w:hAnsiTheme="majorBidi" w:cstheme="majorBidi"/>
        </w:rPr>
        <w:t>applicant/petitioner</w:t>
      </w:r>
      <w:r w:rsidR="007A5D96" w:rsidRPr="004D535D">
        <w:t xml:space="preserve"> that the process undertaken by a public authority or adjudicating authority was flawed </w:t>
      </w:r>
      <w:r w:rsidR="007A5D96" w:rsidRPr="004D535D">
        <w:rPr>
          <w:b/>
        </w:rPr>
        <w:t xml:space="preserve">(see </w:t>
      </w:r>
      <w:r w:rsidR="007A5D96" w:rsidRPr="004F25B1">
        <w:rPr>
          <w:b/>
          <w:i/>
        </w:rPr>
        <w:t xml:space="preserve">Vidot v Minister of Employment </w:t>
      </w:r>
      <w:r w:rsidR="007A5D96" w:rsidRPr="004D535D">
        <w:rPr>
          <w:b/>
        </w:rPr>
        <w:t xml:space="preserve">(2000) SLR 77; and </w:t>
      </w:r>
      <w:r w:rsidR="007A5D96" w:rsidRPr="004F25B1">
        <w:rPr>
          <w:b/>
          <w:i/>
        </w:rPr>
        <w:t xml:space="preserve">Vijay Construction </w:t>
      </w:r>
      <w:proofErr w:type="gramStart"/>
      <w:r w:rsidR="007A5D96" w:rsidRPr="004F25B1">
        <w:rPr>
          <w:b/>
          <w:i/>
        </w:rPr>
        <w:t>v</w:t>
      </w:r>
      <w:proofErr w:type="gramEnd"/>
      <w:r w:rsidR="007A5D96" w:rsidRPr="004F25B1">
        <w:rPr>
          <w:b/>
          <w:i/>
        </w:rPr>
        <w:t xml:space="preserve"> Ministry of Economic Planning and Development</w:t>
      </w:r>
      <w:r w:rsidR="007A5D96" w:rsidRPr="004D535D">
        <w:rPr>
          <w:b/>
        </w:rPr>
        <w:t xml:space="preserve"> (2010) SLR 77).</w:t>
      </w:r>
      <w:r w:rsidR="007A5D96" w:rsidRPr="004D535D">
        <w:t xml:space="preserve"> It may be that the process (</w:t>
      </w:r>
      <w:proofErr w:type="spellStart"/>
      <w:r w:rsidR="007A5D96" w:rsidRPr="004D535D">
        <w:t>i</w:t>
      </w:r>
      <w:proofErr w:type="spellEnd"/>
      <w:r w:rsidR="007A5D96" w:rsidRPr="004D535D">
        <w:t xml:space="preserve">) falls short of meeting required standards set out in the law; (ii) is irrational (or unreasonable) in the circumstances; or (iii) is procedurally improper. These are essentially the grounds for judicial review and are well established in case law. </w:t>
      </w:r>
      <w:r w:rsidR="004F25B1">
        <w:t>On this, s</w:t>
      </w:r>
      <w:r w:rsidR="007A5D96" w:rsidRPr="004F25B1">
        <w:t>ee</w:t>
      </w:r>
      <w:r w:rsidR="007A5D96" w:rsidRPr="004D535D">
        <w:rPr>
          <w:b/>
        </w:rPr>
        <w:t xml:space="preserve"> </w:t>
      </w:r>
      <w:r w:rsidR="007A5D96" w:rsidRPr="004F25B1">
        <w:t>the cases of</w:t>
      </w:r>
      <w:r w:rsidR="007A5D96" w:rsidRPr="004D535D">
        <w:rPr>
          <w:b/>
        </w:rPr>
        <w:t xml:space="preserve"> </w:t>
      </w:r>
      <w:proofErr w:type="spellStart"/>
      <w:r w:rsidR="007A5D96" w:rsidRPr="004F25B1">
        <w:rPr>
          <w:b/>
          <w:i/>
          <w:iCs/>
          <w:lang w:val="en-US"/>
        </w:rPr>
        <w:t>Chio</w:t>
      </w:r>
      <w:proofErr w:type="spellEnd"/>
      <w:r w:rsidR="007A5D96" w:rsidRPr="004F25B1">
        <w:rPr>
          <w:b/>
          <w:i/>
          <w:iCs/>
          <w:lang w:val="en-US"/>
        </w:rPr>
        <w:t xml:space="preserve"> v Tave</w:t>
      </w:r>
      <w:r w:rsidR="007A5D96" w:rsidRPr="004D535D">
        <w:rPr>
          <w:b/>
          <w:iCs/>
          <w:lang w:val="en-US"/>
        </w:rPr>
        <w:t xml:space="preserve"> (2011) SLR 157; </w:t>
      </w:r>
      <w:r w:rsidR="007A5D96" w:rsidRPr="004F25B1">
        <w:rPr>
          <w:b/>
          <w:i/>
          <w:iCs/>
          <w:lang w:val="en-US"/>
        </w:rPr>
        <w:t xml:space="preserve">Lotus Holding Company Ltd v Seychelles International Business Authority </w:t>
      </w:r>
      <w:r w:rsidR="007A5D96" w:rsidRPr="004D535D">
        <w:rPr>
          <w:b/>
          <w:iCs/>
          <w:lang w:val="en-US"/>
        </w:rPr>
        <w:t xml:space="preserve">(2012) SLR 153; </w:t>
      </w:r>
      <w:r w:rsidR="007A5D96" w:rsidRPr="004F25B1">
        <w:rPr>
          <w:b/>
          <w:i/>
          <w:iCs/>
          <w:lang w:val="en-US"/>
        </w:rPr>
        <w:t>Cable and Wireless (Seychelles) Ltd v Department of Information Communications and Technology</w:t>
      </w:r>
      <w:r w:rsidR="007A5D96" w:rsidRPr="004D535D">
        <w:rPr>
          <w:b/>
          <w:iCs/>
          <w:lang w:val="en-US"/>
        </w:rPr>
        <w:t xml:space="preserve"> (CS 58/2019 and 59/2019) [2020] SCSC 254 (08 April 2020)</w:t>
      </w:r>
      <w:r w:rsidR="007A5D96" w:rsidRPr="004D535D">
        <w:rPr>
          <w:iCs/>
          <w:lang w:val="en-US"/>
        </w:rPr>
        <w:t>, among others.</w:t>
      </w:r>
      <w:r w:rsidR="004F25B1">
        <w:rPr>
          <w:iCs/>
          <w:lang w:val="en-US"/>
        </w:rPr>
        <w:t xml:space="preserve"> Each of these grounds for judicial review are explain below.</w:t>
      </w:r>
    </w:p>
    <w:p w14:paraId="15BCF211" w14:textId="5C8EA938" w:rsidR="007A5D96" w:rsidRPr="004D535D" w:rsidRDefault="005D6EAC" w:rsidP="005D6EAC">
      <w:pPr>
        <w:pStyle w:val="JudgmentText"/>
        <w:numPr>
          <w:ilvl w:val="0"/>
          <w:numId w:val="0"/>
        </w:numPr>
        <w:ind w:left="720" w:hanging="720"/>
      </w:pPr>
      <w:r w:rsidRPr="004D535D">
        <w:t>[12]</w:t>
      </w:r>
      <w:r w:rsidRPr="004D535D">
        <w:tab/>
      </w:r>
      <w:r w:rsidR="004F25B1">
        <w:t>I</w:t>
      </w:r>
      <w:r w:rsidR="007A5D96" w:rsidRPr="004D535D">
        <w:t xml:space="preserve">llegality is a ground of judicial review where one attacks the process’ failure to meet standards set out in the law. In such an instance, and as brought about by the case of </w:t>
      </w:r>
      <w:r w:rsidR="00C91564" w:rsidRPr="004D535D">
        <w:rPr>
          <w:b/>
        </w:rPr>
        <w:t>(</w:t>
      </w:r>
      <w:r w:rsidR="007A5D96" w:rsidRPr="004D535D">
        <w:rPr>
          <w:b/>
        </w:rPr>
        <w:t xml:space="preserve">Vijay Construction </w:t>
      </w:r>
      <w:proofErr w:type="gramStart"/>
      <w:r w:rsidR="007A5D96" w:rsidRPr="004D535D">
        <w:rPr>
          <w:b/>
        </w:rPr>
        <w:t>v</w:t>
      </w:r>
      <w:proofErr w:type="gramEnd"/>
      <w:r w:rsidR="007A5D96" w:rsidRPr="004D535D">
        <w:rPr>
          <w:b/>
        </w:rPr>
        <w:t xml:space="preserve"> Ministry of Economic Planning and Development</w:t>
      </w:r>
      <w:r w:rsidR="00C91564" w:rsidRPr="004D535D">
        <w:rPr>
          <w:b/>
        </w:rPr>
        <w:t xml:space="preserve"> </w:t>
      </w:r>
      <w:r w:rsidR="007A5D96" w:rsidRPr="004D535D">
        <w:t xml:space="preserve">(supra) there is an error of law on the face of the record. </w:t>
      </w:r>
    </w:p>
    <w:p w14:paraId="52556E99" w14:textId="058B0459" w:rsidR="007A5D96" w:rsidRPr="004D535D" w:rsidRDefault="005D6EAC" w:rsidP="005D6EAC">
      <w:pPr>
        <w:pStyle w:val="JudgmentText"/>
        <w:numPr>
          <w:ilvl w:val="0"/>
          <w:numId w:val="0"/>
        </w:numPr>
        <w:ind w:left="720" w:hanging="720"/>
      </w:pPr>
      <w:r w:rsidRPr="004D535D">
        <w:t>[13]</w:t>
      </w:r>
      <w:r w:rsidRPr="004D535D">
        <w:tab/>
      </w:r>
      <w:r w:rsidR="00C91564" w:rsidRPr="004D535D">
        <w:t>A second</w:t>
      </w:r>
      <w:r w:rsidR="007A5D96" w:rsidRPr="004D535D">
        <w:t xml:space="preserve"> ground of judicial review is irrationality or unreasona</w:t>
      </w:r>
      <w:r w:rsidR="004F25B1">
        <w:t>bleness on part of the public or</w:t>
      </w:r>
      <w:r w:rsidR="007A5D96" w:rsidRPr="004D535D">
        <w:t xml:space="preserve"> adjudicating authority. When relying on this ground, the applicant argues that the manner in which the decision was taken was unreasonable in the circumstances. The applicant argues </w:t>
      </w:r>
      <w:r w:rsidR="004F25B1">
        <w:t>that there public or adjudicati</w:t>
      </w:r>
      <w:r w:rsidR="007A5D96" w:rsidRPr="004D535D">
        <w:t>n</w:t>
      </w:r>
      <w:r w:rsidR="004F25B1">
        <w:t>g</w:t>
      </w:r>
      <w:r w:rsidR="007A5D96" w:rsidRPr="004D535D">
        <w:t xml:space="preserve"> authority has acted irrational. </w:t>
      </w:r>
      <w:r w:rsidR="004F25B1">
        <w:t>A</w:t>
      </w:r>
      <w:r w:rsidR="007A5D96" w:rsidRPr="004D535D">
        <w:t xml:space="preserve"> decision is considered irrational if it is “so outrageous in its defiance of logic or of accepted moral standards that no sensible person who has applied his mind to the question could have arrived at it” per </w:t>
      </w:r>
      <w:proofErr w:type="spellStart"/>
      <w:r w:rsidR="007A5D96" w:rsidRPr="004F25B1">
        <w:rPr>
          <w:i/>
        </w:rPr>
        <w:t>Wednesbury</w:t>
      </w:r>
      <w:proofErr w:type="spellEnd"/>
      <w:r w:rsidR="007A5D96" w:rsidRPr="004D535D">
        <w:t xml:space="preserve"> principle and cited in </w:t>
      </w:r>
      <w:proofErr w:type="spellStart"/>
      <w:r w:rsidR="007A5D96" w:rsidRPr="004F25B1">
        <w:rPr>
          <w:b/>
          <w:i/>
        </w:rPr>
        <w:t>Linyon</w:t>
      </w:r>
      <w:proofErr w:type="spellEnd"/>
      <w:r w:rsidR="007A5D96" w:rsidRPr="004F25B1">
        <w:rPr>
          <w:b/>
          <w:i/>
        </w:rPr>
        <w:t xml:space="preserve"> </w:t>
      </w:r>
      <w:proofErr w:type="spellStart"/>
      <w:r w:rsidR="007A5D96" w:rsidRPr="004F25B1">
        <w:rPr>
          <w:b/>
          <w:i/>
        </w:rPr>
        <w:t>Demokratik</w:t>
      </w:r>
      <w:proofErr w:type="spellEnd"/>
      <w:r w:rsidR="007A5D96" w:rsidRPr="004F25B1">
        <w:rPr>
          <w:b/>
          <w:i/>
        </w:rPr>
        <w:t xml:space="preserve"> Seselwa v Electoral Commission</w:t>
      </w:r>
      <w:r w:rsidR="007A5D96" w:rsidRPr="004D535D">
        <w:rPr>
          <w:b/>
        </w:rPr>
        <w:t xml:space="preserve"> (2016) SLR 377; </w:t>
      </w:r>
      <w:r w:rsidR="007A5D96" w:rsidRPr="004F25B1">
        <w:rPr>
          <w:b/>
          <w:i/>
        </w:rPr>
        <w:t>GCC Exchange (Seychelles) Limited v Seychelles Civil Aviation Authority</w:t>
      </w:r>
      <w:r w:rsidR="007A5D96" w:rsidRPr="004D535D">
        <w:rPr>
          <w:b/>
        </w:rPr>
        <w:t xml:space="preserve"> (MC 35/2020) [2021] SCSC 691 (15 October 2021).</w:t>
      </w:r>
    </w:p>
    <w:p w14:paraId="0E743AFB" w14:textId="15B9658D" w:rsidR="007A5D96" w:rsidRPr="004D535D" w:rsidRDefault="005D6EAC" w:rsidP="005D6EAC">
      <w:pPr>
        <w:pStyle w:val="JudgmentText"/>
        <w:numPr>
          <w:ilvl w:val="0"/>
          <w:numId w:val="0"/>
        </w:numPr>
        <w:ind w:left="720" w:hanging="720"/>
      </w:pPr>
      <w:r w:rsidRPr="004D535D">
        <w:t>[14]</w:t>
      </w:r>
      <w:r w:rsidRPr="004D535D">
        <w:tab/>
      </w:r>
      <w:r w:rsidR="00E057E0" w:rsidRPr="004D535D">
        <w:t xml:space="preserve">A </w:t>
      </w:r>
      <w:r w:rsidR="007A5D96" w:rsidRPr="004D535D">
        <w:t xml:space="preserve">third ground for judicial review is procedural impropriety. In </w:t>
      </w:r>
      <w:r w:rsidR="007A5D96" w:rsidRPr="004F25B1">
        <w:rPr>
          <w:b/>
          <w:i/>
        </w:rPr>
        <w:t>Lotus Holding Company Ltd v Seychelles International Business Authority</w:t>
      </w:r>
      <w:r w:rsidR="007A5D96" w:rsidRPr="004D535D">
        <w:t xml:space="preserve"> (supra), it was held that </w:t>
      </w:r>
      <w:r w:rsidR="00E057E0" w:rsidRPr="004D535D">
        <w:t>p</w:t>
      </w:r>
      <w:r w:rsidR="007A5D96" w:rsidRPr="004D535D">
        <w:t xml:space="preserve">rocedural impropriety includes the failure to observe the rules of natural justice or failure to act with procedural fairness. </w:t>
      </w:r>
    </w:p>
    <w:p w14:paraId="40365B2A" w14:textId="7865BC3F" w:rsidR="007A5D96" w:rsidRPr="004D535D" w:rsidRDefault="005D6EAC" w:rsidP="005D6EAC">
      <w:pPr>
        <w:pStyle w:val="JudgmentText"/>
        <w:numPr>
          <w:ilvl w:val="0"/>
          <w:numId w:val="0"/>
        </w:numPr>
        <w:ind w:left="720" w:hanging="720"/>
        <w:rPr>
          <w:b/>
        </w:rPr>
      </w:pPr>
      <w:r w:rsidRPr="004D535D">
        <w:t>[15]</w:t>
      </w:r>
      <w:r w:rsidRPr="004D535D">
        <w:tab/>
      </w:r>
      <w:r w:rsidR="007A5D96" w:rsidRPr="004D535D">
        <w:t xml:space="preserve">Apart from the grounds explained above, another important contour of judicial review is the Court in such proceedings do not consider the merits of the decision, but only consider the legality, rationality or propriety of the decision in question </w:t>
      </w:r>
      <w:r w:rsidR="007A5D96" w:rsidRPr="004D535D">
        <w:rPr>
          <w:b/>
        </w:rPr>
        <w:t>(</w:t>
      </w:r>
      <w:proofErr w:type="spellStart"/>
      <w:r w:rsidR="007A5D96" w:rsidRPr="006D1D50">
        <w:rPr>
          <w:b/>
          <w:i/>
          <w:iCs/>
          <w:lang w:val="en-US"/>
        </w:rPr>
        <w:t>Intershore</w:t>
      </w:r>
      <w:proofErr w:type="spellEnd"/>
      <w:r w:rsidR="007A5D96" w:rsidRPr="006D1D50">
        <w:rPr>
          <w:b/>
          <w:i/>
          <w:iCs/>
          <w:lang w:val="en-US"/>
        </w:rPr>
        <w:t xml:space="preserve"> Consult v Govinden</w:t>
      </w:r>
      <w:r w:rsidR="007A5D96" w:rsidRPr="004D535D">
        <w:rPr>
          <w:b/>
          <w:iCs/>
          <w:lang w:val="en-US"/>
        </w:rPr>
        <w:t xml:space="preserve"> (2013) SLR 469;</w:t>
      </w:r>
      <w:r w:rsidR="007A5D96" w:rsidRPr="004D535D">
        <w:rPr>
          <w:b/>
        </w:rPr>
        <w:t xml:space="preserve"> </w:t>
      </w:r>
      <w:proofErr w:type="spellStart"/>
      <w:r w:rsidR="007A5D96" w:rsidRPr="006D1D50">
        <w:rPr>
          <w:b/>
          <w:i/>
          <w:iCs/>
          <w:lang w:val="en-US"/>
        </w:rPr>
        <w:t>Linyon</w:t>
      </w:r>
      <w:proofErr w:type="spellEnd"/>
      <w:r w:rsidR="007A5D96" w:rsidRPr="006D1D50">
        <w:rPr>
          <w:b/>
          <w:i/>
          <w:iCs/>
          <w:lang w:val="en-US"/>
        </w:rPr>
        <w:t xml:space="preserve"> </w:t>
      </w:r>
      <w:proofErr w:type="spellStart"/>
      <w:r w:rsidR="007A5D96" w:rsidRPr="006D1D50">
        <w:rPr>
          <w:b/>
          <w:i/>
          <w:iCs/>
          <w:lang w:val="en-US"/>
        </w:rPr>
        <w:t>Demokratik</w:t>
      </w:r>
      <w:proofErr w:type="spellEnd"/>
      <w:r w:rsidR="007A5D96" w:rsidRPr="006D1D50">
        <w:rPr>
          <w:b/>
          <w:i/>
          <w:iCs/>
          <w:lang w:val="en-US"/>
        </w:rPr>
        <w:t xml:space="preserve"> Seselwa v Electoral Commission</w:t>
      </w:r>
      <w:r w:rsidR="006D1D50">
        <w:rPr>
          <w:b/>
          <w:iCs/>
          <w:lang w:val="en-US"/>
        </w:rPr>
        <w:t xml:space="preserve"> </w:t>
      </w:r>
      <w:r w:rsidR="006D1D50" w:rsidRPr="006D1D50">
        <w:rPr>
          <w:iCs/>
          <w:lang w:val="en-US"/>
        </w:rPr>
        <w:t>(supra)</w:t>
      </w:r>
      <w:r w:rsidR="007A5D96" w:rsidRPr="004D535D">
        <w:rPr>
          <w:b/>
          <w:iCs/>
          <w:lang w:val="en-US"/>
        </w:rPr>
        <w:t>)</w:t>
      </w:r>
      <w:r w:rsidR="007A5D96" w:rsidRPr="004D535D">
        <w:rPr>
          <w:iCs/>
          <w:lang w:val="en-US"/>
        </w:rPr>
        <w:t>. At the same time, the Court in judicial review proceedings d</w:t>
      </w:r>
      <w:r w:rsidR="00E057E0" w:rsidRPr="004D535D">
        <w:rPr>
          <w:iCs/>
          <w:lang w:val="en-US"/>
        </w:rPr>
        <w:t>o not substitute the decision of</w:t>
      </w:r>
      <w:r w:rsidR="007A5D96" w:rsidRPr="004D535D">
        <w:rPr>
          <w:iCs/>
          <w:lang w:val="en-US"/>
        </w:rPr>
        <w:t xml:space="preserve"> an adjudicating authority or public authority for a decision of its own </w:t>
      </w:r>
      <w:r w:rsidR="007A5D96" w:rsidRPr="004D535D">
        <w:rPr>
          <w:b/>
          <w:iCs/>
          <w:lang w:val="en-US"/>
        </w:rPr>
        <w:t xml:space="preserve">(Michel v </w:t>
      </w:r>
      <w:proofErr w:type="spellStart"/>
      <w:r w:rsidR="007A5D96" w:rsidRPr="004D535D">
        <w:rPr>
          <w:b/>
          <w:iCs/>
          <w:lang w:val="en-US"/>
        </w:rPr>
        <w:t>Dhanjee</w:t>
      </w:r>
      <w:proofErr w:type="spellEnd"/>
      <w:r w:rsidR="007A5D96" w:rsidRPr="004D535D">
        <w:rPr>
          <w:b/>
          <w:iCs/>
          <w:lang w:val="en-US"/>
        </w:rPr>
        <w:t xml:space="preserve"> (2012) SLR 258).</w:t>
      </w:r>
    </w:p>
    <w:p w14:paraId="36B63368" w14:textId="74CDD7C5" w:rsidR="007A5D96" w:rsidRPr="004D535D" w:rsidRDefault="005D6EAC" w:rsidP="005D6EAC">
      <w:pPr>
        <w:pStyle w:val="JudgmentText"/>
        <w:numPr>
          <w:ilvl w:val="0"/>
          <w:numId w:val="0"/>
        </w:numPr>
        <w:ind w:left="720" w:hanging="720"/>
      </w:pPr>
      <w:r w:rsidRPr="004D535D">
        <w:t>[16]</w:t>
      </w:r>
      <w:r w:rsidRPr="004D535D">
        <w:tab/>
      </w:r>
      <w:r w:rsidR="00E057E0" w:rsidRPr="004D535D">
        <w:t>Now, o</w:t>
      </w:r>
      <w:r w:rsidR="007A5D96" w:rsidRPr="004D535D">
        <w:t xml:space="preserve">n a closer reading of the pleadings, the </w:t>
      </w:r>
      <w:r w:rsidR="00E057E0" w:rsidRPr="004D535D">
        <w:t>applicant/</w:t>
      </w:r>
      <w:r w:rsidR="007A5D96" w:rsidRPr="004D535D">
        <w:t xml:space="preserve">petitioner submits that they are aggrieved by the decision taken by the Ministry. </w:t>
      </w:r>
      <w:r w:rsidR="00E057E0" w:rsidRPr="004D535D">
        <w:t>However, counsel of the applicant/</w:t>
      </w:r>
      <w:r w:rsidRPr="004D535D">
        <w:t>p</w:t>
      </w:r>
      <w:r w:rsidR="007A5D96" w:rsidRPr="004D535D">
        <w:t>etitioner does not explain or point out how the decision making process of the</w:t>
      </w:r>
      <w:r w:rsidR="00E057E0" w:rsidRPr="004D535D">
        <w:t xml:space="preserve"> r</w:t>
      </w:r>
      <w:r w:rsidR="007A5D96" w:rsidRPr="004D535D">
        <w:t xml:space="preserve">espondent is illegal, unreasonable or procedurally improper such that it must be subjected to judicial review. </w:t>
      </w:r>
      <w:r w:rsidR="00E057E0" w:rsidRPr="004D535D">
        <w:t>In essence, the applicant/p</w:t>
      </w:r>
      <w:r w:rsidR="007A5D96" w:rsidRPr="004D535D">
        <w:t xml:space="preserve">etitioner has not unequivocally stated at least one of the grounds of judicial review. On this basis, </w:t>
      </w:r>
      <w:r w:rsidR="00E057E0" w:rsidRPr="004D535D">
        <w:t>I am inclined to entertain the r</w:t>
      </w:r>
      <w:r w:rsidR="007A5D96" w:rsidRPr="004D535D">
        <w:t>espondent’s objection se</w:t>
      </w:r>
      <w:r w:rsidR="00E057E0" w:rsidRPr="004D535D">
        <w:t xml:space="preserve">t out in paragraph 16 of </w:t>
      </w:r>
      <w:r w:rsidR="006D1D50">
        <w:t>their affidavit in reply</w:t>
      </w:r>
      <w:r w:rsidR="007A5D96" w:rsidRPr="004D535D">
        <w:t xml:space="preserve">. </w:t>
      </w:r>
    </w:p>
    <w:p w14:paraId="0CE96AD4" w14:textId="22320CF4" w:rsidR="007A5D96" w:rsidRPr="004D535D" w:rsidRDefault="005D6EAC" w:rsidP="005D6EAC">
      <w:pPr>
        <w:pStyle w:val="JudgmentText"/>
        <w:numPr>
          <w:ilvl w:val="0"/>
          <w:numId w:val="0"/>
        </w:numPr>
        <w:ind w:left="720" w:hanging="720"/>
      </w:pPr>
      <w:r w:rsidRPr="004D535D">
        <w:t>[17]</w:t>
      </w:r>
      <w:r w:rsidRPr="004D535D">
        <w:tab/>
      </w:r>
      <w:r w:rsidR="007A5D96" w:rsidRPr="004D535D">
        <w:t xml:space="preserve">The nature and form of a petition is </w:t>
      </w:r>
      <w:r w:rsidR="00E057E0" w:rsidRPr="004D535D">
        <w:t xml:space="preserve">clearly </w:t>
      </w:r>
      <w:r w:rsidR="007A5D96" w:rsidRPr="004D535D">
        <w:t>provided by the Supreme Court (Supervisory Jurisdiction over Subordinate Courts, Tribunals and Adjudicating Authorities) Rules 1995</w:t>
      </w:r>
      <w:r w:rsidRPr="004D535D">
        <w:t xml:space="preserve"> </w:t>
      </w:r>
      <w:r w:rsidR="007A5D96" w:rsidRPr="004D535D">
        <w:t xml:space="preserve">(Supreme Court Rules of 1995). There are three rules therein which I </w:t>
      </w:r>
      <w:r w:rsidR="00E057E0" w:rsidRPr="004D535D">
        <w:t xml:space="preserve">would like to draw attention to as </w:t>
      </w:r>
      <w:r w:rsidR="001F4EDC" w:rsidRPr="004D535D">
        <w:t>follows: -</w:t>
      </w:r>
    </w:p>
    <w:p w14:paraId="2263B104" w14:textId="77777777" w:rsidR="007A5D96" w:rsidRPr="004D535D" w:rsidRDefault="007A5D96" w:rsidP="007A5D96">
      <w:pPr>
        <w:pStyle w:val="ListParagraph"/>
        <w:spacing w:line="360" w:lineRule="auto"/>
        <w:jc w:val="both"/>
        <w:rPr>
          <w:rFonts w:ascii="Times New Roman" w:hAnsi="Times New Roman" w:cs="Times New Roman"/>
          <w:sz w:val="24"/>
        </w:rPr>
      </w:pPr>
      <w:r w:rsidRPr="004D535D">
        <w:rPr>
          <w:rFonts w:ascii="Times New Roman" w:hAnsi="Times New Roman" w:cs="Times New Roman"/>
          <w:sz w:val="24"/>
        </w:rPr>
        <w:t>Rule 1 (2) reads:</w:t>
      </w:r>
    </w:p>
    <w:p w14:paraId="658A9A87" w14:textId="1F2078A6" w:rsidR="007A5D96" w:rsidRPr="006D1D50" w:rsidRDefault="007A5D96" w:rsidP="007A5D96">
      <w:pPr>
        <w:spacing w:line="360" w:lineRule="auto"/>
        <w:ind w:left="1440"/>
        <w:jc w:val="both"/>
        <w:rPr>
          <w:rFonts w:ascii="Times New Roman" w:hAnsi="Times New Roman" w:cs="Times New Roman"/>
          <w:i/>
          <w:sz w:val="24"/>
        </w:rPr>
      </w:pPr>
      <w:r w:rsidRPr="006D1D50">
        <w:rPr>
          <w:rFonts w:ascii="Times New Roman" w:hAnsi="Times New Roman" w:cs="Times New Roman"/>
          <w:i/>
          <w:sz w:val="24"/>
        </w:rPr>
        <w:t>“</w:t>
      </w:r>
      <w:r w:rsidR="00E057E0" w:rsidRPr="006D1D50">
        <w:rPr>
          <w:rFonts w:ascii="Times New Roman" w:hAnsi="Times New Roman" w:cs="Times New Roman"/>
          <w:i/>
          <w:sz w:val="24"/>
        </w:rPr>
        <w:t xml:space="preserve">(2) </w:t>
      </w:r>
      <w:r w:rsidRPr="006D1D50">
        <w:rPr>
          <w:rFonts w:ascii="Times New Roman" w:hAnsi="Times New Roman" w:cs="Times New Roman"/>
          <w:i/>
          <w:sz w:val="24"/>
        </w:rPr>
        <w:t>These Rules provide for the practice and procedure of the Supreme Court in respect of an application for the exercise of the supervisory jurisdiction over subordinate courts, tribunals and adjudicating authorities”</w:t>
      </w:r>
    </w:p>
    <w:p w14:paraId="54116DDE" w14:textId="77777777" w:rsidR="007A5D96" w:rsidRPr="004D535D" w:rsidRDefault="007A5D96" w:rsidP="007A5D96">
      <w:pPr>
        <w:pStyle w:val="ListParagraph"/>
        <w:spacing w:line="360" w:lineRule="auto"/>
        <w:jc w:val="both"/>
        <w:rPr>
          <w:rFonts w:ascii="Times New Roman" w:hAnsi="Times New Roman" w:cs="Times New Roman"/>
          <w:sz w:val="24"/>
        </w:rPr>
      </w:pPr>
      <w:r w:rsidRPr="004D535D">
        <w:rPr>
          <w:rFonts w:ascii="Times New Roman" w:hAnsi="Times New Roman" w:cs="Times New Roman"/>
          <w:sz w:val="24"/>
        </w:rPr>
        <w:t>Rule 2 further states that:</w:t>
      </w:r>
    </w:p>
    <w:p w14:paraId="043176F5" w14:textId="3E18CC6D" w:rsidR="007A5D96" w:rsidRPr="004D535D" w:rsidRDefault="007A5D96" w:rsidP="007A5D96">
      <w:pPr>
        <w:pStyle w:val="ListParagraph"/>
        <w:spacing w:line="360" w:lineRule="auto"/>
        <w:ind w:left="1440"/>
        <w:jc w:val="both"/>
        <w:rPr>
          <w:rFonts w:ascii="Times New Roman" w:hAnsi="Times New Roman" w:cs="Times New Roman"/>
          <w:sz w:val="24"/>
        </w:rPr>
      </w:pPr>
      <w:r w:rsidRPr="006D1D50">
        <w:rPr>
          <w:rFonts w:ascii="Times New Roman" w:hAnsi="Times New Roman" w:cs="Times New Roman"/>
          <w:i/>
          <w:sz w:val="24"/>
        </w:rPr>
        <w:t xml:space="preserve"> “</w:t>
      </w:r>
      <w:r w:rsidRPr="006D1D50">
        <w:rPr>
          <w:rFonts w:ascii="Times New Roman" w:hAnsi="Times New Roman" w:cs="Times New Roman"/>
          <w:i/>
          <w:iCs/>
          <w:sz w:val="24"/>
        </w:rPr>
        <w:t>2. (1) An application to the Supreme Court for the purposes of Rule 1 (2), shall be made</w:t>
      </w:r>
      <w:r w:rsidR="00E057E0" w:rsidRPr="006D1D50">
        <w:rPr>
          <w:rFonts w:ascii="Times New Roman" w:hAnsi="Times New Roman" w:cs="Times New Roman"/>
          <w:i/>
          <w:iCs/>
          <w:sz w:val="24"/>
        </w:rPr>
        <w:t xml:space="preserve"> </w:t>
      </w:r>
      <w:r w:rsidRPr="006D1D50">
        <w:rPr>
          <w:rFonts w:ascii="Times New Roman" w:hAnsi="Times New Roman" w:cs="Times New Roman"/>
          <w:i/>
          <w:iCs/>
          <w:sz w:val="24"/>
          <w:u w:val="single"/>
        </w:rPr>
        <w:t>by petition</w:t>
      </w:r>
      <w:r w:rsidR="00E057E0" w:rsidRPr="006D1D50">
        <w:rPr>
          <w:rFonts w:ascii="Times New Roman" w:hAnsi="Times New Roman" w:cs="Times New Roman"/>
          <w:i/>
          <w:iCs/>
          <w:sz w:val="24"/>
          <w:u w:val="single"/>
        </w:rPr>
        <w:t xml:space="preserve"> </w:t>
      </w:r>
      <w:r w:rsidRPr="006D1D50">
        <w:rPr>
          <w:rFonts w:ascii="Times New Roman" w:hAnsi="Times New Roman" w:cs="Times New Roman"/>
          <w:i/>
          <w:iCs/>
          <w:sz w:val="24"/>
        </w:rPr>
        <w:t xml:space="preserve">accompanied by an affidavit in support of the averments set out in the petition.” </w:t>
      </w:r>
      <w:r w:rsidRPr="004D535D">
        <w:rPr>
          <w:rFonts w:ascii="Times New Roman" w:hAnsi="Times New Roman" w:cs="Times New Roman"/>
          <w:iCs/>
          <w:sz w:val="24"/>
        </w:rPr>
        <w:t>(own emphasis added)</w:t>
      </w:r>
    </w:p>
    <w:p w14:paraId="17DB863F" w14:textId="77777777" w:rsidR="006D1D50" w:rsidRDefault="006D1D50" w:rsidP="007A5D96">
      <w:pPr>
        <w:pStyle w:val="ListParagraph"/>
        <w:spacing w:line="360" w:lineRule="auto"/>
        <w:jc w:val="both"/>
        <w:rPr>
          <w:rFonts w:ascii="Times New Roman" w:hAnsi="Times New Roman" w:cs="Times New Roman"/>
          <w:sz w:val="24"/>
        </w:rPr>
      </w:pPr>
    </w:p>
    <w:p w14:paraId="2CB971BA" w14:textId="77777777" w:rsidR="007A5D96" w:rsidRPr="004D535D" w:rsidRDefault="007A5D96" w:rsidP="007A5D96">
      <w:pPr>
        <w:pStyle w:val="ListParagraph"/>
        <w:spacing w:line="360" w:lineRule="auto"/>
        <w:jc w:val="both"/>
        <w:rPr>
          <w:rFonts w:ascii="Times New Roman" w:hAnsi="Times New Roman" w:cs="Times New Roman"/>
          <w:sz w:val="24"/>
        </w:rPr>
      </w:pPr>
      <w:r w:rsidRPr="004D535D">
        <w:rPr>
          <w:rFonts w:ascii="Times New Roman" w:hAnsi="Times New Roman" w:cs="Times New Roman"/>
          <w:sz w:val="24"/>
        </w:rPr>
        <w:t>And finally, Rule 3 reads as follows:</w:t>
      </w:r>
    </w:p>
    <w:p w14:paraId="614CA763" w14:textId="002FC990" w:rsidR="007A5D96" w:rsidRPr="006D1D50" w:rsidRDefault="006D1D50" w:rsidP="007A5D96">
      <w:pPr>
        <w:pStyle w:val="ListParagraph"/>
        <w:spacing w:line="360" w:lineRule="auto"/>
        <w:ind w:firstLine="720"/>
        <w:jc w:val="both"/>
        <w:rPr>
          <w:rFonts w:ascii="Times New Roman" w:hAnsi="Times New Roman" w:cs="Times New Roman"/>
          <w:i/>
          <w:sz w:val="24"/>
          <w:lang w:val="en-US"/>
        </w:rPr>
      </w:pPr>
      <w:r>
        <w:rPr>
          <w:rFonts w:ascii="Times New Roman" w:hAnsi="Times New Roman" w:cs="Times New Roman"/>
          <w:i/>
          <w:iCs/>
          <w:sz w:val="24"/>
          <w:lang w:val="en-US"/>
        </w:rPr>
        <w:t>“</w:t>
      </w:r>
      <w:r w:rsidR="007A5D96" w:rsidRPr="006D1D50">
        <w:rPr>
          <w:rFonts w:ascii="Times New Roman" w:hAnsi="Times New Roman" w:cs="Times New Roman"/>
          <w:i/>
          <w:iCs/>
          <w:sz w:val="24"/>
          <w:lang w:val="en-US"/>
        </w:rPr>
        <w:t>3. The petition under Rule 2 shall contain a statement of –</w:t>
      </w:r>
    </w:p>
    <w:p w14:paraId="54BE715B" w14:textId="77777777" w:rsidR="007A5D96" w:rsidRPr="006D1D50" w:rsidRDefault="007A5D96" w:rsidP="007A5D96">
      <w:pPr>
        <w:pStyle w:val="ListParagraph"/>
        <w:numPr>
          <w:ilvl w:val="0"/>
          <w:numId w:val="45"/>
        </w:numPr>
        <w:spacing w:line="360" w:lineRule="auto"/>
        <w:jc w:val="both"/>
        <w:rPr>
          <w:rFonts w:ascii="Times New Roman" w:hAnsi="Times New Roman" w:cs="Times New Roman"/>
          <w:i/>
          <w:sz w:val="24"/>
          <w:lang w:val="en-US"/>
        </w:rPr>
      </w:pPr>
      <w:r w:rsidRPr="006D1D50">
        <w:rPr>
          <w:rFonts w:ascii="Times New Roman" w:hAnsi="Times New Roman" w:cs="Times New Roman"/>
          <w:i/>
          <w:iCs/>
          <w:sz w:val="24"/>
          <w:lang w:val="en-US"/>
        </w:rPr>
        <w:t>The name, address and description of the petitioner,</w:t>
      </w:r>
    </w:p>
    <w:p w14:paraId="290F9B95" w14:textId="77777777" w:rsidR="007A5D96" w:rsidRPr="006D1D50" w:rsidRDefault="007A5D96" w:rsidP="007A5D96">
      <w:pPr>
        <w:pStyle w:val="ListParagraph"/>
        <w:numPr>
          <w:ilvl w:val="0"/>
          <w:numId w:val="45"/>
        </w:numPr>
        <w:spacing w:line="360" w:lineRule="auto"/>
        <w:jc w:val="both"/>
        <w:rPr>
          <w:rFonts w:ascii="Times New Roman" w:hAnsi="Times New Roman" w:cs="Times New Roman"/>
          <w:i/>
          <w:sz w:val="24"/>
          <w:lang w:val="en-US"/>
        </w:rPr>
      </w:pPr>
      <w:r w:rsidRPr="006D1D50">
        <w:rPr>
          <w:rFonts w:ascii="Times New Roman" w:hAnsi="Times New Roman" w:cs="Times New Roman"/>
          <w:i/>
          <w:iCs/>
          <w:sz w:val="24"/>
          <w:u w:val="single"/>
          <w:lang w:val="en-US"/>
        </w:rPr>
        <w:t>The relief sought and the grounds upon which it is sought</w:t>
      </w:r>
      <w:r w:rsidRPr="006D1D50">
        <w:rPr>
          <w:rFonts w:ascii="Times New Roman" w:hAnsi="Times New Roman" w:cs="Times New Roman"/>
          <w:i/>
          <w:iCs/>
          <w:sz w:val="24"/>
          <w:lang w:val="en-US"/>
        </w:rPr>
        <w:t>;</w:t>
      </w:r>
    </w:p>
    <w:p w14:paraId="56D06FB4" w14:textId="77777777" w:rsidR="007A5D96" w:rsidRPr="006D1D50" w:rsidRDefault="007A5D96" w:rsidP="007A5D96">
      <w:pPr>
        <w:pStyle w:val="ListParagraph"/>
        <w:numPr>
          <w:ilvl w:val="0"/>
          <w:numId w:val="45"/>
        </w:numPr>
        <w:spacing w:line="360" w:lineRule="auto"/>
        <w:jc w:val="both"/>
        <w:rPr>
          <w:rFonts w:ascii="Times New Roman" w:hAnsi="Times New Roman" w:cs="Times New Roman"/>
          <w:i/>
          <w:sz w:val="24"/>
          <w:lang w:val="en-US"/>
        </w:rPr>
      </w:pPr>
      <w:r w:rsidRPr="006D1D50">
        <w:rPr>
          <w:rFonts w:ascii="Times New Roman" w:hAnsi="Times New Roman" w:cs="Times New Roman"/>
          <w:i/>
          <w:iCs/>
          <w:sz w:val="24"/>
          <w:lang w:val="en-US"/>
        </w:rPr>
        <w:t>The name and address of the petitioner’s attorney-at-law (if any);</w:t>
      </w:r>
    </w:p>
    <w:p w14:paraId="155A3EA9" w14:textId="77777777" w:rsidR="007A5D96" w:rsidRPr="006D1D50" w:rsidRDefault="007A5D96" w:rsidP="007A5D96">
      <w:pPr>
        <w:pStyle w:val="ListParagraph"/>
        <w:numPr>
          <w:ilvl w:val="0"/>
          <w:numId w:val="45"/>
        </w:numPr>
        <w:spacing w:line="360" w:lineRule="auto"/>
        <w:jc w:val="both"/>
        <w:rPr>
          <w:rFonts w:ascii="Times New Roman" w:hAnsi="Times New Roman" w:cs="Times New Roman"/>
          <w:i/>
          <w:sz w:val="24"/>
          <w:lang w:val="en-US"/>
        </w:rPr>
      </w:pPr>
      <w:r w:rsidRPr="006D1D50">
        <w:rPr>
          <w:rFonts w:ascii="Times New Roman" w:hAnsi="Times New Roman" w:cs="Times New Roman"/>
          <w:i/>
          <w:iCs/>
          <w:sz w:val="24"/>
          <w:lang w:val="en-US"/>
        </w:rPr>
        <w:t>The name, address and description of the respondent or each of the respondents;</w:t>
      </w:r>
    </w:p>
    <w:p w14:paraId="42228CF2" w14:textId="77777777" w:rsidR="007A5D96" w:rsidRPr="004D535D" w:rsidRDefault="007A5D96" w:rsidP="007A5D96">
      <w:pPr>
        <w:pStyle w:val="ListParagraph"/>
        <w:numPr>
          <w:ilvl w:val="0"/>
          <w:numId w:val="45"/>
        </w:numPr>
        <w:spacing w:line="360" w:lineRule="auto"/>
        <w:jc w:val="both"/>
        <w:rPr>
          <w:rFonts w:ascii="Times New Roman" w:hAnsi="Times New Roman" w:cs="Times New Roman"/>
          <w:sz w:val="24"/>
          <w:lang w:val="en-US"/>
        </w:rPr>
      </w:pPr>
      <w:r w:rsidRPr="006D1D50">
        <w:rPr>
          <w:rFonts w:ascii="Times New Roman" w:hAnsi="Times New Roman" w:cs="Times New Roman"/>
          <w:i/>
          <w:iCs/>
          <w:sz w:val="24"/>
          <w:lang w:val="en-US"/>
        </w:rPr>
        <w:t>A claim for damages, if any, and a prayer for costs.”</w:t>
      </w:r>
      <w:r w:rsidRPr="004D535D">
        <w:rPr>
          <w:rFonts w:ascii="Times New Roman" w:hAnsi="Times New Roman" w:cs="Times New Roman"/>
          <w:iCs/>
          <w:sz w:val="24"/>
          <w:lang w:val="en-US"/>
        </w:rPr>
        <w:t xml:space="preserve"> (Own emphasis added)</w:t>
      </w:r>
    </w:p>
    <w:p w14:paraId="289D34DB" w14:textId="228CF1E0" w:rsidR="007A5D96" w:rsidRPr="004D535D" w:rsidRDefault="005D6EAC" w:rsidP="005D6EAC">
      <w:pPr>
        <w:pStyle w:val="JudgmentText"/>
        <w:numPr>
          <w:ilvl w:val="0"/>
          <w:numId w:val="0"/>
        </w:numPr>
        <w:ind w:left="720" w:hanging="720"/>
      </w:pPr>
      <w:r w:rsidRPr="004D535D">
        <w:t>[18]</w:t>
      </w:r>
      <w:r w:rsidRPr="004D535D">
        <w:tab/>
      </w:r>
      <w:r w:rsidR="007A5D96" w:rsidRPr="004D535D">
        <w:t xml:space="preserve">In essence, the Supreme Court Rules of 1995 set out the practice and procedure in instances where the supervisory jurisdiction of the Supreme Court is being invoked. Rule 2 cited above prescribes that the application should be made by a petition, which the </w:t>
      </w:r>
      <w:r w:rsidR="00E057E0" w:rsidRPr="004D535D">
        <w:t>applicant/</w:t>
      </w:r>
      <w:r w:rsidR="007A5D96" w:rsidRPr="004D535D">
        <w:t xml:space="preserve">petitioner in this case has done. </w:t>
      </w:r>
    </w:p>
    <w:p w14:paraId="7F37E11F" w14:textId="2AD74AAB" w:rsidR="007A5D96" w:rsidRPr="004D535D" w:rsidRDefault="005D6EAC" w:rsidP="005D6EAC">
      <w:pPr>
        <w:pStyle w:val="JudgmentText"/>
        <w:numPr>
          <w:ilvl w:val="0"/>
          <w:numId w:val="0"/>
        </w:numPr>
        <w:ind w:left="720" w:hanging="720"/>
      </w:pPr>
      <w:r w:rsidRPr="004D535D">
        <w:t>[19]</w:t>
      </w:r>
      <w:r w:rsidRPr="004D535D">
        <w:tab/>
      </w:r>
      <w:r w:rsidR="007A5D96" w:rsidRPr="004D535D">
        <w:t xml:space="preserve">Rule 3 further expands on the nature and content to be laid out in the petition. There are about five things required therein, including the relief sought and the grounds upon which it is sought. The relief sought and grounds upon which it is sought is where the petitioner would, for example, state that they seek judicial review to quash the decision of a public or adjudicating authority on the grounds that the decision making process was marred by illegality, irrationality or impropriety. </w:t>
      </w:r>
    </w:p>
    <w:p w14:paraId="1297BA41" w14:textId="775FF859" w:rsidR="007A5D96" w:rsidRPr="004D535D" w:rsidRDefault="005D6EAC" w:rsidP="005D6EAC">
      <w:pPr>
        <w:pStyle w:val="JudgmentText"/>
        <w:numPr>
          <w:ilvl w:val="0"/>
          <w:numId w:val="0"/>
        </w:numPr>
        <w:ind w:left="720" w:hanging="720"/>
      </w:pPr>
      <w:r w:rsidRPr="004D535D">
        <w:t>[20]</w:t>
      </w:r>
      <w:r w:rsidRPr="004D535D">
        <w:tab/>
      </w:r>
      <w:r w:rsidR="007A5D96" w:rsidRPr="004D535D">
        <w:t xml:space="preserve">The petition before me only </w:t>
      </w:r>
      <w:r w:rsidRPr="004D535D">
        <w:t xml:space="preserve">states </w:t>
      </w:r>
      <w:r w:rsidR="00E057E0" w:rsidRPr="004D535D">
        <w:t xml:space="preserve">that the </w:t>
      </w:r>
      <w:r w:rsidR="00E057E0" w:rsidRPr="004D535D">
        <w:rPr>
          <w:b/>
        </w:rPr>
        <w:t>p</w:t>
      </w:r>
      <w:r w:rsidR="007A5D96" w:rsidRPr="004D535D">
        <w:rPr>
          <w:b/>
        </w:rPr>
        <w:t>etitioner is aggrieved by the decision and is therefore seeking judicial review</w:t>
      </w:r>
      <w:r w:rsidR="007A5D96" w:rsidRPr="004D535D">
        <w:t xml:space="preserve">. </w:t>
      </w:r>
      <w:r w:rsidR="007A5D96" w:rsidRPr="004D535D">
        <w:rPr>
          <w:b/>
        </w:rPr>
        <w:t xml:space="preserve">The </w:t>
      </w:r>
      <w:r w:rsidR="004D3E70">
        <w:rPr>
          <w:b/>
        </w:rPr>
        <w:t>petition</w:t>
      </w:r>
      <w:r w:rsidR="007A5D96" w:rsidRPr="004D535D">
        <w:rPr>
          <w:b/>
        </w:rPr>
        <w:t xml:space="preserve"> </w:t>
      </w:r>
      <w:r w:rsidR="006D1D50">
        <w:rPr>
          <w:b/>
        </w:rPr>
        <w:t xml:space="preserve">is </w:t>
      </w:r>
      <w:r w:rsidR="004D3E70">
        <w:rPr>
          <w:b/>
        </w:rPr>
        <w:t>mute on what grounds such a</w:t>
      </w:r>
      <w:r w:rsidR="007A5D96" w:rsidRPr="004D535D">
        <w:rPr>
          <w:b/>
        </w:rPr>
        <w:t xml:space="preserve"> review is sought. </w:t>
      </w:r>
      <w:r w:rsidR="00E057E0" w:rsidRPr="004D535D">
        <w:t>(Emphasis is mine).</w:t>
      </w:r>
    </w:p>
    <w:p w14:paraId="2DCBD45C" w14:textId="4026CB00" w:rsidR="007A5D96" w:rsidRPr="004D535D" w:rsidRDefault="005D6EAC" w:rsidP="005D6EAC">
      <w:pPr>
        <w:pStyle w:val="JudgmentText"/>
        <w:numPr>
          <w:ilvl w:val="0"/>
          <w:numId w:val="0"/>
        </w:numPr>
        <w:ind w:left="720" w:hanging="720"/>
      </w:pPr>
      <w:r w:rsidRPr="004D535D">
        <w:t>[21]</w:t>
      </w:r>
      <w:r w:rsidRPr="004D535D">
        <w:tab/>
      </w:r>
      <w:r w:rsidR="007A5D96" w:rsidRPr="004D535D">
        <w:t>Based on the petition lacking in th</w:t>
      </w:r>
      <w:r w:rsidR="00E057E0" w:rsidRPr="004D535D">
        <w:t>e grounds for judicial review, I</w:t>
      </w:r>
      <w:r w:rsidR="007A5D96" w:rsidRPr="004D535D">
        <w:t xml:space="preserve"> </w:t>
      </w:r>
      <w:r w:rsidR="00E057E0" w:rsidRPr="004D535D">
        <w:t>am not satisfied tha</w:t>
      </w:r>
      <w:r w:rsidR="00010EEE">
        <w:t>t the applicant/petitioner has</w:t>
      </w:r>
      <w:r w:rsidR="00E057E0" w:rsidRPr="004D535D">
        <w:t xml:space="preserve"> sufficient interest in the subject matter of the petition and that the petition is made in good faith</w:t>
      </w:r>
      <w:r w:rsidR="00010EEE">
        <w:t xml:space="preserve"> as required by Rule 6 (1)</w:t>
      </w:r>
      <w:r w:rsidR="00E057E0" w:rsidRPr="004D535D">
        <w:t xml:space="preserve">. </w:t>
      </w:r>
      <w:r w:rsidR="00010EEE">
        <w:t>With this, I find</w:t>
      </w:r>
      <w:r w:rsidR="00E057E0" w:rsidRPr="004D535D">
        <w:t xml:space="preserve"> that t</w:t>
      </w:r>
      <w:r w:rsidR="00010EEE">
        <w:t>he</w:t>
      </w:r>
      <w:r w:rsidR="00E057E0" w:rsidRPr="004D535D">
        <w:t xml:space="preserve"> application/petition as drafted and filed</w:t>
      </w:r>
      <w:r w:rsidR="004D3E70">
        <w:t xml:space="preserve"> </w:t>
      </w:r>
      <w:r w:rsidR="007A5D96" w:rsidRPr="004D535D">
        <w:t xml:space="preserve">cannot </w:t>
      </w:r>
      <w:r w:rsidR="00E057E0" w:rsidRPr="004D535D">
        <w:t>succeed for the purpose of leave to proceed</w:t>
      </w:r>
      <w:r w:rsidR="00B637E5" w:rsidRPr="004D535D">
        <w:t xml:space="preserve">. </w:t>
      </w:r>
    </w:p>
    <w:p w14:paraId="60F8D8F6" w14:textId="4D575925" w:rsidR="00BD0A96" w:rsidRPr="004D535D" w:rsidRDefault="00B637E5" w:rsidP="00D6074F">
      <w:pPr>
        <w:pStyle w:val="Jjmntheading1"/>
      </w:pPr>
      <w:r w:rsidRPr="004D535D">
        <w:rPr>
          <w:lang w:val="en-US"/>
        </w:rPr>
        <w:t>Conclusion</w:t>
      </w:r>
    </w:p>
    <w:p w14:paraId="55EA17AF" w14:textId="4E5216D0" w:rsidR="00010EEE" w:rsidRDefault="005D6EAC" w:rsidP="00E74611">
      <w:pPr>
        <w:pStyle w:val="JudgmentText"/>
        <w:numPr>
          <w:ilvl w:val="0"/>
          <w:numId w:val="0"/>
        </w:numPr>
        <w:ind w:left="720" w:hanging="720"/>
      </w:pPr>
      <w:r w:rsidRPr="004D535D">
        <w:t>[22]</w:t>
      </w:r>
      <w:r w:rsidRPr="004D535D">
        <w:tab/>
      </w:r>
      <w:r w:rsidR="000525E6" w:rsidRPr="004D3E70">
        <w:t>For the reasons stated above, I decline to grant leave for judicial review.</w:t>
      </w:r>
      <w:r w:rsidR="00010EEE" w:rsidRPr="004D3E70">
        <w:t xml:space="preserve"> </w:t>
      </w:r>
    </w:p>
    <w:p w14:paraId="33949691" w14:textId="77777777" w:rsidR="006D1D50" w:rsidRDefault="006D1D50" w:rsidP="00010EEE">
      <w:pPr>
        <w:pStyle w:val="JudgmentText"/>
        <w:numPr>
          <w:ilvl w:val="0"/>
          <w:numId w:val="0"/>
        </w:numPr>
      </w:pPr>
    </w:p>
    <w:p w14:paraId="53EC02EB" w14:textId="6CC58688" w:rsidR="00833008" w:rsidRPr="004D535D" w:rsidRDefault="00833008" w:rsidP="00833008">
      <w:pPr>
        <w:pStyle w:val="JudgmentText"/>
        <w:numPr>
          <w:ilvl w:val="0"/>
          <w:numId w:val="0"/>
        </w:numPr>
        <w:ind w:left="720" w:hanging="720"/>
      </w:pPr>
      <w:r w:rsidRPr="004D535D">
        <w:t>Signed, dated</w:t>
      </w:r>
      <w:r w:rsidR="00D6074F" w:rsidRPr="004D535D">
        <w:t>,</w:t>
      </w:r>
      <w:r w:rsidRPr="004D535D">
        <w:t xml:space="preserve"> and delivered at Ile du Port on </w:t>
      </w:r>
      <w:r w:rsidR="00B637E5" w:rsidRPr="004D535D">
        <w:t>30 May 2022</w:t>
      </w:r>
      <w:r w:rsidR="00D6074F" w:rsidRPr="004D535D">
        <w:t xml:space="preserve">. </w:t>
      </w:r>
    </w:p>
    <w:p w14:paraId="2981B802" w14:textId="43F6E53B" w:rsidR="00554065" w:rsidRPr="00554065" w:rsidRDefault="00554065" w:rsidP="00833008">
      <w:pPr>
        <w:pStyle w:val="JudgmentText"/>
        <w:numPr>
          <w:ilvl w:val="0"/>
          <w:numId w:val="0"/>
        </w:numPr>
        <w:ind w:left="720" w:hanging="720"/>
      </w:pPr>
    </w:p>
    <w:p w14:paraId="4E473210" w14:textId="5BFBBD8A" w:rsidR="00B637E5" w:rsidRDefault="00B637E5" w:rsidP="006D1D50">
      <w:pPr>
        <w:pStyle w:val="JudgmentText"/>
        <w:numPr>
          <w:ilvl w:val="0"/>
          <w:numId w:val="0"/>
        </w:numPr>
        <w:spacing w:line="240" w:lineRule="auto"/>
      </w:pPr>
    </w:p>
    <w:p w14:paraId="63A3383D" w14:textId="77777777" w:rsidR="00B637E5" w:rsidRPr="00554065" w:rsidRDefault="00B637E5" w:rsidP="00BD0A96">
      <w:pPr>
        <w:pStyle w:val="JudgmentText"/>
        <w:numPr>
          <w:ilvl w:val="0"/>
          <w:numId w:val="0"/>
        </w:numPr>
        <w:spacing w:line="240" w:lineRule="auto"/>
        <w:ind w:left="720" w:hanging="720"/>
      </w:pPr>
    </w:p>
    <w:p w14:paraId="40BECD85" w14:textId="7A1ACD6C" w:rsidR="00554065" w:rsidRPr="00554065" w:rsidRDefault="00554065" w:rsidP="00BD0A96">
      <w:pPr>
        <w:pStyle w:val="JudgmentText"/>
        <w:numPr>
          <w:ilvl w:val="0"/>
          <w:numId w:val="0"/>
        </w:numPr>
        <w:spacing w:line="240" w:lineRule="auto"/>
        <w:ind w:left="720" w:hanging="720"/>
      </w:pPr>
      <w:r w:rsidRPr="00554065">
        <w:t>……………………………..</w:t>
      </w:r>
    </w:p>
    <w:p w14:paraId="446774AD" w14:textId="0E0CAB7F" w:rsidR="00AF1E9E" w:rsidRDefault="00554065" w:rsidP="00BD0A96">
      <w:pPr>
        <w:spacing w:line="240" w:lineRule="auto"/>
        <w:jc w:val="both"/>
        <w:rPr>
          <w:rFonts w:ascii="Times New Roman" w:hAnsi="Times New Roman" w:cs="Times New Roman"/>
          <w:b/>
          <w:sz w:val="24"/>
          <w:szCs w:val="24"/>
        </w:rPr>
      </w:pPr>
      <w:r w:rsidRPr="00BD0A96">
        <w:rPr>
          <w:rFonts w:ascii="Times New Roman" w:hAnsi="Times New Roman" w:cs="Times New Roman"/>
          <w:b/>
          <w:sz w:val="24"/>
          <w:szCs w:val="24"/>
        </w:rPr>
        <w:t>ANDRE J</w:t>
      </w:r>
    </w:p>
    <w:p w14:paraId="171BD78B" w14:textId="7F456D3D" w:rsidR="009A52A6" w:rsidRDefault="009A52A6" w:rsidP="00BD0A96">
      <w:pPr>
        <w:spacing w:line="240" w:lineRule="auto"/>
        <w:jc w:val="both"/>
        <w:rPr>
          <w:rFonts w:ascii="Times New Roman" w:hAnsi="Times New Roman" w:cs="Times New Roman"/>
          <w:b/>
          <w:sz w:val="24"/>
          <w:szCs w:val="24"/>
        </w:rPr>
      </w:pPr>
    </w:p>
    <w:p w14:paraId="257CB98B" w14:textId="3BFECC77" w:rsidR="009A52A6" w:rsidRDefault="009A52A6" w:rsidP="00BD0A96">
      <w:pPr>
        <w:spacing w:line="240" w:lineRule="auto"/>
        <w:jc w:val="both"/>
        <w:rPr>
          <w:rFonts w:ascii="Times New Roman" w:hAnsi="Times New Roman" w:cs="Times New Roman"/>
          <w:b/>
          <w:sz w:val="24"/>
          <w:szCs w:val="24"/>
        </w:rPr>
      </w:pPr>
    </w:p>
    <w:p w14:paraId="4CBB6563" w14:textId="6556535D" w:rsidR="009A52A6" w:rsidRDefault="009A52A6" w:rsidP="00BD0A96">
      <w:pPr>
        <w:spacing w:line="240" w:lineRule="auto"/>
        <w:jc w:val="both"/>
        <w:rPr>
          <w:rFonts w:ascii="Times New Roman" w:hAnsi="Times New Roman" w:cs="Times New Roman"/>
          <w:b/>
          <w:sz w:val="24"/>
          <w:szCs w:val="24"/>
        </w:rPr>
      </w:pPr>
    </w:p>
    <w:p w14:paraId="3BC8FE09" w14:textId="118A9BD4" w:rsidR="009A52A6" w:rsidRDefault="009A52A6" w:rsidP="00BD0A96">
      <w:pPr>
        <w:spacing w:line="240" w:lineRule="auto"/>
        <w:jc w:val="both"/>
        <w:rPr>
          <w:rFonts w:ascii="Times New Roman" w:hAnsi="Times New Roman" w:cs="Times New Roman"/>
          <w:b/>
          <w:sz w:val="24"/>
          <w:szCs w:val="24"/>
        </w:rPr>
      </w:pPr>
    </w:p>
    <w:p w14:paraId="0D88C732" w14:textId="58E3DC46" w:rsidR="009A52A6" w:rsidRDefault="009A52A6" w:rsidP="00BD0A96">
      <w:pPr>
        <w:spacing w:line="240" w:lineRule="auto"/>
        <w:jc w:val="both"/>
        <w:rPr>
          <w:rFonts w:ascii="Times New Roman" w:hAnsi="Times New Roman" w:cs="Times New Roman"/>
          <w:b/>
          <w:sz w:val="24"/>
          <w:szCs w:val="24"/>
        </w:rPr>
      </w:pPr>
    </w:p>
    <w:p w14:paraId="3886552D" w14:textId="744EEB14" w:rsidR="009A52A6" w:rsidRDefault="009A52A6" w:rsidP="00BD0A96">
      <w:pPr>
        <w:spacing w:line="240" w:lineRule="auto"/>
        <w:jc w:val="both"/>
        <w:rPr>
          <w:rFonts w:ascii="Times New Roman" w:hAnsi="Times New Roman" w:cs="Times New Roman"/>
          <w:b/>
          <w:sz w:val="24"/>
          <w:szCs w:val="24"/>
        </w:rPr>
      </w:pPr>
    </w:p>
    <w:p w14:paraId="129D56E7" w14:textId="77777777" w:rsidR="009A52A6" w:rsidRPr="00A31F09" w:rsidRDefault="009A52A6" w:rsidP="00BD0A96">
      <w:pPr>
        <w:spacing w:line="240" w:lineRule="auto"/>
        <w:jc w:val="both"/>
        <w:rPr>
          <w:rFonts w:ascii="Times New Roman" w:hAnsi="Times New Roman" w:cs="Times New Roman"/>
          <w:b/>
          <w:sz w:val="24"/>
          <w:szCs w:val="24"/>
        </w:rPr>
      </w:pPr>
    </w:p>
    <w:sectPr w:rsidR="009A52A6" w:rsidRPr="00A31F0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7E104" w14:textId="77777777" w:rsidR="00E36C5D" w:rsidRDefault="00E36C5D" w:rsidP="006A68E2">
      <w:pPr>
        <w:spacing w:after="0" w:line="240" w:lineRule="auto"/>
      </w:pPr>
      <w:r>
        <w:separator/>
      </w:r>
    </w:p>
  </w:endnote>
  <w:endnote w:type="continuationSeparator" w:id="0">
    <w:p w14:paraId="19A6738A" w14:textId="77777777" w:rsidR="00E36C5D" w:rsidRDefault="00E36C5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charset w:val="00"/>
    <w:family w:val="roman"/>
    <w:pitch w:val="variable"/>
    <w:sig w:usb0="00000007" w:usb1="00000000"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8EF897B" w14:textId="21899D11" w:rsidR="0073351C" w:rsidRDefault="0073351C">
        <w:pPr>
          <w:pStyle w:val="Footer"/>
          <w:jc w:val="center"/>
        </w:pPr>
        <w:r>
          <w:fldChar w:fldCharType="begin"/>
        </w:r>
        <w:r>
          <w:instrText xml:space="preserve"> PAGE   \* MERGEFORMAT </w:instrText>
        </w:r>
        <w:r>
          <w:fldChar w:fldCharType="separate"/>
        </w:r>
        <w:r w:rsidR="00E034F2">
          <w:rPr>
            <w:noProof/>
          </w:rPr>
          <w:t>7</w:t>
        </w:r>
        <w:r>
          <w:rPr>
            <w:noProof/>
          </w:rPr>
          <w:fldChar w:fldCharType="end"/>
        </w:r>
      </w:p>
    </w:sdtContent>
  </w:sdt>
  <w:p w14:paraId="287A0043" w14:textId="77777777" w:rsidR="0073351C" w:rsidRDefault="007335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E3FA" w14:textId="77777777" w:rsidR="00E36C5D" w:rsidRDefault="00E36C5D" w:rsidP="006A68E2">
      <w:pPr>
        <w:spacing w:after="0" w:line="240" w:lineRule="auto"/>
      </w:pPr>
      <w:r>
        <w:separator/>
      </w:r>
    </w:p>
  </w:footnote>
  <w:footnote w:type="continuationSeparator" w:id="0">
    <w:p w14:paraId="54842153" w14:textId="77777777" w:rsidR="00E36C5D" w:rsidRDefault="00E36C5D"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85F"/>
    <w:multiLevelType w:val="hybridMultilevel"/>
    <w:tmpl w:val="2EC0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733"/>
    <w:multiLevelType w:val="hybridMultilevel"/>
    <w:tmpl w:val="B61280C2"/>
    <w:lvl w:ilvl="0" w:tplc="F236A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71425"/>
    <w:multiLevelType w:val="hybridMultilevel"/>
    <w:tmpl w:val="15F018CA"/>
    <w:lvl w:ilvl="0" w:tplc="8682D3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5" w15:restartNumberingAfterBreak="0">
    <w:nsid w:val="172F097C"/>
    <w:multiLevelType w:val="hybridMultilevel"/>
    <w:tmpl w:val="5EBCDD90"/>
    <w:lvl w:ilvl="0" w:tplc="1EB2E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82DAF"/>
    <w:multiLevelType w:val="hybridMultilevel"/>
    <w:tmpl w:val="A2C032CE"/>
    <w:lvl w:ilvl="0" w:tplc="6D7477BA">
      <w:start w:val="1"/>
      <w:numFmt w:val="lowerRoman"/>
      <w:lvlText w:val="(%1)"/>
      <w:lvlJc w:val="left"/>
      <w:pPr>
        <w:ind w:left="4590" w:hanging="72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 w15:restartNumberingAfterBreak="0">
    <w:nsid w:val="1E351D32"/>
    <w:multiLevelType w:val="hybridMultilevel"/>
    <w:tmpl w:val="4CE6A6F6"/>
    <w:lvl w:ilvl="0" w:tplc="DA9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A81740"/>
    <w:multiLevelType w:val="hybridMultilevel"/>
    <w:tmpl w:val="6AB29A6E"/>
    <w:lvl w:ilvl="0" w:tplc="506EF3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7646BD"/>
    <w:multiLevelType w:val="hybridMultilevel"/>
    <w:tmpl w:val="21181EBC"/>
    <w:lvl w:ilvl="0" w:tplc="04090017">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6E3D83"/>
    <w:multiLevelType w:val="hybridMultilevel"/>
    <w:tmpl w:val="1E6A3B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814709"/>
    <w:multiLevelType w:val="hybridMultilevel"/>
    <w:tmpl w:val="A8B484FA"/>
    <w:lvl w:ilvl="0" w:tplc="D6A2A2A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87689"/>
    <w:multiLevelType w:val="hybridMultilevel"/>
    <w:tmpl w:val="F8F20050"/>
    <w:lvl w:ilvl="0" w:tplc="1012BDB2">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2B94766D"/>
    <w:multiLevelType w:val="hybridMultilevel"/>
    <w:tmpl w:val="02C24DFC"/>
    <w:lvl w:ilvl="0" w:tplc="D3EA4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542D2"/>
    <w:multiLevelType w:val="multilevel"/>
    <w:tmpl w:val="1CC89892"/>
    <w:numStyleLink w:val="Judgments"/>
  </w:abstractNum>
  <w:abstractNum w:abstractNumId="1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8" w15:restartNumberingAfterBreak="0">
    <w:nsid w:val="31513F81"/>
    <w:multiLevelType w:val="hybridMultilevel"/>
    <w:tmpl w:val="FAAADCA8"/>
    <w:lvl w:ilvl="0" w:tplc="C03424E0">
      <w:start w:val="1"/>
      <w:numFmt w:val="lowerLetter"/>
      <w:pStyle w:val="heldsletters"/>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7F62473"/>
    <w:multiLevelType w:val="hybridMultilevel"/>
    <w:tmpl w:val="93A219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14214"/>
    <w:multiLevelType w:val="hybridMultilevel"/>
    <w:tmpl w:val="F06CFC1E"/>
    <w:lvl w:ilvl="0" w:tplc="384E7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B2773B"/>
    <w:multiLevelType w:val="hybridMultilevel"/>
    <w:tmpl w:val="A41A0B6E"/>
    <w:lvl w:ilvl="0" w:tplc="2DE2C1D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DE2C1D4">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C016A"/>
    <w:multiLevelType w:val="hybridMultilevel"/>
    <w:tmpl w:val="A8B484FA"/>
    <w:lvl w:ilvl="0" w:tplc="D6A2A2A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07C1A"/>
    <w:multiLevelType w:val="hybridMultilevel"/>
    <w:tmpl w:val="9586E25E"/>
    <w:lvl w:ilvl="0" w:tplc="484AC2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C1B07"/>
    <w:multiLevelType w:val="hybridMultilevel"/>
    <w:tmpl w:val="68421A82"/>
    <w:lvl w:ilvl="0" w:tplc="C00E6DAA">
      <w:start w:val="1"/>
      <w:numFmt w:val="bullet"/>
      <w:lvlText w:val="®"/>
      <w:lvlJc w:val="left"/>
      <w:pPr>
        <w:ind w:left="1440" w:hanging="360"/>
      </w:pPr>
      <w:rPr>
        <w:rFonts w:ascii="Symbol" w:hAnsi="Symbol" w:hint="default"/>
      </w:rPr>
    </w:lvl>
    <w:lvl w:ilvl="1" w:tplc="C00E6DA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B4F57"/>
    <w:multiLevelType w:val="multilevel"/>
    <w:tmpl w:val="0304F5A6"/>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29" w15:restartNumberingAfterBreak="0">
    <w:nsid w:val="63A15A2D"/>
    <w:multiLevelType w:val="hybridMultilevel"/>
    <w:tmpl w:val="DEC8588C"/>
    <w:lvl w:ilvl="0" w:tplc="445C0492">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E364AEA"/>
    <w:multiLevelType w:val="hybridMultilevel"/>
    <w:tmpl w:val="6FD02252"/>
    <w:lvl w:ilvl="0" w:tplc="567C58FC">
      <w:start w:val="1"/>
      <w:numFmt w:val="lowerLetter"/>
      <w:pStyle w:val="Numbered"/>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265164"/>
    <w:multiLevelType w:val="hybridMultilevel"/>
    <w:tmpl w:val="68A85E3E"/>
    <w:lvl w:ilvl="0" w:tplc="DF704E6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01D5E"/>
    <w:multiLevelType w:val="hybridMultilevel"/>
    <w:tmpl w:val="389AC0CE"/>
    <w:lvl w:ilvl="0" w:tplc="99BA1BF0">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4" w15:restartNumberingAfterBreak="0">
    <w:nsid w:val="7E211BE5"/>
    <w:multiLevelType w:val="hybridMultilevel"/>
    <w:tmpl w:val="708C3EEA"/>
    <w:lvl w:ilvl="0" w:tplc="E382A5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1"/>
  </w:num>
  <w:num w:numId="3">
    <w:abstractNumId w:val="21"/>
  </w:num>
  <w:num w:numId="4">
    <w:abstractNumId w:val="17"/>
  </w:num>
  <w:num w:numId="5">
    <w:abstractNumId w:val="1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31"/>
  </w:num>
  <w:num w:numId="7">
    <w:abstractNumId w:val="9"/>
  </w:num>
  <w:num w:numId="8">
    <w:abstractNumId w:val="23"/>
  </w:num>
  <w:num w:numId="9">
    <w:abstractNumId w:val="3"/>
  </w:num>
  <w:num w:numId="10">
    <w:abstractNumId w:val="23"/>
  </w:num>
  <w:num w:numId="11">
    <w:abstractNumId w:val="23"/>
  </w:num>
  <w:num w:numId="12">
    <w:abstractNumId w:val="16"/>
    <w:lvlOverride w:ilvl="0">
      <w:lvl w:ilvl="0">
        <w:start w:val="1"/>
        <w:numFmt w:val="decimal"/>
        <w:pStyle w:val="JudgmentText"/>
        <w:lvlText w:val="[%1]"/>
        <w:lvlJc w:val="left"/>
        <w:pPr>
          <w:ind w:left="10080" w:hanging="720"/>
        </w:pPr>
        <w:rPr>
          <w:rFonts w:ascii="Times New Roman" w:hAnsi="Times New Roman" w:hint="default"/>
          <w:i w:val="0"/>
          <w:sz w:val="24"/>
        </w:rPr>
      </w:lvl>
    </w:lvlOverride>
    <w:lvlOverride w:ilvl="1">
      <w:lvl w:ilvl="1">
        <w:start w:val="1"/>
        <w:numFmt w:val="lowerLetter"/>
        <w:lvlText w:val="%2."/>
        <w:lvlJc w:val="left"/>
        <w:pPr>
          <w:ind w:left="10800" w:hanging="720"/>
        </w:pPr>
        <w:rPr>
          <w:rFonts w:hint="default"/>
        </w:rPr>
      </w:lvl>
    </w:lvlOverride>
    <w:lvlOverride w:ilvl="2">
      <w:lvl w:ilvl="2">
        <w:start w:val="1"/>
        <w:numFmt w:val="lowerRoman"/>
        <w:lvlText w:val="%3."/>
        <w:lvlJc w:val="right"/>
        <w:pPr>
          <w:ind w:left="11520" w:hanging="720"/>
        </w:pPr>
        <w:rPr>
          <w:rFonts w:hint="default"/>
        </w:rPr>
      </w:lvl>
    </w:lvlOverride>
    <w:lvlOverride w:ilvl="3">
      <w:lvl w:ilvl="3">
        <w:start w:val="1"/>
        <w:numFmt w:val="decimal"/>
        <w:lvlText w:val="%4."/>
        <w:lvlJc w:val="left"/>
        <w:pPr>
          <w:ind w:left="12240" w:hanging="720"/>
        </w:pPr>
        <w:rPr>
          <w:rFonts w:hint="default"/>
        </w:rPr>
      </w:lvl>
    </w:lvlOverride>
    <w:lvlOverride w:ilvl="4">
      <w:lvl w:ilvl="4">
        <w:start w:val="1"/>
        <w:numFmt w:val="lowerLetter"/>
        <w:lvlText w:val="%5."/>
        <w:lvlJc w:val="left"/>
        <w:pPr>
          <w:ind w:left="12960" w:hanging="720"/>
        </w:pPr>
        <w:rPr>
          <w:rFonts w:hint="default"/>
        </w:rPr>
      </w:lvl>
    </w:lvlOverride>
    <w:lvlOverride w:ilvl="5">
      <w:lvl w:ilvl="5">
        <w:start w:val="1"/>
        <w:numFmt w:val="lowerRoman"/>
        <w:lvlText w:val="%6."/>
        <w:lvlJc w:val="right"/>
        <w:pPr>
          <w:ind w:left="13680" w:hanging="720"/>
        </w:pPr>
        <w:rPr>
          <w:rFonts w:hint="default"/>
        </w:rPr>
      </w:lvl>
    </w:lvlOverride>
    <w:lvlOverride w:ilvl="6">
      <w:lvl w:ilvl="6">
        <w:start w:val="1"/>
        <w:numFmt w:val="decimal"/>
        <w:lvlText w:val="%7."/>
        <w:lvlJc w:val="left"/>
        <w:pPr>
          <w:ind w:left="14400" w:hanging="720"/>
        </w:pPr>
        <w:rPr>
          <w:rFonts w:hint="default"/>
        </w:rPr>
      </w:lvl>
    </w:lvlOverride>
    <w:lvlOverride w:ilvl="7">
      <w:lvl w:ilvl="7">
        <w:start w:val="1"/>
        <w:numFmt w:val="lowerLetter"/>
        <w:lvlText w:val="%8."/>
        <w:lvlJc w:val="left"/>
        <w:pPr>
          <w:ind w:left="15120" w:hanging="720"/>
        </w:pPr>
        <w:rPr>
          <w:rFonts w:hint="default"/>
        </w:rPr>
      </w:lvl>
    </w:lvlOverride>
    <w:lvlOverride w:ilvl="8">
      <w:lvl w:ilvl="8">
        <w:start w:val="1"/>
        <w:numFmt w:val="lowerRoman"/>
        <w:lvlText w:val="%9."/>
        <w:lvlJc w:val="right"/>
        <w:pPr>
          <w:ind w:left="15840" w:hanging="720"/>
        </w:pPr>
        <w:rPr>
          <w:rFonts w:hint="default"/>
        </w:rPr>
      </w:lvl>
    </w:lvlOverride>
  </w:num>
  <w:num w:numId="13">
    <w:abstractNumId w:val="16"/>
  </w:num>
  <w:num w:numId="14">
    <w:abstractNumId w:val="16"/>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Override>
  </w:num>
  <w:num w:numId="15">
    <w:abstractNumId w:val="7"/>
  </w:num>
  <w:num w:numId="16">
    <w:abstractNumId w:val="32"/>
  </w:num>
  <w:num w:numId="17">
    <w:abstractNumId w:val="16"/>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18">
    <w:abstractNumId w:val="5"/>
  </w:num>
  <w:num w:numId="19">
    <w:abstractNumId w:val="1"/>
  </w:num>
  <w:num w:numId="20">
    <w:abstractNumId w:val="22"/>
  </w:num>
  <w:num w:numId="21">
    <w:abstractNumId w:val="26"/>
  </w:num>
  <w:num w:numId="22">
    <w:abstractNumId w:val="25"/>
  </w:num>
  <w:num w:numId="23">
    <w:abstractNumId w:val="4"/>
  </w:num>
  <w:num w:numId="24">
    <w:abstractNumId w:val="30"/>
  </w:num>
  <w:num w:numId="25">
    <w:abstractNumId w:val="18"/>
  </w:num>
  <w:num w:numId="26">
    <w:abstractNumId w:val="1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27">
    <w:abstractNumId w:val="25"/>
    <w:lvlOverride w:ilvl="0">
      <w:startOverride w:val="1"/>
    </w:lvlOverride>
  </w:num>
  <w:num w:numId="28">
    <w:abstractNumId w:val="8"/>
  </w:num>
  <w:num w:numId="29">
    <w:abstractNumId w:val="25"/>
    <w:lvlOverride w:ilvl="0">
      <w:startOverride w:val="1"/>
    </w:lvlOverride>
  </w:num>
  <w:num w:numId="30">
    <w:abstractNumId w:val="13"/>
  </w:num>
  <w:num w:numId="31">
    <w:abstractNumId w:val="14"/>
  </w:num>
  <w:num w:numId="32">
    <w:abstractNumId w:val="10"/>
  </w:num>
  <w:num w:numId="33">
    <w:abstractNumId w:val="2"/>
  </w:num>
  <w:num w:numId="34">
    <w:abstractNumId w:val="15"/>
  </w:num>
  <w:num w:numId="35">
    <w:abstractNumId w:val="12"/>
  </w:num>
  <w:num w:numId="36">
    <w:abstractNumId w:val="34"/>
  </w:num>
  <w:num w:numId="37">
    <w:abstractNumId w:val="29"/>
  </w:num>
  <w:num w:numId="38">
    <w:abstractNumId w:val="27"/>
  </w:num>
  <w:num w:numId="39">
    <w:abstractNumId w:val="24"/>
  </w:num>
  <w:num w:numId="40">
    <w:abstractNumId w:val="6"/>
  </w:num>
  <w:num w:numId="41">
    <w:abstractNumId w:val="19"/>
  </w:num>
  <w:num w:numId="42">
    <w:abstractNumId w:val="1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3">
    <w:abstractNumId w:val="0"/>
  </w:num>
  <w:num w:numId="44">
    <w:abstractNumId w:val="3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CkqbmhmZmBiZmhko6SsGpxcWZ+XkgBea1ANQ3+2ssAAAA"/>
  </w:docVars>
  <w:rsids>
    <w:rsidRoot w:val="00833008"/>
    <w:rsid w:val="00000C3B"/>
    <w:rsid w:val="00010EEE"/>
    <w:rsid w:val="00025CDF"/>
    <w:rsid w:val="00040193"/>
    <w:rsid w:val="000525E6"/>
    <w:rsid w:val="00071B84"/>
    <w:rsid w:val="0008560D"/>
    <w:rsid w:val="0009242F"/>
    <w:rsid w:val="00097D19"/>
    <w:rsid w:val="000A3454"/>
    <w:rsid w:val="000B3F48"/>
    <w:rsid w:val="001135C2"/>
    <w:rsid w:val="00127C94"/>
    <w:rsid w:val="001428B9"/>
    <w:rsid w:val="00150C9C"/>
    <w:rsid w:val="001723B1"/>
    <w:rsid w:val="001759BE"/>
    <w:rsid w:val="001843B7"/>
    <w:rsid w:val="001A45FD"/>
    <w:rsid w:val="001C78EC"/>
    <w:rsid w:val="001D33D2"/>
    <w:rsid w:val="001F4EDC"/>
    <w:rsid w:val="002015F8"/>
    <w:rsid w:val="00212006"/>
    <w:rsid w:val="0021402A"/>
    <w:rsid w:val="00214DB4"/>
    <w:rsid w:val="00235626"/>
    <w:rsid w:val="002376EE"/>
    <w:rsid w:val="00243AE1"/>
    <w:rsid w:val="00254ED2"/>
    <w:rsid w:val="00284D87"/>
    <w:rsid w:val="00294346"/>
    <w:rsid w:val="002A2251"/>
    <w:rsid w:val="002D27B5"/>
    <w:rsid w:val="002D4EB8"/>
    <w:rsid w:val="002E1195"/>
    <w:rsid w:val="002E2AE3"/>
    <w:rsid w:val="003137B8"/>
    <w:rsid w:val="00344425"/>
    <w:rsid w:val="00346D7F"/>
    <w:rsid w:val="003615E7"/>
    <w:rsid w:val="003635A5"/>
    <w:rsid w:val="00380619"/>
    <w:rsid w:val="003A6C9E"/>
    <w:rsid w:val="003E2B0D"/>
    <w:rsid w:val="003E2E94"/>
    <w:rsid w:val="00403F4C"/>
    <w:rsid w:val="00405958"/>
    <w:rsid w:val="00412994"/>
    <w:rsid w:val="00437595"/>
    <w:rsid w:val="00461D32"/>
    <w:rsid w:val="00463B4E"/>
    <w:rsid w:val="00472219"/>
    <w:rsid w:val="00487390"/>
    <w:rsid w:val="004A2599"/>
    <w:rsid w:val="004A4562"/>
    <w:rsid w:val="004C16E0"/>
    <w:rsid w:val="004D0A95"/>
    <w:rsid w:val="004D3E70"/>
    <w:rsid w:val="004D535D"/>
    <w:rsid w:val="004F25B1"/>
    <w:rsid w:val="00514691"/>
    <w:rsid w:val="00532127"/>
    <w:rsid w:val="00554065"/>
    <w:rsid w:val="00561ED5"/>
    <w:rsid w:val="0059742B"/>
    <w:rsid w:val="005A5FCB"/>
    <w:rsid w:val="005B12AA"/>
    <w:rsid w:val="005D6EAC"/>
    <w:rsid w:val="0061354A"/>
    <w:rsid w:val="00624368"/>
    <w:rsid w:val="00635504"/>
    <w:rsid w:val="00652326"/>
    <w:rsid w:val="00662CEA"/>
    <w:rsid w:val="00672A56"/>
    <w:rsid w:val="006A68E2"/>
    <w:rsid w:val="006D1D50"/>
    <w:rsid w:val="0070371E"/>
    <w:rsid w:val="00706545"/>
    <w:rsid w:val="00711054"/>
    <w:rsid w:val="00714FC6"/>
    <w:rsid w:val="00722761"/>
    <w:rsid w:val="00726493"/>
    <w:rsid w:val="0073351C"/>
    <w:rsid w:val="0076617C"/>
    <w:rsid w:val="00796B89"/>
    <w:rsid w:val="007A5D96"/>
    <w:rsid w:val="007D25FE"/>
    <w:rsid w:val="007F40E2"/>
    <w:rsid w:val="008001C8"/>
    <w:rsid w:val="008222F3"/>
    <w:rsid w:val="00833008"/>
    <w:rsid w:val="008452E4"/>
    <w:rsid w:val="008577B7"/>
    <w:rsid w:val="0086676C"/>
    <w:rsid w:val="008827B1"/>
    <w:rsid w:val="008E771B"/>
    <w:rsid w:val="0091126D"/>
    <w:rsid w:val="009338D9"/>
    <w:rsid w:val="00942DC4"/>
    <w:rsid w:val="009539C2"/>
    <w:rsid w:val="00983653"/>
    <w:rsid w:val="009A52A6"/>
    <w:rsid w:val="009A769C"/>
    <w:rsid w:val="009B495E"/>
    <w:rsid w:val="009F125D"/>
    <w:rsid w:val="00A149E2"/>
    <w:rsid w:val="00A2058F"/>
    <w:rsid w:val="00A31F09"/>
    <w:rsid w:val="00A51C67"/>
    <w:rsid w:val="00A52A53"/>
    <w:rsid w:val="00A53732"/>
    <w:rsid w:val="00A605D1"/>
    <w:rsid w:val="00A66B23"/>
    <w:rsid w:val="00A77323"/>
    <w:rsid w:val="00AA791F"/>
    <w:rsid w:val="00AB0B41"/>
    <w:rsid w:val="00AB59FC"/>
    <w:rsid w:val="00AC4326"/>
    <w:rsid w:val="00AC543A"/>
    <w:rsid w:val="00AD5055"/>
    <w:rsid w:val="00AD5FCA"/>
    <w:rsid w:val="00AE4B14"/>
    <w:rsid w:val="00AF1E9E"/>
    <w:rsid w:val="00B0103F"/>
    <w:rsid w:val="00B03209"/>
    <w:rsid w:val="00B26289"/>
    <w:rsid w:val="00B637E5"/>
    <w:rsid w:val="00B808DF"/>
    <w:rsid w:val="00B950DF"/>
    <w:rsid w:val="00BB1A3E"/>
    <w:rsid w:val="00BC02B0"/>
    <w:rsid w:val="00BC73B1"/>
    <w:rsid w:val="00BD0A96"/>
    <w:rsid w:val="00BF2E80"/>
    <w:rsid w:val="00C11CCC"/>
    <w:rsid w:val="00C1622F"/>
    <w:rsid w:val="00C2466E"/>
    <w:rsid w:val="00C75680"/>
    <w:rsid w:val="00C75FBE"/>
    <w:rsid w:val="00C76943"/>
    <w:rsid w:val="00C81967"/>
    <w:rsid w:val="00C91564"/>
    <w:rsid w:val="00CB2F8A"/>
    <w:rsid w:val="00CC437E"/>
    <w:rsid w:val="00CD09C7"/>
    <w:rsid w:val="00CD16D4"/>
    <w:rsid w:val="00D17059"/>
    <w:rsid w:val="00D17DAD"/>
    <w:rsid w:val="00D31F1B"/>
    <w:rsid w:val="00D33252"/>
    <w:rsid w:val="00D33DBF"/>
    <w:rsid w:val="00D6074F"/>
    <w:rsid w:val="00D61F16"/>
    <w:rsid w:val="00D710E7"/>
    <w:rsid w:val="00D8144F"/>
    <w:rsid w:val="00DA328C"/>
    <w:rsid w:val="00DD2C71"/>
    <w:rsid w:val="00DF2899"/>
    <w:rsid w:val="00DF6003"/>
    <w:rsid w:val="00E034F2"/>
    <w:rsid w:val="00E057E0"/>
    <w:rsid w:val="00E1659A"/>
    <w:rsid w:val="00E36C5D"/>
    <w:rsid w:val="00E43A3A"/>
    <w:rsid w:val="00E60F5B"/>
    <w:rsid w:val="00E74611"/>
    <w:rsid w:val="00E85421"/>
    <w:rsid w:val="00E9101C"/>
    <w:rsid w:val="00ED0BFC"/>
    <w:rsid w:val="00EE206D"/>
    <w:rsid w:val="00EF13E2"/>
    <w:rsid w:val="00EF7EDD"/>
    <w:rsid w:val="00F33B83"/>
    <w:rsid w:val="00FB0EEE"/>
    <w:rsid w:val="00FB6B6D"/>
    <w:rsid w:val="00FC5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55AC9"/>
  <w15:docId w15:val="{534A4F3D-12BC-45C8-B69E-050844AD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33008"/>
    <w:pPr>
      <w:spacing w:before="100" w:beforeAutospacing="1" w:after="100" w:afterAutospacing="1" w:line="240" w:lineRule="auto"/>
      <w:outlineLvl w:val="0"/>
    </w:pPr>
    <w:rPr>
      <w:rFonts w:ascii="Times New Roman" w:eastAsia="Times New Roman" w:hAnsi="Times New Roman" w:cs="Times New Roman"/>
      <w:b/>
      <w:bCs/>
      <w:caps/>
      <w:kern w:val="36"/>
      <w:szCs w:val="48"/>
      <w:lang w:val="en-US"/>
    </w:rPr>
  </w:style>
  <w:style w:type="paragraph" w:styleId="Heading2">
    <w:name w:val="heading 2"/>
    <w:basedOn w:val="Normal"/>
    <w:next w:val="Normal"/>
    <w:link w:val="Heading2Char"/>
    <w:uiPriority w:val="9"/>
    <w:unhideWhenUsed/>
    <w:qFormat/>
    <w:rsid w:val="00833008"/>
    <w:pPr>
      <w:spacing w:before="120" w:after="280"/>
      <w:outlineLvl w:val="1"/>
    </w:pPr>
    <w:rPr>
      <w:rFonts w:ascii="Times New Roman" w:hAnsi="Times New Roman" w:cs="Times New Roman"/>
      <w:b/>
      <w:sz w:val="24"/>
      <w:lang w:val="en-US"/>
    </w:rPr>
  </w:style>
  <w:style w:type="paragraph" w:styleId="Heading3">
    <w:name w:val="heading 3"/>
    <w:basedOn w:val="Normal"/>
    <w:next w:val="Normal"/>
    <w:link w:val="Heading3Char"/>
    <w:uiPriority w:val="9"/>
    <w:unhideWhenUsed/>
    <w:qFormat/>
    <w:rsid w:val="00833008"/>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Heading3"/>
    <w:next w:val="Normal"/>
    <w:link w:val="Heading4Char"/>
    <w:uiPriority w:val="9"/>
    <w:unhideWhenUsed/>
    <w:rsid w:val="00833008"/>
    <w:pPr>
      <w:keepNext w:val="0"/>
      <w:keepLines w:val="0"/>
      <w:spacing w:before="240" w:after="120"/>
      <w:ind w:firstLine="360"/>
      <w:outlineLvl w:val="3"/>
    </w:pPr>
    <w:rPr>
      <w:rFonts w:ascii="Times New Roman" w:eastAsiaTheme="minorHAnsi" w:hAnsi="Times New Roman" w:cs="Times New Roman"/>
      <w: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33008"/>
    <w:rPr>
      <w:rFonts w:ascii="Times New Roman" w:eastAsia="Times New Roman" w:hAnsi="Times New Roman" w:cs="Times New Roman"/>
      <w:b/>
      <w:bCs/>
      <w:caps/>
      <w:kern w:val="36"/>
      <w:szCs w:val="48"/>
    </w:rPr>
  </w:style>
  <w:style w:type="character" w:customStyle="1" w:styleId="Heading2Char">
    <w:name w:val="Heading 2 Char"/>
    <w:basedOn w:val="DefaultParagraphFont"/>
    <w:link w:val="Heading2"/>
    <w:uiPriority w:val="9"/>
    <w:rsid w:val="00833008"/>
    <w:rPr>
      <w:rFonts w:ascii="Times New Roman" w:hAnsi="Times New Roman" w:cs="Times New Roman"/>
      <w:b/>
      <w:sz w:val="24"/>
    </w:rPr>
  </w:style>
  <w:style w:type="character" w:customStyle="1" w:styleId="Heading3Char">
    <w:name w:val="Heading 3 Char"/>
    <w:basedOn w:val="DefaultParagraphFont"/>
    <w:link w:val="Heading3"/>
    <w:uiPriority w:val="9"/>
    <w:rsid w:val="008330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33008"/>
    <w:rPr>
      <w:rFonts w:ascii="Times New Roman" w:hAnsi="Times New Roman" w:cs="Times New Roman"/>
      <w:i/>
      <w:sz w:val="24"/>
    </w:rPr>
  </w:style>
  <w:style w:type="character" w:styleId="Emphasis">
    <w:name w:val="Emphasis"/>
    <w:basedOn w:val="DefaultParagraphFont"/>
    <w:uiPriority w:val="20"/>
    <w:qFormat/>
    <w:rsid w:val="00833008"/>
    <w:rPr>
      <w:i/>
      <w:iCs/>
    </w:rPr>
  </w:style>
  <w:style w:type="paragraph" w:customStyle="1" w:styleId="estatutes-1-section">
    <w:name w:val="estatutes-1-section"/>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833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008"/>
    <w:rPr>
      <w:sz w:val="20"/>
      <w:szCs w:val="20"/>
      <w:lang w:val="en-GB"/>
    </w:rPr>
  </w:style>
  <w:style w:type="character" w:styleId="FootnoteReference">
    <w:name w:val="footnote reference"/>
    <w:basedOn w:val="DefaultParagraphFont"/>
    <w:uiPriority w:val="99"/>
    <w:semiHidden/>
    <w:unhideWhenUsed/>
    <w:rsid w:val="00833008"/>
    <w:rPr>
      <w:vertAlign w:val="superscript"/>
    </w:rPr>
  </w:style>
  <w:style w:type="character" w:customStyle="1" w:styleId="apple-converted-space">
    <w:name w:val="apple-converted-space"/>
    <w:basedOn w:val="DefaultParagraphFont"/>
    <w:rsid w:val="00833008"/>
  </w:style>
  <w:style w:type="paragraph" w:styleId="EndnoteText">
    <w:name w:val="endnote text"/>
    <w:basedOn w:val="Normal"/>
    <w:link w:val="EndnoteTextChar"/>
    <w:uiPriority w:val="99"/>
    <w:semiHidden/>
    <w:unhideWhenUsed/>
    <w:rsid w:val="0083300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833008"/>
    <w:rPr>
      <w:sz w:val="20"/>
      <w:szCs w:val="20"/>
    </w:rPr>
  </w:style>
  <w:style w:type="character" w:styleId="EndnoteReference">
    <w:name w:val="endnote reference"/>
    <w:basedOn w:val="DefaultParagraphFont"/>
    <w:uiPriority w:val="99"/>
    <w:semiHidden/>
    <w:unhideWhenUsed/>
    <w:rsid w:val="00833008"/>
    <w:rPr>
      <w:vertAlign w:val="superscript"/>
    </w:rPr>
  </w:style>
  <w:style w:type="paragraph" w:styleId="NoSpacing">
    <w:name w:val="No Spacing"/>
    <w:uiPriority w:val="1"/>
    <w:qFormat/>
    <w:rsid w:val="00833008"/>
    <w:pPr>
      <w:spacing w:after="0" w:line="240" w:lineRule="auto"/>
    </w:pPr>
    <w:rPr>
      <w:rFonts w:ascii="Times New Roman" w:hAnsi="Times New Roman"/>
    </w:rPr>
  </w:style>
  <w:style w:type="paragraph" w:styleId="Quote">
    <w:name w:val="Quote"/>
    <w:basedOn w:val="Normal"/>
    <w:next w:val="Normal"/>
    <w:link w:val="QuoteChar"/>
    <w:uiPriority w:val="29"/>
    <w:qFormat/>
    <w:rsid w:val="00833008"/>
    <w:pPr>
      <w:spacing w:before="200" w:after="280"/>
      <w:ind w:left="864" w:right="864"/>
      <w:jc w:val="both"/>
    </w:pPr>
    <w:rPr>
      <w:rFonts w:ascii="Times New Roman" w:hAnsi="Times New Roman"/>
      <w:iCs/>
      <w:lang w:val="en-US"/>
    </w:rPr>
  </w:style>
  <w:style w:type="character" w:customStyle="1" w:styleId="QuoteChar">
    <w:name w:val="Quote Char"/>
    <w:basedOn w:val="DefaultParagraphFont"/>
    <w:link w:val="Quote"/>
    <w:uiPriority w:val="29"/>
    <w:rsid w:val="00833008"/>
    <w:rPr>
      <w:rFonts w:ascii="Times New Roman" w:hAnsi="Times New Roman"/>
      <w:iCs/>
    </w:rPr>
  </w:style>
  <w:style w:type="paragraph" w:customStyle="1" w:styleId="Casenames">
    <w:name w:val="Case names"/>
    <w:basedOn w:val="Normal"/>
    <w:link w:val="CasenamesChar"/>
    <w:autoRedefine/>
    <w:qFormat/>
    <w:rsid w:val="00833008"/>
    <w:pPr>
      <w:spacing w:before="60" w:after="0" w:line="276" w:lineRule="auto"/>
      <w:ind w:left="357" w:right="198"/>
      <w:outlineLvl w:val="8"/>
    </w:pPr>
    <w:rPr>
      <w:rFonts w:ascii="Times New Roman" w:eastAsia="SimSun" w:hAnsi="Times New Roman" w:cs="Times New Roman"/>
      <w:i/>
      <w:iCs/>
      <w:sz w:val="19"/>
      <w:szCs w:val="21"/>
      <w:lang w:eastAsia="zh-CN"/>
    </w:rPr>
  </w:style>
  <w:style w:type="character" w:customStyle="1" w:styleId="CasenamesChar">
    <w:name w:val="Case names Char"/>
    <w:basedOn w:val="DefaultParagraphFont"/>
    <w:link w:val="Casenames"/>
    <w:rsid w:val="00833008"/>
    <w:rPr>
      <w:rFonts w:ascii="Times New Roman" w:eastAsia="SimSun" w:hAnsi="Times New Roman" w:cs="Times New Roman"/>
      <w:i/>
      <w:iCs/>
      <w:sz w:val="19"/>
      <w:szCs w:val="21"/>
      <w:lang w:val="en-GB" w:eastAsia="zh-CN"/>
    </w:rPr>
  </w:style>
  <w:style w:type="paragraph" w:customStyle="1" w:styleId="helds">
    <w:name w:val="helds"/>
    <w:basedOn w:val="Normal"/>
    <w:link w:val="heldsChar"/>
    <w:qFormat/>
    <w:rsid w:val="00833008"/>
    <w:pPr>
      <w:numPr>
        <w:numId w:val="23"/>
      </w:numPr>
      <w:spacing w:before="60" w:after="0" w:line="276" w:lineRule="auto"/>
      <w:jc w:val="both"/>
    </w:pPr>
    <w:rPr>
      <w:rFonts w:ascii="Times New Roman" w:eastAsia="Times New Roman" w:hAnsi="Times New Roman" w:cs="Times New Roman"/>
      <w:sz w:val="21"/>
      <w:lang w:val="en-NZ" w:eastAsia="en-GB"/>
    </w:rPr>
  </w:style>
  <w:style w:type="character" w:customStyle="1" w:styleId="heldsChar">
    <w:name w:val="helds Char"/>
    <w:basedOn w:val="DefaultParagraphFont"/>
    <w:link w:val="helds"/>
    <w:rsid w:val="00833008"/>
    <w:rPr>
      <w:rFonts w:ascii="Times New Roman" w:eastAsia="Times New Roman" w:hAnsi="Times New Roman" w:cs="Times New Roman"/>
      <w:sz w:val="21"/>
      <w:lang w:val="en-NZ" w:eastAsia="en-GB"/>
    </w:rPr>
  </w:style>
  <w:style w:type="paragraph" w:customStyle="1" w:styleId="Smallheads">
    <w:name w:val="Small heads"/>
    <w:basedOn w:val="Normal"/>
    <w:link w:val="SmallheadsChar"/>
    <w:autoRedefine/>
    <w:qFormat/>
    <w:rsid w:val="00833008"/>
    <w:pPr>
      <w:keepLines/>
      <w:spacing w:before="240" w:after="0" w:line="240" w:lineRule="auto"/>
      <w:jc w:val="both"/>
    </w:pPr>
    <w:rPr>
      <w:rFonts w:ascii="Times New Roman" w:eastAsia="SimSun" w:hAnsi="Times New Roman" w:cs="Times New Roman"/>
      <w:b/>
      <w:bCs/>
      <w:sz w:val="20"/>
      <w:szCs w:val="24"/>
      <w:lang w:eastAsia="en-GB"/>
    </w:rPr>
  </w:style>
  <w:style w:type="character" w:customStyle="1" w:styleId="SmallheadsChar">
    <w:name w:val="Small heads Char"/>
    <w:basedOn w:val="DefaultParagraphFont"/>
    <w:link w:val="Smallheads"/>
    <w:rsid w:val="00833008"/>
    <w:rPr>
      <w:rFonts w:ascii="Times New Roman" w:eastAsia="SimSun" w:hAnsi="Times New Roman" w:cs="Times New Roman"/>
      <w:b/>
      <w:bCs/>
      <w:sz w:val="20"/>
      <w:szCs w:val="24"/>
      <w:lang w:val="en-GB" w:eastAsia="en-GB"/>
    </w:rPr>
  </w:style>
  <w:style w:type="paragraph" w:customStyle="1" w:styleId="heldsnonnumbered">
    <w:name w:val="helds non numbered"/>
    <w:basedOn w:val="helds"/>
    <w:link w:val="heldsnonnumberedChar"/>
    <w:qFormat/>
    <w:rsid w:val="00833008"/>
    <w:pPr>
      <w:numPr>
        <w:numId w:val="0"/>
      </w:numPr>
    </w:pPr>
    <w:rPr>
      <w:rFonts w:eastAsia="SimSun"/>
    </w:rPr>
  </w:style>
  <w:style w:type="character" w:customStyle="1" w:styleId="heldsnonnumberedChar">
    <w:name w:val="helds non numbered Char"/>
    <w:basedOn w:val="heldsChar"/>
    <w:link w:val="heldsnonnumbered"/>
    <w:rsid w:val="00833008"/>
    <w:rPr>
      <w:rFonts w:ascii="Times New Roman" w:eastAsia="SimSun" w:hAnsi="Times New Roman" w:cs="Times New Roman"/>
      <w:sz w:val="21"/>
      <w:lang w:val="en-NZ" w:eastAsia="en-GB"/>
    </w:rPr>
  </w:style>
  <w:style w:type="paragraph" w:customStyle="1" w:styleId="Numbered">
    <w:name w:val="Numbered"/>
    <w:basedOn w:val="helds"/>
    <w:qFormat/>
    <w:rsid w:val="00833008"/>
    <w:pPr>
      <w:numPr>
        <w:numId w:val="24"/>
      </w:numPr>
      <w:ind w:left="426" w:hanging="426"/>
    </w:pPr>
  </w:style>
  <w:style w:type="paragraph" w:customStyle="1" w:styleId="heldsletters">
    <w:name w:val="helds letters"/>
    <w:basedOn w:val="heldsnonnumbered"/>
    <w:link w:val="heldslettersChar"/>
    <w:qFormat/>
    <w:rsid w:val="00833008"/>
    <w:pPr>
      <w:numPr>
        <w:numId w:val="25"/>
      </w:numPr>
    </w:pPr>
  </w:style>
  <w:style w:type="character" w:customStyle="1" w:styleId="heldslettersChar">
    <w:name w:val="helds letters Char"/>
    <w:basedOn w:val="heldsnonnumberedChar"/>
    <w:link w:val="heldsletters"/>
    <w:rsid w:val="00833008"/>
    <w:rPr>
      <w:rFonts w:ascii="Times New Roman" w:eastAsia="SimSun" w:hAnsi="Times New Roman" w:cs="Times New Roman"/>
      <w:sz w:val="21"/>
      <w:lang w:val="en-NZ" w:eastAsia="en-GB"/>
    </w:rPr>
  </w:style>
  <w:style w:type="character" w:styleId="Hyperlink">
    <w:name w:val="Hyperlink"/>
    <w:basedOn w:val="DefaultParagraphFont"/>
    <w:uiPriority w:val="99"/>
    <w:unhideWhenUsed/>
    <w:rsid w:val="00833008"/>
    <w:rPr>
      <w:color w:val="0000FF"/>
      <w:u w:val="single"/>
    </w:rPr>
  </w:style>
  <w:style w:type="paragraph" w:styleId="NormalWeb">
    <w:name w:val="Normal (Web)"/>
    <w:basedOn w:val="Normal"/>
    <w:uiPriority w:val="99"/>
    <w:unhideWhenUsed/>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indent1">
    <w:name w:val="rteindent1"/>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33008"/>
    <w:rPr>
      <w:b/>
      <w:bCs/>
    </w:rPr>
  </w:style>
  <w:style w:type="paragraph" w:customStyle="1" w:styleId="scjnormal">
    <w:name w:val="scjnormal"/>
    <w:basedOn w:val="Normal"/>
    <w:rsid w:val="008330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sCentered">
    <w:name w:val="headings + Centered"/>
    <w:basedOn w:val="Normal"/>
    <w:rsid w:val="00833008"/>
    <w:pPr>
      <w:spacing w:after="0" w:line="240" w:lineRule="auto"/>
      <w:jc w:val="center"/>
    </w:pPr>
    <w:rPr>
      <w:rFonts w:ascii="Times New Roman" w:eastAsia="Times New Roman" w:hAnsi="Times New Roman" w:cs="Times New Roman"/>
      <w:b/>
      <w:bCs/>
      <w:sz w:val="24"/>
      <w:szCs w:val="20"/>
      <w:lang w:val="en-NZ" w:eastAsia="en-GB"/>
    </w:rPr>
  </w:style>
  <w:style w:type="paragraph" w:customStyle="1" w:styleId="estatutes-1-sectionheading">
    <w:name w:val="estatutes-1-sectionheading"/>
    <w:basedOn w:val="Normal"/>
    <w:rsid w:val="00A149E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A6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AF1E9E"/>
    <w:pPr>
      <w:spacing w:before="100" w:beforeAutospacing="1" w:after="100" w:afterAutospacing="1" w:line="240" w:lineRule="auto"/>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TEMPLATE</Template>
  <TotalTime>33</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Sabrina Sanguignon</cp:lastModifiedBy>
  <cp:revision>4</cp:revision>
  <cp:lastPrinted>2022-05-31T03:41:00Z</cp:lastPrinted>
  <dcterms:created xsi:type="dcterms:W3CDTF">2022-05-30T11:05:00Z</dcterms:created>
  <dcterms:modified xsi:type="dcterms:W3CDTF">2022-05-31T03:44:00Z</dcterms:modified>
</cp:coreProperties>
</file>