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A0C" w:rsidRDefault="00CD1A0C" w:rsidP="00CD1A0C">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CD1A0C" w:rsidRPr="004A2599" w:rsidRDefault="00CD1A0C" w:rsidP="00CD1A0C">
      <w:pPr>
        <w:tabs>
          <w:tab w:val="left" w:pos="4092"/>
        </w:tabs>
        <w:spacing w:after="0" w:line="240" w:lineRule="auto"/>
        <w:jc w:val="center"/>
        <w:rPr>
          <w:rFonts w:ascii="Times New Roman" w:hAnsi="Times New Roman" w:cs="Times New Roman"/>
          <w:b/>
          <w:sz w:val="24"/>
          <w:szCs w:val="24"/>
        </w:rPr>
      </w:pPr>
    </w:p>
    <w:p w:rsidR="00CD1A0C" w:rsidRPr="00380619" w:rsidRDefault="00CD1A0C" w:rsidP="00CD1A0C">
      <w:pPr>
        <w:spacing w:after="0" w:line="240" w:lineRule="auto"/>
        <w:ind w:left="702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CD1A0C" w:rsidRPr="004A2599" w:rsidRDefault="00CD1A0C" w:rsidP="00CD1A0C">
      <w:pPr>
        <w:spacing w:after="0" w:line="240" w:lineRule="auto"/>
        <w:ind w:left="6840" w:firstLine="360"/>
        <w:rPr>
          <w:rFonts w:ascii="Times New Roman" w:hAnsi="Times New Roman" w:cs="Times New Roman"/>
          <w:sz w:val="24"/>
          <w:szCs w:val="24"/>
        </w:rPr>
      </w:pPr>
      <w:r>
        <w:rPr>
          <w:rFonts w:ascii="Times New Roman" w:hAnsi="Times New Roman" w:cs="Times New Roman"/>
          <w:sz w:val="24"/>
          <w:szCs w:val="24"/>
        </w:rPr>
        <w:t>202</w:t>
      </w:r>
      <w:r w:rsidR="00092BE9">
        <w:rPr>
          <w:rFonts w:ascii="Times New Roman" w:hAnsi="Times New Roman" w:cs="Times New Roman"/>
          <w:sz w:val="24"/>
          <w:szCs w:val="24"/>
        </w:rPr>
        <w:t>2</w:t>
      </w:r>
      <w:r>
        <w:rPr>
          <w:rFonts w:ascii="Times New Roman" w:hAnsi="Times New Roman" w:cs="Times New Roman"/>
          <w:sz w:val="24"/>
          <w:szCs w:val="24"/>
        </w:rPr>
        <w:t xml:space="preserve"> SCSC …</w:t>
      </w:r>
    </w:p>
    <w:p w:rsidR="00CD1A0C" w:rsidRPr="004A2599" w:rsidRDefault="00CD1A0C" w:rsidP="00CD1A0C">
      <w:pPr>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C</w:t>
      </w:r>
      <w:r w:rsidR="001E538C">
        <w:rPr>
          <w:rFonts w:ascii="Times New Roman" w:hAnsi="Times New Roman" w:cs="Times New Roman"/>
          <w:sz w:val="24"/>
          <w:szCs w:val="24"/>
        </w:rPr>
        <w:t>S16</w:t>
      </w:r>
      <w:r w:rsidRPr="004A2599">
        <w:rPr>
          <w:rFonts w:ascii="Times New Roman" w:hAnsi="Times New Roman" w:cs="Times New Roman"/>
          <w:sz w:val="24"/>
          <w:szCs w:val="24"/>
        </w:rPr>
        <w:t>/20</w:t>
      </w:r>
      <w:r w:rsidR="001E538C">
        <w:rPr>
          <w:rFonts w:ascii="Times New Roman" w:hAnsi="Times New Roman" w:cs="Times New Roman"/>
          <w:sz w:val="24"/>
          <w:szCs w:val="24"/>
        </w:rPr>
        <w:t>21</w:t>
      </w:r>
    </w:p>
    <w:p w:rsidR="00CD1A0C" w:rsidRDefault="00CD1A0C" w:rsidP="00CD1A0C">
      <w:pPr>
        <w:spacing w:after="0" w:line="240" w:lineRule="auto"/>
        <w:ind w:left="5580"/>
        <w:rPr>
          <w:rFonts w:ascii="Times New Roman" w:hAnsi="Times New Roman" w:cs="Times New Roman"/>
          <w:sz w:val="24"/>
          <w:szCs w:val="24"/>
        </w:rPr>
      </w:pPr>
    </w:p>
    <w:p w:rsidR="00CD1A0C" w:rsidRPr="004A2599" w:rsidRDefault="00CD1A0C" w:rsidP="00CD1A0C">
      <w:pPr>
        <w:spacing w:after="0" w:line="240" w:lineRule="auto"/>
        <w:ind w:left="5580"/>
        <w:rPr>
          <w:rFonts w:ascii="Times New Roman" w:hAnsi="Times New Roman" w:cs="Times New Roman"/>
          <w:sz w:val="24"/>
          <w:szCs w:val="24"/>
        </w:rPr>
      </w:pPr>
    </w:p>
    <w:p w:rsidR="00CD1A0C" w:rsidRPr="004A2599" w:rsidRDefault="00CD1A0C" w:rsidP="00CD1A0C">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1E538C" w:rsidRDefault="001E538C" w:rsidP="001E538C">
      <w:pPr>
        <w:pStyle w:val="Partynames"/>
        <w:spacing w:before="0"/>
        <w:jc w:val="both"/>
      </w:pPr>
    </w:p>
    <w:p w:rsidR="001E538C" w:rsidRDefault="001E538C" w:rsidP="001E538C">
      <w:pPr>
        <w:pStyle w:val="Partynames"/>
        <w:spacing w:before="0"/>
        <w:jc w:val="both"/>
      </w:pPr>
      <w:r>
        <w:t xml:space="preserve">THE ATTORNEY GENERAL OF SEYCHELLES </w:t>
      </w:r>
    </w:p>
    <w:p w:rsidR="001E538C" w:rsidRDefault="001E538C" w:rsidP="001E538C">
      <w:pPr>
        <w:pStyle w:val="Partynames"/>
        <w:spacing w:before="0"/>
        <w:jc w:val="both"/>
      </w:pPr>
      <w:r>
        <w:t>REPRESENTING THE COMMISSIONER GENERAL</w:t>
      </w:r>
    </w:p>
    <w:p w:rsidR="00CD1A0C" w:rsidRPr="00214DB4" w:rsidRDefault="001E538C" w:rsidP="001E538C">
      <w:pPr>
        <w:pStyle w:val="Partynames"/>
        <w:spacing w:before="0"/>
        <w:jc w:val="both"/>
      </w:pPr>
      <w:r>
        <w:t>OF THE SEYCHELLES REVENUE COMMISSION</w:t>
      </w:r>
      <w:r w:rsidR="00CD1A0C" w:rsidRPr="00214DB4">
        <w:tab/>
      </w:r>
      <w:r w:rsidR="00CD1A0C">
        <w:tab/>
      </w:r>
      <w:r w:rsidR="00CD1A0C">
        <w:tab/>
      </w:r>
      <w:r w:rsidR="00CD1A0C">
        <w:tab/>
      </w:r>
      <w:r w:rsidR="00CD1A0C" w:rsidRPr="00214DB4">
        <w:t>P</w:t>
      </w:r>
      <w:r>
        <w:t>laintiff</w:t>
      </w:r>
    </w:p>
    <w:p w:rsidR="00CD1A0C" w:rsidRPr="00214DB4" w:rsidRDefault="00CD1A0C" w:rsidP="00CD1A0C">
      <w:pPr>
        <w:pStyle w:val="Attorneysnames"/>
      </w:pPr>
      <w:r w:rsidRPr="00214DB4">
        <w:t xml:space="preserve">(rep. by </w:t>
      </w:r>
      <w:proofErr w:type="spellStart"/>
      <w:r w:rsidR="001E538C">
        <w:t>Luthina</w:t>
      </w:r>
      <w:proofErr w:type="spellEnd"/>
      <w:r w:rsidR="001E538C">
        <w:t xml:space="preserve"> Monthy</w:t>
      </w:r>
      <w:r w:rsidRPr="00214DB4">
        <w:t>)</w:t>
      </w:r>
    </w:p>
    <w:p w:rsidR="00CD1A0C" w:rsidRPr="004A2599" w:rsidRDefault="00CD1A0C" w:rsidP="00CD1A0C">
      <w:pPr>
        <w:tabs>
          <w:tab w:val="left" w:pos="540"/>
          <w:tab w:val="left" w:pos="4092"/>
          <w:tab w:val="left" w:pos="5580"/>
        </w:tabs>
        <w:spacing w:after="0" w:line="240" w:lineRule="auto"/>
        <w:rPr>
          <w:rFonts w:ascii="Times New Roman" w:hAnsi="Times New Roman" w:cs="Times New Roman"/>
          <w:sz w:val="24"/>
          <w:szCs w:val="24"/>
        </w:rPr>
      </w:pPr>
    </w:p>
    <w:p w:rsidR="00CD1A0C" w:rsidRPr="004A2599" w:rsidRDefault="00CD1A0C" w:rsidP="00CD1A0C">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CD1A0C" w:rsidRDefault="00CD1A0C" w:rsidP="00CD1A0C">
      <w:pPr>
        <w:tabs>
          <w:tab w:val="left" w:pos="540"/>
          <w:tab w:val="left" w:pos="5580"/>
          <w:tab w:val="left" w:pos="6480"/>
        </w:tabs>
        <w:spacing w:after="0" w:line="240" w:lineRule="auto"/>
        <w:rPr>
          <w:rFonts w:ascii="Times New Roman" w:hAnsi="Times New Roman" w:cs="Times New Roman"/>
          <w:b/>
          <w:sz w:val="24"/>
          <w:szCs w:val="24"/>
        </w:rPr>
      </w:pPr>
    </w:p>
    <w:p w:rsidR="001E538C" w:rsidRDefault="001E538C" w:rsidP="00CD1A0C">
      <w:pPr>
        <w:pStyle w:val="Partynames"/>
        <w:spacing w:before="0"/>
      </w:pPr>
      <w:r>
        <w:t>MARTIN H</w:t>
      </w:r>
      <w:r w:rsidR="00A71CD3">
        <w:t>O</w:t>
      </w:r>
      <w:bookmarkStart w:id="0" w:name="_GoBack"/>
      <w:bookmarkEnd w:id="0"/>
      <w:r>
        <w:t>AREAU HAIRDRESSING</w:t>
      </w:r>
    </w:p>
    <w:p w:rsidR="00CD1A0C" w:rsidRPr="004A2599" w:rsidRDefault="001E538C" w:rsidP="00CD1A0C">
      <w:pPr>
        <w:pStyle w:val="Partynames"/>
        <w:spacing w:before="0"/>
      </w:pPr>
      <w:r>
        <w:t>REPRESENTED BY MARTIN HOAREAU</w:t>
      </w:r>
      <w:r w:rsidR="00CD1A0C">
        <w:t xml:space="preserve"> </w:t>
      </w:r>
      <w:r w:rsidR="00CD1A0C">
        <w:tab/>
      </w:r>
      <w:r w:rsidR="00CD1A0C">
        <w:tab/>
      </w:r>
      <w:r w:rsidR="00CD1A0C">
        <w:tab/>
      </w:r>
      <w:r w:rsidR="00CD1A0C">
        <w:tab/>
      </w:r>
      <w:r w:rsidR="00092BE9">
        <w:t>Defendant</w:t>
      </w:r>
    </w:p>
    <w:p w:rsidR="00CD1A0C" w:rsidRDefault="00CD1A0C" w:rsidP="00CD1A0C">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93433A">
        <w:rPr>
          <w:rFonts w:ascii="Times New Roman" w:hAnsi="Times New Roman" w:cs="Times New Roman"/>
          <w:i/>
          <w:sz w:val="24"/>
          <w:szCs w:val="24"/>
        </w:rPr>
        <w:t>in person/</w:t>
      </w:r>
      <w:r w:rsidR="00092BE9">
        <w:rPr>
          <w:rFonts w:ascii="Times New Roman" w:hAnsi="Times New Roman" w:cs="Times New Roman"/>
          <w:i/>
          <w:sz w:val="24"/>
          <w:szCs w:val="24"/>
        </w:rPr>
        <w:t>unrepresented</w:t>
      </w:r>
      <w:r w:rsidRPr="004A2599">
        <w:rPr>
          <w:rFonts w:ascii="Times New Roman" w:hAnsi="Times New Roman" w:cs="Times New Roman"/>
          <w:i/>
          <w:sz w:val="24"/>
          <w:szCs w:val="24"/>
        </w:rPr>
        <w:t>)</w:t>
      </w:r>
    </w:p>
    <w:p w:rsidR="00CD1A0C" w:rsidRPr="00BB1A3E" w:rsidRDefault="00CD1A0C" w:rsidP="00CD1A0C">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D1A0C" w:rsidRPr="004A2599" w:rsidRDefault="00CD1A0C" w:rsidP="00CD1A0C">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092BE9">
        <w:rPr>
          <w:rFonts w:ascii="Times New Roman" w:hAnsi="Times New Roman" w:cs="Times New Roman"/>
          <w:i/>
          <w:sz w:val="24"/>
          <w:szCs w:val="24"/>
        </w:rPr>
        <w:t>The Attorney General</w:t>
      </w:r>
      <w:r w:rsidRPr="004A2599">
        <w:rPr>
          <w:rFonts w:ascii="Times New Roman" w:hAnsi="Times New Roman" w:cs="Times New Roman"/>
          <w:i/>
          <w:sz w:val="24"/>
          <w:szCs w:val="24"/>
        </w:rPr>
        <w:t xml:space="preserve"> v </w:t>
      </w:r>
      <w:r w:rsidR="00092BE9">
        <w:rPr>
          <w:rFonts w:ascii="Times New Roman" w:hAnsi="Times New Roman" w:cs="Times New Roman"/>
          <w:i/>
          <w:sz w:val="24"/>
          <w:szCs w:val="24"/>
        </w:rPr>
        <w:t>Hoareau</w:t>
      </w:r>
      <w:r>
        <w:rPr>
          <w:rFonts w:ascii="Times New Roman" w:hAnsi="Times New Roman" w:cs="Times New Roman"/>
          <w:i/>
          <w:sz w:val="24"/>
          <w:szCs w:val="24"/>
        </w:rPr>
        <w:t xml:space="preserve"> </w:t>
      </w:r>
      <w:r w:rsidRPr="004A2599">
        <w:rPr>
          <w:rFonts w:ascii="Times New Roman" w:hAnsi="Times New Roman" w:cs="Times New Roman"/>
          <w:sz w:val="24"/>
          <w:szCs w:val="24"/>
        </w:rPr>
        <w:t>(</w:t>
      </w:r>
      <w:r>
        <w:rPr>
          <w:rFonts w:ascii="Times New Roman" w:hAnsi="Times New Roman" w:cs="Times New Roman"/>
          <w:sz w:val="24"/>
          <w:szCs w:val="24"/>
        </w:rPr>
        <w:t>C</w:t>
      </w:r>
      <w:r w:rsidR="00092BE9">
        <w:rPr>
          <w:rFonts w:ascii="Times New Roman" w:hAnsi="Times New Roman" w:cs="Times New Roman"/>
          <w:sz w:val="24"/>
          <w:szCs w:val="24"/>
        </w:rPr>
        <w:t>S16</w:t>
      </w:r>
      <w:r>
        <w:rPr>
          <w:rFonts w:ascii="Times New Roman" w:hAnsi="Times New Roman" w:cs="Times New Roman"/>
          <w:sz w:val="24"/>
          <w:szCs w:val="24"/>
        </w:rPr>
        <w:t>/20</w:t>
      </w:r>
      <w:r w:rsidR="00092BE9">
        <w:rPr>
          <w:rFonts w:ascii="Times New Roman" w:hAnsi="Times New Roman" w:cs="Times New Roman"/>
          <w:sz w:val="24"/>
          <w:szCs w:val="24"/>
        </w:rPr>
        <w:t>21</w:t>
      </w:r>
      <w:r>
        <w:rPr>
          <w:rFonts w:ascii="Times New Roman" w:hAnsi="Times New Roman" w:cs="Times New Roman"/>
          <w:sz w:val="24"/>
          <w:szCs w:val="24"/>
        </w:rPr>
        <w:t>) 202</w:t>
      </w:r>
      <w:r w:rsidR="00092BE9">
        <w:rPr>
          <w:rFonts w:ascii="Times New Roman" w:hAnsi="Times New Roman" w:cs="Times New Roman"/>
          <w:sz w:val="24"/>
          <w:szCs w:val="24"/>
        </w:rPr>
        <w:t>2</w:t>
      </w:r>
      <w:r w:rsidRPr="004A2599">
        <w:rPr>
          <w:rFonts w:ascii="Times New Roman" w:hAnsi="Times New Roman" w:cs="Times New Roman"/>
          <w:sz w:val="24"/>
          <w:szCs w:val="24"/>
        </w:rPr>
        <w:t xml:space="preserve"> SCSC </w:t>
      </w:r>
      <w:r>
        <w:rPr>
          <w:rFonts w:ascii="Times New Roman" w:hAnsi="Times New Roman" w:cs="Times New Roman"/>
          <w:sz w:val="24"/>
          <w:szCs w:val="24"/>
        </w:rPr>
        <w:t>….</w:t>
      </w:r>
      <w:r w:rsidRPr="004A2599">
        <w:rPr>
          <w:rFonts w:ascii="Times New Roman" w:hAnsi="Times New Roman" w:cs="Times New Roman"/>
          <w:sz w:val="24"/>
          <w:szCs w:val="24"/>
        </w:rPr>
        <w:t xml:space="preserve"> (</w:t>
      </w:r>
      <w:r w:rsidR="00092BE9">
        <w:rPr>
          <w:rFonts w:ascii="Times New Roman" w:hAnsi="Times New Roman" w:cs="Times New Roman"/>
          <w:sz w:val="24"/>
          <w:szCs w:val="24"/>
        </w:rPr>
        <w:t>7</w:t>
      </w:r>
      <w:r>
        <w:rPr>
          <w:rFonts w:ascii="Times New Roman" w:hAnsi="Times New Roman" w:cs="Times New Roman"/>
          <w:sz w:val="24"/>
          <w:szCs w:val="24"/>
        </w:rPr>
        <w:t xml:space="preserve"> </w:t>
      </w:r>
      <w:r w:rsidR="00092BE9">
        <w:rPr>
          <w:rFonts w:ascii="Times New Roman" w:hAnsi="Times New Roman" w:cs="Times New Roman"/>
          <w:sz w:val="24"/>
          <w:szCs w:val="24"/>
        </w:rPr>
        <w:t>July</w:t>
      </w:r>
      <w:r>
        <w:rPr>
          <w:rFonts w:ascii="Times New Roman" w:hAnsi="Times New Roman" w:cs="Times New Roman"/>
          <w:sz w:val="24"/>
          <w:szCs w:val="24"/>
        </w:rPr>
        <w:t xml:space="preserve"> </w:t>
      </w:r>
      <w:r w:rsidRPr="004A2599">
        <w:rPr>
          <w:rFonts w:ascii="Times New Roman" w:hAnsi="Times New Roman" w:cs="Times New Roman"/>
          <w:sz w:val="24"/>
          <w:szCs w:val="24"/>
        </w:rPr>
        <w:t>20</w:t>
      </w:r>
      <w:r>
        <w:rPr>
          <w:rFonts w:ascii="Times New Roman" w:hAnsi="Times New Roman" w:cs="Times New Roman"/>
          <w:sz w:val="24"/>
          <w:szCs w:val="24"/>
        </w:rPr>
        <w:t>2</w:t>
      </w:r>
      <w:r w:rsidR="00092BE9">
        <w:rPr>
          <w:rFonts w:ascii="Times New Roman" w:hAnsi="Times New Roman" w:cs="Times New Roman"/>
          <w:sz w:val="24"/>
          <w:szCs w:val="24"/>
        </w:rPr>
        <w:t>2</w:t>
      </w:r>
      <w:r w:rsidRPr="004A2599">
        <w:rPr>
          <w:rFonts w:ascii="Times New Roman" w:hAnsi="Times New Roman" w:cs="Times New Roman"/>
          <w:sz w:val="24"/>
          <w:szCs w:val="24"/>
        </w:rPr>
        <w:t>).</w:t>
      </w:r>
    </w:p>
    <w:p w:rsidR="00CD1A0C" w:rsidRDefault="00CD1A0C" w:rsidP="00CD1A0C">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Dodin J.</w:t>
      </w:r>
      <w:r w:rsidRPr="00F33B83">
        <w:rPr>
          <w:rFonts w:ascii="Times New Roman" w:hAnsi="Times New Roman" w:cs="Times New Roman"/>
          <w:sz w:val="24"/>
          <w:szCs w:val="24"/>
        </w:rPr>
        <w:t xml:space="preserve"> </w:t>
      </w:r>
    </w:p>
    <w:p w:rsidR="00CD1A0C" w:rsidRPr="004A2599" w:rsidRDefault="00CD1A0C" w:rsidP="00CD1A0C">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092BE9">
        <w:rPr>
          <w:rFonts w:ascii="Times New Roman" w:hAnsi="Times New Roman" w:cs="Times New Roman"/>
          <w:sz w:val="24"/>
          <w:szCs w:val="24"/>
        </w:rPr>
        <w:t>Claim for outstanding business and income taxes – failure to register businesses – section 21(1)</w:t>
      </w:r>
      <w:r w:rsidR="0006141B">
        <w:rPr>
          <w:rFonts w:ascii="Times New Roman" w:hAnsi="Times New Roman" w:cs="Times New Roman"/>
          <w:sz w:val="24"/>
          <w:szCs w:val="24"/>
        </w:rPr>
        <w:t xml:space="preserve"> of Revenue Administration Act 2009 – Regulation 2(2) of Business Tax Act 1987.</w:t>
      </w:r>
      <w:r w:rsidR="00092BE9">
        <w:rPr>
          <w:rFonts w:ascii="Times New Roman" w:hAnsi="Times New Roman" w:cs="Times New Roman"/>
          <w:sz w:val="24"/>
          <w:szCs w:val="24"/>
        </w:rPr>
        <w:t xml:space="preserve"> </w:t>
      </w:r>
    </w:p>
    <w:p w:rsidR="00CD1A0C" w:rsidRPr="005B12AA" w:rsidRDefault="00CD1A0C" w:rsidP="00CD1A0C">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06141B">
        <w:rPr>
          <w:rFonts w:ascii="Times New Roman" w:hAnsi="Times New Roman" w:cs="Times New Roman"/>
          <w:sz w:val="24"/>
          <w:szCs w:val="24"/>
        </w:rPr>
        <w:t>5 November, 2021</w:t>
      </w:r>
    </w:p>
    <w:p w:rsidR="00CD1A0C" w:rsidRPr="0006141B" w:rsidRDefault="00CD1A0C" w:rsidP="00CD1A0C">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06141B">
        <w:rPr>
          <w:rFonts w:ascii="Times New Roman" w:hAnsi="Times New Roman" w:cs="Times New Roman"/>
          <w:sz w:val="24"/>
          <w:szCs w:val="24"/>
        </w:rPr>
        <w:t>7 July 2022</w:t>
      </w:r>
    </w:p>
    <w:p w:rsidR="00CD1A0C" w:rsidRDefault="00CD1A0C" w:rsidP="00CD1A0C">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40D6F" w:rsidRPr="004611F4" w:rsidRDefault="00440D6F" w:rsidP="00440D6F">
      <w:pPr>
        <w:pStyle w:val="JudgmentText"/>
        <w:numPr>
          <w:ilvl w:val="2"/>
          <w:numId w:val="2"/>
        </w:numPr>
      </w:pPr>
      <w:r>
        <w:t xml:space="preserve">The Defendant is declared to have been in </w:t>
      </w:r>
      <w:r w:rsidRPr="002F211F">
        <w:rPr>
          <w:rFonts w:eastAsia="Calibri"/>
        </w:rPr>
        <w:t xml:space="preserve">contravention </w:t>
      </w:r>
      <w:r>
        <w:rPr>
          <w:rFonts w:eastAsia="Calibri"/>
        </w:rPr>
        <w:t>of</w:t>
      </w:r>
      <w:r w:rsidRPr="002F211F">
        <w:rPr>
          <w:rFonts w:eastAsia="Calibri"/>
        </w:rPr>
        <w:t xml:space="preserve"> the Revenue Administration Act 2009</w:t>
      </w:r>
      <w:r>
        <w:rPr>
          <w:rFonts w:eastAsia="Calibri"/>
        </w:rPr>
        <w:t xml:space="preserve"> and the Business Tax Act 1987 as amended.</w:t>
      </w:r>
    </w:p>
    <w:p w:rsidR="00440D6F" w:rsidRPr="004611F4" w:rsidRDefault="00440D6F" w:rsidP="00440D6F">
      <w:pPr>
        <w:pStyle w:val="JudgmentText"/>
        <w:numPr>
          <w:ilvl w:val="2"/>
          <w:numId w:val="2"/>
        </w:numPr>
      </w:pPr>
      <w:r>
        <w:t>Judgment is entered in favour of the Plaintiff in the sum of Seychelles Rupees One Million Five Thousand One Hundred and Twenty-Six and Thirty-Seven Cents (SCR</w:t>
      </w:r>
      <w:r>
        <w:rPr>
          <w:rFonts w:eastAsia="Calibri"/>
        </w:rPr>
        <w:t>1,005,126</w:t>
      </w:r>
      <w:r w:rsidRPr="001E538C">
        <w:rPr>
          <w:rFonts w:eastAsia="Calibri"/>
        </w:rPr>
        <w:t>.37</w:t>
      </w:r>
      <w:r>
        <w:rPr>
          <w:rFonts w:eastAsia="Calibri"/>
        </w:rPr>
        <w:t>) which the Defendant is ordered to pay.</w:t>
      </w:r>
    </w:p>
    <w:p w:rsidR="00440D6F" w:rsidRDefault="00440D6F" w:rsidP="00440D6F">
      <w:pPr>
        <w:pStyle w:val="JudgmentText"/>
        <w:numPr>
          <w:ilvl w:val="2"/>
          <w:numId w:val="2"/>
        </w:numPr>
      </w:pPr>
      <w:r>
        <w:t xml:space="preserve">Each party shall bear its own costs. </w:t>
      </w:r>
    </w:p>
    <w:p w:rsidR="00440D6F" w:rsidRPr="004A2599" w:rsidRDefault="00440D6F" w:rsidP="00CD1A0C">
      <w:pPr>
        <w:tabs>
          <w:tab w:val="left" w:pos="2892"/>
        </w:tabs>
        <w:spacing w:before="120" w:after="0" w:line="240" w:lineRule="auto"/>
        <w:jc w:val="center"/>
        <w:rPr>
          <w:rFonts w:ascii="Times New Roman" w:hAnsi="Times New Roman" w:cs="Times New Roman"/>
          <w:b/>
          <w:sz w:val="24"/>
          <w:szCs w:val="24"/>
        </w:rPr>
      </w:pPr>
    </w:p>
    <w:p w:rsidR="00CD1A0C" w:rsidRDefault="00CD1A0C" w:rsidP="00CD1A0C">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CD1A0C" w:rsidRDefault="00CD1A0C" w:rsidP="00CD1A0C">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CD1A0C" w:rsidRPr="00F33B83" w:rsidRDefault="00CD1A0C" w:rsidP="00CD1A0C">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CD1A0C" w:rsidRPr="004A2599" w:rsidRDefault="00CD1A0C" w:rsidP="00CD1A0C">
      <w:pPr>
        <w:rPr>
          <w:rFonts w:ascii="Times New Roman" w:hAnsi="Times New Roman" w:cs="Times New Roman"/>
          <w:sz w:val="24"/>
          <w:szCs w:val="24"/>
        </w:rPr>
      </w:pPr>
    </w:p>
    <w:p w:rsidR="00CD1A0C" w:rsidRPr="005B12AA" w:rsidRDefault="00CD1A0C" w:rsidP="00CD1A0C">
      <w:pPr>
        <w:pStyle w:val="JudgmentText"/>
        <w:numPr>
          <w:ilvl w:val="0"/>
          <w:numId w:val="0"/>
        </w:numPr>
        <w:spacing w:line="480" w:lineRule="auto"/>
        <w:ind w:left="720" w:hanging="720"/>
        <w:rPr>
          <w:b/>
        </w:rPr>
      </w:pPr>
      <w:r>
        <w:rPr>
          <w:b/>
        </w:rPr>
        <w:t xml:space="preserve">DODIN </w:t>
      </w:r>
      <w:r w:rsidRPr="005B12AA">
        <w:rPr>
          <w:b/>
        </w:rPr>
        <w:t>J</w:t>
      </w:r>
      <w:r>
        <w:rPr>
          <w:b/>
        </w:rPr>
        <w:t>.</w:t>
      </w:r>
      <w:r w:rsidRPr="005B12AA">
        <w:rPr>
          <w:b/>
        </w:rPr>
        <w:t xml:space="preserve"> </w:t>
      </w:r>
    </w:p>
    <w:p w:rsidR="001E538C" w:rsidRDefault="001E538C" w:rsidP="0006141B">
      <w:pPr>
        <w:pStyle w:val="JudgmentText"/>
        <w:tabs>
          <w:tab w:val="clear" w:pos="360"/>
          <w:tab w:val="left" w:pos="720"/>
        </w:tabs>
        <w:ind w:hanging="720"/>
        <w:rPr>
          <w:rFonts w:eastAsia="Calibri"/>
        </w:rPr>
      </w:pPr>
      <w:r w:rsidRPr="001E538C">
        <w:rPr>
          <w:rFonts w:eastAsia="Calibri"/>
        </w:rPr>
        <w:t xml:space="preserve">The </w:t>
      </w:r>
      <w:r w:rsidR="00C52556">
        <w:rPr>
          <w:rFonts w:eastAsia="Calibri"/>
        </w:rPr>
        <w:t>P</w:t>
      </w:r>
      <w:r w:rsidRPr="001E538C">
        <w:rPr>
          <w:rFonts w:eastAsia="Calibri"/>
        </w:rPr>
        <w:t>laintiff is the</w:t>
      </w:r>
      <w:r w:rsidR="0006141B">
        <w:rPr>
          <w:rFonts w:eastAsia="Calibri"/>
        </w:rPr>
        <w:t xml:space="preserve"> Attorney General who is mandated to maintain this cause of action on behalf of the C</w:t>
      </w:r>
      <w:r w:rsidRPr="001E538C">
        <w:rPr>
          <w:rFonts w:eastAsia="Calibri"/>
        </w:rPr>
        <w:t xml:space="preserve">ommissioner </w:t>
      </w:r>
      <w:r w:rsidR="0006141B">
        <w:rPr>
          <w:rFonts w:eastAsia="Calibri"/>
        </w:rPr>
        <w:t>G</w:t>
      </w:r>
      <w:r w:rsidRPr="001E538C">
        <w:rPr>
          <w:rFonts w:eastAsia="Calibri"/>
        </w:rPr>
        <w:t xml:space="preserve">eneral of the Seychelles Revenue Commission to recover the </w:t>
      </w:r>
      <w:r w:rsidR="0006141B">
        <w:rPr>
          <w:rFonts w:eastAsia="Calibri"/>
        </w:rPr>
        <w:t xml:space="preserve">alleged </w:t>
      </w:r>
      <w:r w:rsidRPr="001E538C">
        <w:rPr>
          <w:rFonts w:eastAsia="Calibri"/>
        </w:rPr>
        <w:t>unpaid revenue under subsection 21(1) of the Revenue Administration Act 2009.</w:t>
      </w:r>
    </w:p>
    <w:p w:rsidR="001E7B1D" w:rsidRDefault="0006141B" w:rsidP="0006141B">
      <w:pPr>
        <w:pStyle w:val="JudgmentText"/>
        <w:tabs>
          <w:tab w:val="clear" w:pos="360"/>
          <w:tab w:val="left" w:pos="720"/>
        </w:tabs>
        <w:ind w:hanging="720"/>
        <w:rPr>
          <w:rFonts w:eastAsia="Calibri"/>
        </w:rPr>
      </w:pPr>
      <w:r>
        <w:rPr>
          <w:rFonts w:eastAsia="Calibri"/>
        </w:rPr>
        <w:t>The Defendant initially appeared and was also represented by learned counsel Leslie Boniface. The Court took judicial notice that the said learned counsel Boniface could not continue to represent the Defendant in view of certain matters in respect of his license</w:t>
      </w:r>
      <w:r w:rsidR="00BC6117">
        <w:rPr>
          <w:rFonts w:eastAsia="Calibri"/>
        </w:rPr>
        <w:t xml:space="preserve"> which had to be resolved. On the 19</w:t>
      </w:r>
      <w:r w:rsidR="00BC6117" w:rsidRPr="00BC6117">
        <w:rPr>
          <w:rFonts w:eastAsia="Calibri"/>
          <w:vertAlign w:val="superscript"/>
        </w:rPr>
        <w:t>th</w:t>
      </w:r>
      <w:r w:rsidR="00BC6117">
        <w:rPr>
          <w:rFonts w:eastAsia="Calibri"/>
        </w:rPr>
        <w:t xml:space="preserve"> March 2021 and 14</w:t>
      </w:r>
      <w:r w:rsidR="00BC6117" w:rsidRPr="00BC6117">
        <w:rPr>
          <w:rFonts w:eastAsia="Calibri"/>
          <w:vertAlign w:val="superscript"/>
        </w:rPr>
        <w:t>th</w:t>
      </w:r>
      <w:r w:rsidR="00BC6117">
        <w:rPr>
          <w:rFonts w:eastAsia="Calibri"/>
        </w:rPr>
        <w:t xml:space="preserve"> July 2021, the Defendant was served with summons to appear before the Court on the 12</w:t>
      </w:r>
      <w:r w:rsidR="00BC6117" w:rsidRPr="00BC6117">
        <w:rPr>
          <w:rFonts w:eastAsia="Calibri"/>
          <w:vertAlign w:val="superscript"/>
        </w:rPr>
        <w:t>th</w:t>
      </w:r>
      <w:r w:rsidR="00BC6117">
        <w:rPr>
          <w:rFonts w:eastAsia="Calibri"/>
        </w:rPr>
        <w:t xml:space="preserve"> May 2021 and 21</w:t>
      </w:r>
      <w:r w:rsidR="00BC6117" w:rsidRPr="00BC6117">
        <w:rPr>
          <w:rFonts w:eastAsia="Calibri"/>
          <w:vertAlign w:val="superscript"/>
        </w:rPr>
        <w:t>st</w:t>
      </w:r>
      <w:r w:rsidR="00BC6117">
        <w:rPr>
          <w:rFonts w:eastAsia="Calibri"/>
        </w:rPr>
        <w:t xml:space="preserve"> July 2021 respectively but he failed to appear and no other counsel appeared to represent him.</w:t>
      </w:r>
      <w:r>
        <w:rPr>
          <w:rFonts w:eastAsia="Calibri"/>
        </w:rPr>
        <w:t xml:space="preserve"> </w:t>
      </w:r>
      <w:r w:rsidR="00657A20">
        <w:rPr>
          <w:rFonts w:eastAsia="Calibri"/>
        </w:rPr>
        <w:t>The case was set</w:t>
      </w:r>
      <w:r w:rsidR="00BC6117">
        <w:rPr>
          <w:rFonts w:eastAsia="Calibri"/>
        </w:rPr>
        <w:t xml:space="preserve"> for hearing ex-parte on 5</w:t>
      </w:r>
      <w:r w:rsidR="00BC6117" w:rsidRPr="00BC6117">
        <w:rPr>
          <w:rFonts w:eastAsia="Calibri"/>
          <w:vertAlign w:val="superscript"/>
        </w:rPr>
        <w:t>th</w:t>
      </w:r>
      <w:r w:rsidR="00BC6117">
        <w:rPr>
          <w:rFonts w:eastAsia="Calibri"/>
        </w:rPr>
        <w:t xml:space="preserve"> November, 2021 with notice to the Defendant which notice was served on the Defendant on the 27</w:t>
      </w:r>
      <w:r w:rsidR="00BC6117" w:rsidRPr="00BC6117">
        <w:rPr>
          <w:rFonts w:eastAsia="Calibri"/>
          <w:vertAlign w:val="superscript"/>
        </w:rPr>
        <w:t>th</w:t>
      </w:r>
      <w:r w:rsidR="00BC6117">
        <w:rPr>
          <w:rFonts w:eastAsia="Calibri"/>
        </w:rPr>
        <w:t xml:space="preserve"> August 2021. On the 5</w:t>
      </w:r>
      <w:r w:rsidR="00BC6117" w:rsidRPr="00BC6117">
        <w:rPr>
          <w:rFonts w:eastAsia="Calibri"/>
          <w:vertAlign w:val="superscript"/>
        </w:rPr>
        <w:t>th</w:t>
      </w:r>
      <w:r w:rsidR="00BC6117">
        <w:rPr>
          <w:rFonts w:eastAsia="Calibri"/>
        </w:rPr>
        <w:t xml:space="preserve"> November, 2021, the hearing proceeded exparte</w:t>
      </w:r>
      <w:r w:rsidR="001E7B1D">
        <w:rPr>
          <w:rFonts w:eastAsia="Calibri"/>
        </w:rPr>
        <w:t>. Final submission was scheduled for 3</w:t>
      </w:r>
      <w:r w:rsidR="001E7B1D" w:rsidRPr="001E7B1D">
        <w:rPr>
          <w:rFonts w:eastAsia="Calibri"/>
          <w:vertAlign w:val="superscript"/>
        </w:rPr>
        <w:t>rd</w:t>
      </w:r>
      <w:r w:rsidR="001E7B1D">
        <w:rPr>
          <w:rFonts w:eastAsia="Calibri"/>
        </w:rPr>
        <w:t xml:space="preserve"> December 2021 and judgment was to be delivered on the 4</w:t>
      </w:r>
      <w:r w:rsidR="001E7B1D" w:rsidRPr="001E7B1D">
        <w:rPr>
          <w:rFonts w:eastAsia="Calibri"/>
          <w:vertAlign w:val="superscript"/>
        </w:rPr>
        <w:t>th</w:t>
      </w:r>
      <w:r w:rsidR="001E7B1D">
        <w:rPr>
          <w:rFonts w:eastAsia="Calibri"/>
        </w:rPr>
        <w:t xml:space="preserve"> February 2022.</w:t>
      </w:r>
    </w:p>
    <w:p w:rsidR="001E7B1D" w:rsidRDefault="001E7B1D" w:rsidP="0006141B">
      <w:pPr>
        <w:pStyle w:val="JudgmentText"/>
        <w:tabs>
          <w:tab w:val="clear" w:pos="360"/>
          <w:tab w:val="left" w:pos="720"/>
        </w:tabs>
        <w:ind w:hanging="720"/>
        <w:rPr>
          <w:rFonts w:eastAsia="Calibri"/>
        </w:rPr>
      </w:pPr>
      <w:r>
        <w:rPr>
          <w:rFonts w:eastAsia="Calibri"/>
        </w:rPr>
        <w:t>On the 2</w:t>
      </w:r>
      <w:r w:rsidRPr="001E7B1D">
        <w:rPr>
          <w:rFonts w:eastAsia="Calibri"/>
          <w:vertAlign w:val="superscript"/>
        </w:rPr>
        <w:t>nd</w:t>
      </w:r>
      <w:r>
        <w:rPr>
          <w:rFonts w:eastAsia="Calibri"/>
        </w:rPr>
        <w:t xml:space="preserve"> February, 2022 the Defendant entered a motion to set aside the exparte hearing. After considering arguments and objections, a ruling was delivered on the 3</w:t>
      </w:r>
      <w:r w:rsidRPr="001E7B1D">
        <w:rPr>
          <w:rFonts w:eastAsia="Calibri"/>
          <w:vertAlign w:val="superscript"/>
        </w:rPr>
        <w:t>rd</w:t>
      </w:r>
      <w:r>
        <w:rPr>
          <w:rFonts w:eastAsia="Calibri"/>
        </w:rPr>
        <w:t xml:space="preserve"> June, 2022 dismissing the motion to set aside the ex-parte hearing.</w:t>
      </w:r>
      <w:r w:rsidR="00545B57">
        <w:rPr>
          <w:rFonts w:eastAsia="Calibri"/>
        </w:rPr>
        <w:t xml:space="preserve"> The case therefore proceeds to judgment on the uncontroverted evidence of the witness for the Plaintiff, Maria </w:t>
      </w:r>
      <w:proofErr w:type="spellStart"/>
      <w:r w:rsidR="00545B57">
        <w:rPr>
          <w:rFonts w:eastAsia="Calibri"/>
        </w:rPr>
        <w:t>Theresine</w:t>
      </w:r>
      <w:proofErr w:type="spellEnd"/>
      <w:r w:rsidR="00545B57">
        <w:rPr>
          <w:rFonts w:eastAsia="Calibri"/>
        </w:rPr>
        <w:t xml:space="preserve"> who testified in support of the Plaintiff’s claim as reflected in the Plaint.</w:t>
      </w:r>
    </w:p>
    <w:p w:rsidR="00545B57" w:rsidRDefault="00545B57" w:rsidP="00090987">
      <w:pPr>
        <w:pStyle w:val="JudgmentText"/>
        <w:tabs>
          <w:tab w:val="clear" w:pos="360"/>
          <w:tab w:val="left" w:pos="720"/>
        </w:tabs>
        <w:spacing w:after="0"/>
        <w:ind w:hanging="720"/>
        <w:contextualSpacing/>
        <w:rPr>
          <w:rFonts w:eastAsia="Calibri"/>
        </w:rPr>
      </w:pPr>
      <w:r w:rsidRPr="00545B57">
        <w:rPr>
          <w:rFonts w:eastAsia="Calibri"/>
        </w:rPr>
        <w:t xml:space="preserve">Ms </w:t>
      </w:r>
      <w:proofErr w:type="spellStart"/>
      <w:r w:rsidRPr="00545B57">
        <w:rPr>
          <w:rFonts w:eastAsia="Calibri"/>
        </w:rPr>
        <w:t>Theresine</w:t>
      </w:r>
      <w:proofErr w:type="spellEnd"/>
      <w:r w:rsidRPr="00545B57">
        <w:rPr>
          <w:rFonts w:eastAsia="Calibri"/>
        </w:rPr>
        <w:t xml:space="preserve"> testified that a</w:t>
      </w:r>
      <w:r w:rsidR="001E538C" w:rsidRPr="00545B57">
        <w:rPr>
          <w:rFonts w:eastAsia="Calibri"/>
        </w:rPr>
        <w:t>s per the Seychelles Licensing Authority</w:t>
      </w:r>
      <w:r w:rsidRPr="00545B57">
        <w:rPr>
          <w:rFonts w:eastAsia="Calibri"/>
        </w:rPr>
        <w:t>,</w:t>
      </w:r>
      <w:r w:rsidR="009708A2">
        <w:rPr>
          <w:rFonts w:eastAsia="Calibri"/>
        </w:rPr>
        <w:t xml:space="preserve"> Mr. Martin Hoareau is registered </w:t>
      </w:r>
      <w:r w:rsidRPr="00545B57">
        <w:rPr>
          <w:rFonts w:eastAsia="Calibri"/>
        </w:rPr>
        <w:t xml:space="preserve">running the businesses of beautician, hairdresser, importer, retailer, accommodation, catering and entertainment. </w:t>
      </w:r>
      <w:r w:rsidR="001E538C" w:rsidRPr="00545B57">
        <w:rPr>
          <w:rFonts w:eastAsia="Calibri"/>
        </w:rPr>
        <w:t>As per Regulation 2 (2) of</w:t>
      </w:r>
      <w:r w:rsidRPr="00545B57">
        <w:rPr>
          <w:rFonts w:eastAsia="Calibri"/>
        </w:rPr>
        <w:t xml:space="preserve"> the Business Tax Act 1987 the D</w:t>
      </w:r>
      <w:r w:rsidR="001E538C" w:rsidRPr="00545B57">
        <w:rPr>
          <w:rFonts w:eastAsia="Calibri"/>
        </w:rPr>
        <w:t xml:space="preserve">efendant failed to register with the Seychelles Revenue Commission. A final </w:t>
      </w:r>
      <w:r w:rsidRPr="00545B57">
        <w:rPr>
          <w:rFonts w:eastAsia="Calibri"/>
        </w:rPr>
        <w:t>reminder was issued to the D</w:t>
      </w:r>
      <w:r w:rsidR="001E538C" w:rsidRPr="00545B57">
        <w:rPr>
          <w:rFonts w:eastAsia="Calibri"/>
        </w:rPr>
        <w:t>efendant on the 21</w:t>
      </w:r>
      <w:r w:rsidR="001E538C" w:rsidRPr="00545B57">
        <w:rPr>
          <w:rFonts w:eastAsia="Calibri"/>
          <w:vertAlign w:val="superscript"/>
        </w:rPr>
        <w:t>st</w:t>
      </w:r>
      <w:r w:rsidR="001E538C" w:rsidRPr="00545B57">
        <w:rPr>
          <w:rFonts w:eastAsia="Calibri"/>
        </w:rPr>
        <w:t xml:space="preserve"> October 2009 informing him of his obligations and </w:t>
      </w:r>
      <w:r w:rsidRPr="00545B57">
        <w:rPr>
          <w:rFonts w:eastAsia="Calibri"/>
        </w:rPr>
        <w:t xml:space="preserve">he </w:t>
      </w:r>
      <w:r w:rsidR="001E538C" w:rsidRPr="00545B57">
        <w:rPr>
          <w:rFonts w:eastAsia="Calibri"/>
        </w:rPr>
        <w:t>was given 7 days to comply.</w:t>
      </w:r>
    </w:p>
    <w:p w:rsidR="001E538C" w:rsidRDefault="001E538C" w:rsidP="00545B57">
      <w:pPr>
        <w:pStyle w:val="JudgmentText"/>
        <w:numPr>
          <w:ilvl w:val="0"/>
          <w:numId w:val="0"/>
        </w:numPr>
        <w:tabs>
          <w:tab w:val="left" w:pos="720"/>
        </w:tabs>
        <w:spacing w:after="0"/>
        <w:ind w:left="720"/>
        <w:contextualSpacing/>
        <w:rPr>
          <w:rFonts w:eastAsia="Calibri"/>
        </w:rPr>
      </w:pPr>
      <w:r w:rsidRPr="00545B57">
        <w:rPr>
          <w:rFonts w:eastAsia="Calibri"/>
        </w:rPr>
        <w:t xml:space="preserve"> </w:t>
      </w:r>
    </w:p>
    <w:p w:rsidR="001E538C" w:rsidRDefault="00545B57" w:rsidP="00CE5286">
      <w:pPr>
        <w:pStyle w:val="JudgmentText"/>
        <w:tabs>
          <w:tab w:val="clear" w:pos="360"/>
          <w:tab w:val="left" w:pos="720"/>
        </w:tabs>
        <w:spacing w:after="0"/>
        <w:ind w:hanging="720"/>
        <w:contextualSpacing/>
        <w:rPr>
          <w:rFonts w:eastAsia="Calibri"/>
        </w:rPr>
      </w:pPr>
      <w:r w:rsidRPr="00545B57">
        <w:rPr>
          <w:rFonts w:eastAsia="Calibri"/>
        </w:rPr>
        <w:lastRenderedPageBreak/>
        <w:t>O</w:t>
      </w:r>
      <w:r w:rsidR="001E538C" w:rsidRPr="00545B57">
        <w:rPr>
          <w:rFonts w:eastAsia="Calibri"/>
        </w:rPr>
        <w:t>n the 10</w:t>
      </w:r>
      <w:r w:rsidR="001E538C" w:rsidRPr="00545B57">
        <w:rPr>
          <w:rFonts w:eastAsia="Calibri"/>
          <w:vertAlign w:val="superscript"/>
        </w:rPr>
        <w:t>th</w:t>
      </w:r>
      <w:r w:rsidR="001E538C" w:rsidRPr="00545B57">
        <w:rPr>
          <w:rFonts w:eastAsia="Calibri"/>
        </w:rPr>
        <w:t xml:space="preserve"> July 2012 the </w:t>
      </w:r>
      <w:r w:rsidRPr="00545B57">
        <w:rPr>
          <w:rFonts w:eastAsia="Calibri"/>
        </w:rPr>
        <w:t>D</w:t>
      </w:r>
      <w:r w:rsidR="001E538C" w:rsidRPr="00545B57">
        <w:rPr>
          <w:rFonts w:eastAsia="Calibri"/>
        </w:rPr>
        <w:t>efendant registered the business</w:t>
      </w:r>
      <w:r w:rsidR="00432D2F">
        <w:rPr>
          <w:rFonts w:eastAsia="Calibri"/>
        </w:rPr>
        <w:t>es</w:t>
      </w:r>
      <w:r w:rsidR="001E538C" w:rsidRPr="00545B57">
        <w:rPr>
          <w:rFonts w:eastAsia="Calibri"/>
        </w:rPr>
        <w:t xml:space="preserve"> for coffee shop and import</w:t>
      </w:r>
      <w:r w:rsidR="00432D2F">
        <w:rPr>
          <w:rFonts w:eastAsia="Calibri"/>
        </w:rPr>
        <w:t xml:space="preserve"> and</w:t>
      </w:r>
      <w:r w:rsidR="001E538C" w:rsidRPr="00545B57">
        <w:rPr>
          <w:rFonts w:eastAsia="Calibri"/>
        </w:rPr>
        <w:t xml:space="preserve"> import/retailer, and 1</w:t>
      </w:r>
      <w:r w:rsidR="001E538C" w:rsidRPr="00545B57">
        <w:rPr>
          <w:rFonts w:eastAsia="Calibri"/>
          <w:vertAlign w:val="superscript"/>
        </w:rPr>
        <w:t>st</w:t>
      </w:r>
      <w:r w:rsidRPr="00545B57">
        <w:rPr>
          <w:rFonts w:eastAsia="Calibri"/>
        </w:rPr>
        <w:t xml:space="preserve"> M</w:t>
      </w:r>
      <w:r w:rsidR="001E538C" w:rsidRPr="00545B57">
        <w:rPr>
          <w:rFonts w:eastAsia="Calibri"/>
        </w:rPr>
        <w:t xml:space="preserve">arch 2010 </w:t>
      </w:r>
      <w:r w:rsidRPr="00545B57">
        <w:rPr>
          <w:rFonts w:eastAsia="Calibri"/>
        </w:rPr>
        <w:t>f</w:t>
      </w:r>
      <w:r w:rsidR="001E538C" w:rsidRPr="00545B57">
        <w:rPr>
          <w:rFonts w:eastAsia="Calibri"/>
        </w:rPr>
        <w:t>or the bu</w:t>
      </w:r>
      <w:r w:rsidRPr="00545B57">
        <w:rPr>
          <w:rFonts w:eastAsia="Calibri"/>
        </w:rPr>
        <w:t xml:space="preserve">siness of hairdresser, importer, </w:t>
      </w:r>
      <w:r w:rsidR="001E538C" w:rsidRPr="00545B57">
        <w:rPr>
          <w:rFonts w:eastAsia="Calibri"/>
        </w:rPr>
        <w:t xml:space="preserve">retailer, accommodation, catering and entertainment. </w:t>
      </w:r>
    </w:p>
    <w:p w:rsidR="00545B57" w:rsidRDefault="00545B57" w:rsidP="00545B57">
      <w:pPr>
        <w:pStyle w:val="ListParagraph"/>
        <w:rPr>
          <w:rFonts w:eastAsia="Calibri"/>
        </w:rPr>
      </w:pPr>
    </w:p>
    <w:p w:rsidR="001E538C" w:rsidRDefault="001E538C" w:rsidP="00657BA0">
      <w:pPr>
        <w:pStyle w:val="JudgmentText"/>
        <w:tabs>
          <w:tab w:val="clear" w:pos="360"/>
          <w:tab w:val="left" w:pos="720"/>
        </w:tabs>
        <w:spacing w:after="0"/>
        <w:ind w:hanging="720"/>
        <w:contextualSpacing/>
        <w:rPr>
          <w:rFonts w:eastAsia="Calibri"/>
        </w:rPr>
      </w:pPr>
      <w:r w:rsidRPr="00657BA0">
        <w:rPr>
          <w:rFonts w:eastAsia="Calibri"/>
        </w:rPr>
        <w:t>As part</w:t>
      </w:r>
      <w:r w:rsidR="00657BA0">
        <w:rPr>
          <w:rFonts w:eastAsia="Calibri"/>
        </w:rPr>
        <w:t xml:space="preserve"> of the tax reform program the P</w:t>
      </w:r>
      <w:r w:rsidRPr="00657BA0">
        <w:rPr>
          <w:rFonts w:eastAsia="Calibri"/>
        </w:rPr>
        <w:t>laintiff issued a letter on the 23</w:t>
      </w:r>
      <w:r w:rsidRPr="00657BA0">
        <w:rPr>
          <w:rFonts w:eastAsia="Calibri"/>
          <w:vertAlign w:val="superscript"/>
        </w:rPr>
        <w:t>rd</w:t>
      </w:r>
      <w:r w:rsidR="00657BA0">
        <w:rPr>
          <w:rFonts w:eastAsia="Calibri"/>
        </w:rPr>
        <w:t xml:space="preserve"> April 2010 to the D</w:t>
      </w:r>
      <w:r w:rsidRPr="00657BA0">
        <w:rPr>
          <w:rFonts w:eastAsia="Calibri"/>
        </w:rPr>
        <w:t>efendant informing him of a change in Taxpayer I</w:t>
      </w:r>
      <w:r w:rsidR="00657BA0">
        <w:rPr>
          <w:rFonts w:eastAsia="Calibri"/>
        </w:rPr>
        <w:t xml:space="preserve">dentification Number. </w:t>
      </w:r>
      <w:r w:rsidRPr="00657BA0">
        <w:rPr>
          <w:rFonts w:eastAsia="Calibri"/>
        </w:rPr>
        <w:t>On the 31</w:t>
      </w:r>
      <w:r w:rsidRPr="00657BA0">
        <w:rPr>
          <w:rFonts w:eastAsia="Calibri"/>
          <w:vertAlign w:val="superscript"/>
        </w:rPr>
        <w:t>st</w:t>
      </w:r>
      <w:r w:rsidR="00657BA0">
        <w:rPr>
          <w:rFonts w:eastAsia="Calibri"/>
        </w:rPr>
        <w:t xml:space="preserve"> October 2011 the D</w:t>
      </w:r>
      <w:r w:rsidRPr="00657BA0">
        <w:rPr>
          <w:rFonts w:eastAsia="Calibri"/>
        </w:rPr>
        <w:t>efendants filed hi</w:t>
      </w:r>
      <w:r w:rsidR="00657BA0">
        <w:rPr>
          <w:rFonts w:eastAsia="Calibri"/>
        </w:rPr>
        <w:t>s Business Tax self-assessment F</w:t>
      </w:r>
      <w:r w:rsidRPr="00657BA0">
        <w:rPr>
          <w:rFonts w:eastAsia="Calibri"/>
        </w:rPr>
        <w:t>orm</w:t>
      </w:r>
      <w:r w:rsidR="00657BA0">
        <w:rPr>
          <w:rFonts w:eastAsia="Calibri"/>
        </w:rPr>
        <w:t xml:space="preserve"> Return for the year 2010. </w:t>
      </w:r>
      <w:r w:rsidRPr="00657BA0">
        <w:rPr>
          <w:rFonts w:eastAsia="Calibri"/>
        </w:rPr>
        <w:t>On the 6</w:t>
      </w:r>
      <w:r w:rsidRPr="00657BA0">
        <w:rPr>
          <w:rFonts w:eastAsia="Calibri"/>
          <w:vertAlign w:val="superscript"/>
        </w:rPr>
        <w:t>th</w:t>
      </w:r>
      <w:r w:rsidR="00657BA0">
        <w:rPr>
          <w:rFonts w:eastAsia="Calibri"/>
        </w:rPr>
        <w:t xml:space="preserve"> January 2012 the D</w:t>
      </w:r>
      <w:r w:rsidRPr="00657BA0">
        <w:rPr>
          <w:rFonts w:eastAsia="Calibri"/>
        </w:rPr>
        <w:t>efendant was issued a self-assessment notification business tax return for the year 2010 detailing the revenue liability. Th</w:t>
      </w:r>
      <w:r w:rsidR="00657BA0">
        <w:rPr>
          <w:rFonts w:eastAsia="Calibri"/>
        </w:rPr>
        <w:t>e notice did not return to the Plaintiff as unserved.</w:t>
      </w:r>
    </w:p>
    <w:p w:rsidR="00657BA0" w:rsidRDefault="00657BA0" w:rsidP="00657BA0">
      <w:pPr>
        <w:pStyle w:val="ListParagraph"/>
        <w:rPr>
          <w:rFonts w:eastAsia="Calibri"/>
        </w:rPr>
      </w:pPr>
    </w:p>
    <w:p w:rsidR="00657BA0" w:rsidRDefault="001E538C" w:rsidP="00657BA0">
      <w:pPr>
        <w:pStyle w:val="JudgmentText"/>
        <w:tabs>
          <w:tab w:val="clear" w:pos="360"/>
          <w:tab w:val="left" w:pos="720"/>
        </w:tabs>
        <w:spacing w:after="0"/>
        <w:ind w:hanging="720"/>
        <w:contextualSpacing/>
        <w:rPr>
          <w:rFonts w:eastAsia="Calibri"/>
        </w:rPr>
      </w:pPr>
      <w:r w:rsidRPr="00657BA0">
        <w:rPr>
          <w:rFonts w:eastAsia="Calibri"/>
        </w:rPr>
        <w:t>On the 27</w:t>
      </w:r>
      <w:r w:rsidRPr="00657BA0">
        <w:rPr>
          <w:rFonts w:eastAsia="Calibri"/>
          <w:vertAlign w:val="superscript"/>
        </w:rPr>
        <w:t>th</w:t>
      </w:r>
      <w:r w:rsidRPr="00657BA0">
        <w:rPr>
          <w:rFonts w:eastAsia="Calibri"/>
        </w:rPr>
        <w:t xml:space="preserve"> December 2012 the </w:t>
      </w:r>
      <w:r w:rsidR="00657BA0" w:rsidRPr="00657BA0">
        <w:rPr>
          <w:rFonts w:eastAsia="Calibri"/>
        </w:rPr>
        <w:t>P</w:t>
      </w:r>
      <w:r w:rsidRPr="00657BA0">
        <w:rPr>
          <w:rFonts w:eastAsia="Calibri"/>
        </w:rPr>
        <w:t>l</w:t>
      </w:r>
      <w:r w:rsidR="00657BA0" w:rsidRPr="00657BA0">
        <w:rPr>
          <w:rFonts w:eastAsia="Calibri"/>
        </w:rPr>
        <w:t>aintiff issued a letter to the D</w:t>
      </w:r>
      <w:r w:rsidRPr="00657BA0">
        <w:rPr>
          <w:rFonts w:eastAsia="Calibri"/>
        </w:rPr>
        <w:t>efendant requesting him to attend office within 14 days to see Mr. Albert and to bring along his payroll details for his employees for the period 1</w:t>
      </w:r>
      <w:r w:rsidRPr="00657BA0">
        <w:rPr>
          <w:rFonts w:eastAsia="Calibri"/>
          <w:vertAlign w:val="superscript"/>
        </w:rPr>
        <w:t>st</w:t>
      </w:r>
      <w:r w:rsidRPr="00657BA0">
        <w:rPr>
          <w:rFonts w:eastAsia="Calibri"/>
        </w:rPr>
        <w:t xml:space="preserve"> March 2010 to 30</w:t>
      </w:r>
      <w:r w:rsidRPr="00657BA0">
        <w:rPr>
          <w:rFonts w:eastAsia="Calibri"/>
          <w:vertAlign w:val="superscript"/>
        </w:rPr>
        <w:t>th</w:t>
      </w:r>
      <w:r w:rsidR="00657BA0" w:rsidRPr="00657BA0">
        <w:rPr>
          <w:rFonts w:eastAsia="Calibri"/>
        </w:rPr>
        <w:t xml:space="preserve"> November 2012.</w:t>
      </w:r>
      <w:r w:rsidRPr="00657BA0">
        <w:rPr>
          <w:rFonts w:eastAsia="Calibri"/>
        </w:rPr>
        <w:t xml:space="preserve"> Failing to com</w:t>
      </w:r>
      <w:r w:rsidR="00657BA0" w:rsidRPr="00657BA0">
        <w:rPr>
          <w:rFonts w:eastAsia="Calibri"/>
        </w:rPr>
        <w:t>ply with the first notice, the Plaintiff</w:t>
      </w:r>
      <w:r w:rsidRPr="00657BA0">
        <w:rPr>
          <w:rFonts w:eastAsia="Calibri"/>
        </w:rPr>
        <w:t xml:space="preserve"> issued a reminder letter on the 28</w:t>
      </w:r>
      <w:r w:rsidRPr="00657BA0">
        <w:rPr>
          <w:rFonts w:eastAsia="Calibri"/>
          <w:vertAlign w:val="superscript"/>
        </w:rPr>
        <w:t>th</w:t>
      </w:r>
      <w:r w:rsidR="00657BA0" w:rsidRPr="00657BA0">
        <w:rPr>
          <w:rFonts w:eastAsia="Calibri"/>
        </w:rPr>
        <w:t xml:space="preserve"> January 2013 to the D</w:t>
      </w:r>
      <w:r w:rsidRPr="00657BA0">
        <w:rPr>
          <w:rFonts w:eastAsia="Calibri"/>
        </w:rPr>
        <w:t>efendant requesting him to attend office and to bring along his payroll details for his employees for the period 1</w:t>
      </w:r>
      <w:r w:rsidRPr="00657BA0">
        <w:rPr>
          <w:rFonts w:eastAsia="Calibri"/>
          <w:vertAlign w:val="superscript"/>
        </w:rPr>
        <w:t>st</w:t>
      </w:r>
      <w:r w:rsidRPr="00657BA0">
        <w:rPr>
          <w:rFonts w:eastAsia="Calibri"/>
        </w:rPr>
        <w:t xml:space="preserve"> March 2010 to 30</w:t>
      </w:r>
      <w:r w:rsidRPr="00657BA0">
        <w:rPr>
          <w:rFonts w:eastAsia="Calibri"/>
          <w:vertAlign w:val="superscript"/>
        </w:rPr>
        <w:t>th</w:t>
      </w:r>
      <w:r w:rsidRPr="00657BA0">
        <w:rPr>
          <w:rFonts w:eastAsia="Calibri"/>
        </w:rPr>
        <w:t xml:space="preserve"> November 201</w:t>
      </w:r>
      <w:r w:rsidR="00657BA0" w:rsidRPr="00657BA0">
        <w:rPr>
          <w:rFonts w:eastAsia="Calibri"/>
        </w:rPr>
        <w:t>2. The D</w:t>
      </w:r>
      <w:r w:rsidRPr="00657BA0">
        <w:rPr>
          <w:rFonts w:eastAsia="Calibri"/>
        </w:rPr>
        <w:t xml:space="preserve">efendant was given 7 days to respond to the notice. </w:t>
      </w:r>
    </w:p>
    <w:p w:rsidR="00657BA0" w:rsidRDefault="00657BA0" w:rsidP="00657BA0">
      <w:pPr>
        <w:pStyle w:val="ListParagraph"/>
        <w:rPr>
          <w:rFonts w:eastAsia="Calibri"/>
        </w:rPr>
      </w:pPr>
    </w:p>
    <w:p w:rsidR="00657BA0" w:rsidRDefault="001E538C" w:rsidP="00657BA0">
      <w:pPr>
        <w:pStyle w:val="JudgmentText"/>
        <w:tabs>
          <w:tab w:val="clear" w:pos="360"/>
          <w:tab w:val="left" w:pos="720"/>
        </w:tabs>
        <w:spacing w:after="0"/>
        <w:ind w:hanging="720"/>
        <w:contextualSpacing/>
        <w:rPr>
          <w:rFonts w:eastAsia="Calibri"/>
        </w:rPr>
      </w:pPr>
      <w:r w:rsidRPr="00657BA0">
        <w:rPr>
          <w:rFonts w:eastAsia="Calibri"/>
        </w:rPr>
        <w:t>On the 13</w:t>
      </w:r>
      <w:r w:rsidRPr="00657BA0">
        <w:rPr>
          <w:rFonts w:eastAsia="Calibri"/>
          <w:vertAlign w:val="superscript"/>
        </w:rPr>
        <w:t>th</w:t>
      </w:r>
      <w:r w:rsidR="00657BA0">
        <w:rPr>
          <w:rFonts w:eastAsia="Calibri"/>
        </w:rPr>
        <w:t xml:space="preserve"> February 2013 the D</w:t>
      </w:r>
      <w:r w:rsidRPr="00657BA0">
        <w:rPr>
          <w:rFonts w:eastAsia="Calibri"/>
        </w:rPr>
        <w:t>efendant was issued letter requesting to submit the salary details for all his employees for their respective period of employment for the period 1</w:t>
      </w:r>
      <w:r w:rsidRPr="00657BA0">
        <w:rPr>
          <w:rFonts w:eastAsia="Calibri"/>
          <w:vertAlign w:val="superscript"/>
        </w:rPr>
        <w:t>st</w:t>
      </w:r>
      <w:r w:rsidRPr="00657BA0">
        <w:rPr>
          <w:rFonts w:eastAsia="Calibri"/>
        </w:rPr>
        <w:t xml:space="preserve"> June 2010 up to that date. Another </w:t>
      </w:r>
      <w:r w:rsidR="00657BA0">
        <w:rPr>
          <w:rFonts w:eastAsia="Calibri"/>
        </w:rPr>
        <w:t>reminder was issued out to the D</w:t>
      </w:r>
      <w:r w:rsidRPr="00657BA0">
        <w:rPr>
          <w:rFonts w:eastAsia="Calibri"/>
        </w:rPr>
        <w:t>efendant on the 5</w:t>
      </w:r>
      <w:r w:rsidRPr="00657BA0">
        <w:rPr>
          <w:rFonts w:eastAsia="Calibri"/>
          <w:vertAlign w:val="superscript"/>
        </w:rPr>
        <w:t>th</w:t>
      </w:r>
      <w:r w:rsidR="00657BA0">
        <w:rPr>
          <w:rFonts w:eastAsia="Calibri"/>
        </w:rPr>
        <w:t xml:space="preserve"> March 2013. The D</w:t>
      </w:r>
      <w:r w:rsidRPr="00657BA0">
        <w:rPr>
          <w:rFonts w:eastAsia="Calibri"/>
        </w:rPr>
        <w:t xml:space="preserve">efendant was </w:t>
      </w:r>
      <w:r w:rsidR="00657BA0">
        <w:rPr>
          <w:rFonts w:eastAsia="Calibri"/>
        </w:rPr>
        <w:t xml:space="preserve">also </w:t>
      </w:r>
      <w:r w:rsidRPr="00657BA0">
        <w:rPr>
          <w:rFonts w:eastAsia="Calibri"/>
        </w:rPr>
        <w:t>sent a 2</w:t>
      </w:r>
      <w:r w:rsidRPr="00657BA0">
        <w:rPr>
          <w:rFonts w:eastAsia="Calibri"/>
          <w:vertAlign w:val="superscript"/>
        </w:rPr>
        <w:t>nd</w:t>
      </w:r>
      <w:r w:rsidRPr="00657BA0">
        <w:rPr>
          <w:rFonts w:eastAsia="Calibri"/>
        </w:rPr>
        <w:t xml:space="preserve"> reminder for the request of information to submit the salary details of all employees for the respective period of employment for the period 1</w:t>
      </w:r>
      <w:r w:rsidRPr="00657BA0">
        <w:rPr>
          <w:rFonts w:eastAsia="Calibri"/>
          <w:vertAlign w:val="superscript"/>
        </w:rPr>
        <w:t>st</w:t>
      </w:r>
      <w:r w:rsidRPr="00657BA0">
        <w:rPr>
          <w:rFonts w:eastAsia="Calibri"/>
        </w:rPr>
        <w:t xml:space="preserve"> June 2010 up to date.</w:t>
      </w:r>
    </w:p>
    <w:p w:rsidR="00657BA0" w:rsidRDefault="00657BA0" w:rsidP="00657BA0">
      <w:pPr>
        <w:pStyle w:val="ListParagraph"/>
        <w:rPr>
          <w:rFonts w:eastAsia="Calibri"/>
        </w:rPr>
      </w:pPr>
    </w:p>
    <w:p w:rsidR="001E538C" w:rsidRDefault="001E538C" w:rsidP="00657BA0">
      <w:pPr>
        <w:pStyle w:val="JudgmentText"/>
        <w:tabs>
          <w:tab w:val="clear" w:pos="360"/>
          <w:tab w:val="left" w:pos="720"/>
        </w:tabs>
        <w:spacing w:after="0"/>
        <w:ind w:hanging="720"/>
        <w:contextualSpacing/>
        <w:rPr>
          <w:rFonts w:eastAsia="Calibri"/>
        </w:rPr>
      </w:pPr>
      <w:r w:rsidRPr="00657BA0">
        <w:rPr>
          <w:rFonts w:eastAsia="Calibri"/>
        </w:rPr>
        <w:t>On the 20</w:t>
      </w:r>
      <w:r w:rsidRPr="00657BA0">
        <w:rPr>
          <w:rFonts w:eastAsia="Calibri"/>
          <w:vertAlign w:val="superscript"/>
        </w:rPr>
        <w:t>th</w:t>
      </w:r>
      <w:r w:rsidR="00657BA0">
        <w:rPr>
          <w:rFonts w:eastAsia="Calibri"/>
        </w:rPr>
        <w:t xml:space="preserve"> April 2015 the D</w:t>
      </w:r>
      <w:r w:rsidRPr="00657BA0">
        <w:rPr>
          <w:rFonts w:eastAsia="Calibri"/>
        </w:rPr>
        <w:t>efendant was issued a letter informing him of the income &amp; non-monetary benefits tax audit of Martin Hoareau Hairdre</w:t>
      </w:r>
      <w:r w:rsidR="00657BA0">
        <w:rPr>
          <w:rFonts w:eastAsia="Calibri"/>
        </w:rPr>
        <w:t>ssing for the period July 2010 to</w:t>
      </w:r>
      <w:r w:rsidRPr="00657BA0">
        <w:rPr>
          <w:rFonts w:eastAsia="Calibri"/>
        </w:rPr>
        <w:t xml:space="preserve"> October 2013 amounting to the sum of SR 300,446.46. He was also informed that the audit was</w:t>
      </w:r>
      <w:r w:rsidR="00657BA0">
        <w:rPr>
          <w:rFonts w:eastAsia="Calibri"/>
        </w:rPr>
        <w:t xml:space="preserve"> at the stage of providing the D</w:t>
      </w:r>
      <w:r w:rsidRPr="00657BA0">
        <w:rPr>
          <w:rFonts w:eastAsia="Calibri"/>
        </w:rPr>
        <w:t>efendant with their findings and giving him the</w:t>
      </w:r>
      <w:r w:rsidR="00657BA0">
        <w:rPr>
          <w:rFonts w:eastAsia="Calibri"/>
        </w:rPr>
        <w:t xml:space="preserve"> opportunity to respond to the P</w:t>
      </w:r>
      <w:r w:rsidRPr="00657BA0">
        <w:rPr>
          <w:rFonts w:eastAsia="Calibri"/>
        </w:rPr>
        <w:t>laintiff’s proposed adjustments and to any new tax payab</w:t>
      </w:r>
      <w:r w:rsidR="00657BA0">
        <w:rPr>
          <w:rFonts w:eastAsia="Calibri"/>
        </w:rPr>
        <w:t xml:space="preserve">le. </w:t>
      </w:r>
      <w:r w:rsidRPr="00657BA0">
        <w:rPr>
          <w:rFonts w:eastAsia="Calibri"/>
        </w:rPr>
        <w:lastRenderedPageBreak/>
        <w:t>On the 12</w:t>
      </w:r>
      <w:r w:rsidRPr="00657BA0">
        <w:rPr>
          <w:rFonts w:eastAsia="Calibri"/>
          <w:vertAlign w:val="superscript"/>
        </w:rPr>
        <w:t>th</w:t>
      </w:r>
      <w:r w:rsidR="00657BA0">
        <w:rPr>
          <w:rFonts w:eastAsia="Calibri"/>
        </w:rPr>
        <w:t xml:space="preserve"> May 2015 the D</w:t>
      </w:r>
      <w:r w:rsidRPr="00657BA0">
        <w:rPr>
          <w:rFonts w:eastAsia="Calibri"/>
        </w:rPr>
        <w:t>efendant was issued a letter informing him of the audit conclusion proposed for the outcome and Non-Monetary Benefits Tax respective of the hairdressing business that the audit for the period of July 2010 to October 2013 in respect of the income and non-monetary benefits tax. It was noted that no additional inform</w:t>
      </w:r>
      <w:r w:rsidR="00657BA0">
        <w:rPr>
          <w:rFonts w:eastAsia="Calibri"/>
        </w:rPr>
        <w:t>ation had been provided by the D</w:t>
      </w:r>
      <w:r w:rsidRPr="00657BA0">
        <w:rPr>
          <w:rFonts w:eastAsia="Calibri"/>
        </w:rPr>
        <w:t xml:space="preserve">efendant up to date. Hence the audit result will remain as stated in </w:t>
      </w:r>
      <w:r w:rsidR="00657BA0">
        <w:rPr>
          <w:rFonts w:eastAsia="Calibri"/>
        </w:rPr>
        <w:t xml:space="preserve">that proposal letter. </w:t>
      </w:r>
      <w:r w:rsidRPr="00657BA0">
        <w:rPr>
          <w:rFonts w:eastAsia="Calibri"/>
        </w:rPr>
        <w:t>A second reminder for Request of Inf</w:t>
      </w:r>
      <w:r w:rsidR="00657BA0">
        <w:rPr>
          <w:rFonts w:eastAsia="Calibri"/>
        </w:rPr>
        <w:t>ormation was issued out to the D</w:t>
      </w:r>
      <w:r w:rsidRPr="00657BA0">
        <w:rPr>
          <w:rFonts w:eastAsia="Calibri"/>
        </w:rPr>
        <w:t>efendant on the 8</w:t>
      </w:r>
      <w:r w:rsidRPr="00657BA0">
        <w:rPr>
          <w:rFonts w:eastAsia="Calibri"/>
          <w:vertAlign w:val="superscript"/>
        </w:rPr>
        <w:t>th</w:t>
      </w:r>
      <w:r w:rsidRPr="00657BA0">
        <w:rPr>
          <w:rFonts w:eastAsia="Calibri"/>
        </w:rPr>
        <w:t xml:space="preserve"> June 2015 the along with a statement of unpaid revenue dated 8</w:t>
      </w:r>
      <w:r w:rsidRPr="00657BA0">
        <w:rPr>
          <w:rFonts w:eastAsia="Calibri"/>
          <w:vertAlign w:val="superscript"/>
        </w:rPr>
        <w:t>th</w:t>
      </w:r>
      <w:r w:rsidR="00657BA0">
        <w:rPr>
          <w:rFonts w:eastAsia="Calibri"/>
        </w:rPr>
        <w:t xml:space="preserve"> June 2015.</w:t>
      </w:r>
    </w:p>
    <w:p w:rsidR="00657BA0" w:rsidRDefault="00657BA0" w:rsidP="00657BA0">
      <w:pPr>
        <w:pStyle w:val="ListParagraph"/>
        <w:rPr>
          <w:rFonts w:eastAsia="Calibri"/>
        </w:rPr>
      </w:pPr>
    </w:p>
    <w:p w:rsidR="00E83395" w:rsidRDefault="00657BA0" w:rsidP="00657BA0">
      <w:pPr>
        <w:pStyle w:val="JudgmentText"/>
        <w:tabs>
          <w:tab w:val="clear" w:pos="360"/>
          <w:tab w:val="left" w:pos="720"/>
        </w:tabs>
        <w:spacing w:after="0"/>
        <w:ind w:hanging="720"/>
        <w:contextualSpacing/>
        <w:rPr>
          <w:rFonts w:eastAsia="Calibri"/>
        </w:rPr>
      </w:pPr>
      <w:r>
        <w:rPr>
          <w:rFonts w:eastAsia="Calibri"/>
        </w:rPr>
        <w:t>The D</w:t>
      </w:r>
      <w:r w:rsidR="001E538C" w:rsidRPr="00657BA0">
        <w:rPr>
          <w:rFonts w:eastAsia="Calibri"/>
        </w:rPr>
        <w:t xml:space="preserve">efendant provided the </w:t>
      </w:r>
      <w:r>
        <w:rPr>
          <w:rFonts w:eastAsia="Calibri"/>
        </w:rPr>
        <w:t>Plaintiff with 3 post-dated cheques; cheques numbers</w:t>
      </w:r>
      <w:r w:rsidR="001E538C" w:rsidRPr="00657BA0">
        <w:rPr>
          <w:rFonts w:eastAsia="Calibri"/>
        </w:rPr>
        <w:t xml:space="preserve"> B000228,</w:t>
      </w:r>
      <w:r>
        <w:rPr>
          <w:rFonts w:eastAsia="Calibri"/>
        </w:rPr>
        <w:t xml:space="preserve"> B000234 and</w:t>
      </w:r>
      <w:r w:rsidR="001E538C" w:rsidRPr="00657BA0">
        <w:rPr>
          <w:rFonts w:eastAsia="Calibri"/>
        </w:rPr>
        <w:t xml:space="preserve"> B000233</w:t>
      </w:r>
      <w:r>
        <w:rPr>
          <w:rFonts w:eastAsia="Calibri"/>
        </w:rPr>
        <w:t xml:space="preserve"> to which he received receipt number</w:t>
      </w:r>
      <w:r w:rsidR="001E538C" w:rsidRPr="00657BA0">
        <w:rPr>
          <w:rFonts w:eastAsia="Calibri"/>
        </w:rPr>
        <w:t xml:space="preserve"> 31001 worth SR50,000</w:t>
      </w:r>
      <w:r>
        <w:rPr>
          <w:rFonts w:eastAsia="Calibri"/>
        </w:rPr>
        <w:t>. The cheques</w:t>
      </w:r>
      <w:r w:rsidR="001E538C" w:rsidRPr="00657BA0">
        <w:rPr>
          <w:rFonts w:eastAsia="Calibri"/>
        </w:rPr>
        <w:t xml:space="preserve"> were dishonoured upon presentation to the bank. </w:t>
      </w:r>
      <w:r>
        <w:rPr>
          <w:rFonts w:eastAsia="Calibri"/>
        </w:rPr>
        <w:t>L</w:t>
      </w:r>
      <w:r w:rsidR="00E83395">
        <w:rPr>
          <w:rFonts w:eastAsia="Calibri"/>
        </w:rPr>
        <w:t xml:space="preserve">ater </w:t>
      </w:r>
      <w:r w:rsidR="001E538C" w:rsidRPr="00657BA0">
        <w:rPr>
          <w:rFonts w:eastAsia="Calibri"/>
        </w:rPr>
        <w:t>in 2016 he made payments of SR50,000 as stipulated by receipt no 14225, 16664, 21389, and 25825 to offset the dishonoured cheques.</w:t>
      </w:r>
    </w:p>
    <w:p w:rsidR="00E83395" w:rsidRDefault="00E83395" w:rsidP="00E83395">
      <w:pPr>
        <w:pStyle w:val="ListParagraph"/>
        <w:rPr>
          <w:rFonts w:eastAsia="Calibri"/>
        </w:rPr>
      </w:pPr>
    </w:p>
    <w:p w:rsidR="001E538C" w:rsidRDefault="001E538C" w:rsidP="00E83395">
      <w:pPr>
        <w:pStyle w:val="JudgmentText"/>
        <w:tabs>
          <w:tab w:val="clear" w:pos="360"/>
          <w:tab w:val="left" w:pos="720"/>
        </w:tabs>
        <w:spacing w:after="0"/>
        <w:ind w:hanging="720"/>
        <w:contextualSpacing/>
        <w:rPr>
          <w:rFonts w:eastAsia="Calibri"/>
        </w:rPr>
      </w:pPr>
      <w:r w:rsidRPr="00E83395">
        <w:rPr>
          <w:rFonts w:eastAsia="Calibri"/>
        </w:rPr>
        <w:t xml:space="preserve"> On the 3</w:t>
      </w:r>
      <w:r w:rsidRPr="00E83395">
        <w:rPr>
          <w:rFonts w:eastAsia="Calibri"/>
          <w:vertAlign w:val="superscript"/>
        </w:rPr>
        <w:t>rd</w:t>
      </w:r>
      <w:r w:rsidRPr="00E83395">
        <w:rPr>
          <w:rFonts w:eastAsia="Calibri"/>
        </w:rPr>
        <w:t xml:space="preserve"> February 2016 a letter of fi</w:t>
      </w:r>
      <w:r w:rsidR="00E83395" w:rsidRPr="00E83395">
        <w:rPr>
          <w:rFonts w:eastAsia="Calibri"/>
        </w:rPr>
        <w:t>nal notice was sent out to the D</w:t>
      </w:r>
      <w:r w:rsidRPr="00E83395">
        <w:rPr>
          <w:rFonts w:eastAsia="Calibri"/>
        </w:rPr>
        <w:t>efendant. On the 7</w:t>
      </w:r>
      <w:r w:rsidRPr="00E83395">
        <w:rPr>
          <w:rFonts w:eastAsia="Calibri"/>
          <w:vertAlign w:val="superscript"/>
        </w:rPr>
        <w:t>th</w:t>
      </w:r>
      <w:r w:rsidR="00E83395">
        <w:rPr>
          <w:rFonts w:eastAsia="Calibri"/>
        </w:rPr>
        <w:t xml:space="preserve"> June 2016 the D</w:t>
      </w:r>
      <w:r w:rsidRPr="00E83395">
        <w:rPr>
          <w:rFonts w:eastAsia="Calibri"/>
        </w:rPr>
        <w:t>efendant was issued a letter of notification of tax audit to inform that Martin Hoareau Hairdressing had been selected by Seychelles Revenue Commission for a Business Tax and Income tax &amp; Non-Monetary benefit tax audit for the period of 201</w:t>
      </w:r>
      <w:r w:rsidR="00E83395">
        <w:rPr>
          <w:rFonts w:eastAsia="Calibri"/>
        </w:rPr>
        <w:t xml:space="preserve">1-2015. </w:t>
      </w:r>
      <w:r w:rsidRPr="00E83395">
        <w:rPr>
          <w:rFonts w:eastAsia="Calibri"/>
        </w:rPr>
        <w:t>On the 23</w:t>
      </w:r>
      <w:r w:rsidRPr="00E83395">
        <w:rPr>
          <w:rFonts w:eastAsia="Calibri"/>
          <w:vertAlign w:val="superscript"/>
        </w:rPr>
        <w:t>rd</w:t>
      </w:r>
      <w:r w:rsidRPr="00E83395">
        <w:rPr>
          <w:rFonts w:eastAsia="Calibri"/>
        </w:rPr>
        <w:t xml:space="preserve"> December 2016 a letter was issued to the </w:t>
      </w:r>
      <w:r w:rsidR="00E83395">
        <w:rPr>
          <w:rFonts w:eastAsia="Calibri"/>
        </w:rPr>
        <w:t>D</w:t>
      </w:r>
      <w:r w:rsidRPr="00E83395">
        <w:rPr>
          <w:rFonts w:eastAsia="Calibri"/>
        </w:rPr>
        <w:t>efendant informing him that the audit of income tax for the period November 2013 to July 2016 was near completion. He was also informed that the audit was at the stage was at the</w:t>
      </w:r>
      <w:r w:rsidR="00E83395">
        <w:rPr>
          <w:rFonts w:eastAsia="Calibri"/>
        </w:rPr>
        <w:t xml:space="preserve"> stage of providing the D</w:t>
      </w:r>
      <w:r w:rsidRPr="00E83395">
        <w:rPr>
          <w:rFonts w:eastAsia="Calibri"/>
        </w:rPr>
        <w:t>efendant with their findings and giving him the</w:t>
      </w:r>
      <w:r w:rsidR="00E83395">
        <w:rPr>
          <w:rFonts w:eastAsia="Calibri"/>
        </w:rPr>
        <w:t xml:space="preserve"> opportunity to respond to the P</w:t>
      </w:r>
      <w:r w:rsidRPr="00E83395">
        <w:rPr>
          <w:rFonts w:eastAsia="Calibri"/>
        </w:rPr>
        <w:t xml:space="preserve">laintiff proposed adjustments </w:t>
      </w:r>
      <w:r w:rsidR="00E83395">
        <w:rPr>
          <w:rFonts w:eastAsia="Calibri"/>
        </w:rPr>
        <w:t>and to pay any new tax payable.</w:t>
      </w:r>
    </w:p>
    <w:p w:rsidR="00E83395" w:rsidRDefault="00E83395" w:rsidP="00E83395">
      <w:pPr>
        <w:pStyle w:val="ListParagraph"/>
        <w:rPr>
          <w:rFonts w:eastAsia="Calibri"/>
        </w:rPr>
      </w:pPr>
    </w:p>
    <w:p w:rsidR="001E538C" w:rsidRDefault="001E538C" w:rsidP="00E83395">
      <w:pPr>
        <w:pStyle w:val="JudgmentText"/>
        <w:tabs>
          <w:tab w:val="clear" w:pos="360"/>
          <w:tab w:val="left" w:pos="720"/>
        </w:tabs>
        <w:spacing w:after="0"/>
        <w:ind w:hanging="720"/>
        <w:contextualSpacing/>
        <w:rPr>
          <w:rFonts w:eastAsia="Calibri"/>
        </w:rPr>
      </w:pPr>
      <w:r w:rsidRPr="00E83395">
        <w:rPr>
          <w:rFonts w:eastAsia="Calibri"/>
        </w:rPr>
        <w:t>On the 27</w:t>
      </w:r>
      <w:r w:rsidRPr="00E83395">
        <w:rPr>
          <w:rFonts w:eastAsia="Calibri"/>
          <w:vertAlign w:val="superscript"/>
        </w:rPr>
        <w:t>th</w:t>
      </w:r>
      <w:r w:rsidR="00E83395" w:rsidRPr="00E83395">
        <w:rPr>
          <w:rFonts w:eastAsia="Calibri"/>
        </w:rPr>
        <w:t xml:space="preserve"> December 2016 the D</w:t>
      </w:r>
      <w:r w:rsidRPr="00E83395">
        <w:rPr>
          <w:rFonts w:eastAsia="Calibri"/>
        </w:rPr>
        <w:t>efendant was issued a letter informing</w:t>
      </w:r>
      <w:r w:rsidR="00E83395" w:rsidRPr="00E83395">
        <w:rPr>
          <w:rFonts w:eastAsia="Calibri"/>
        </w:rPr>
        <w:t xml:space="preserve"> him</w:t>
      </w:r>
      <w:r w:rsidRPr="00E83395">
        <w:rPr>
          <w:rFonts w:eastAsia="Calibri"/>
        </w:rPr>
        <w:t xml:space="preserve"> that a default assessment in his business tax return for the year 2011 to 2015 had been raised. On the 23</w:t>
      </w:r>
      <w:r w:rsidRPr="00E83395">
        <w:rPr>
          <w:rFonts w:eastAsia="Calibri"/>
          <w:vertAlign w:val="superscript"/>
        </w:rPr>
        <w:t>rd</w:t>
      </w:r>
      <w:r w:rsidR="00E83395" w:rsidRPr="00E83395">
        <w:rPr>
          <w:rFonts w:eastAsia="Calibri"/>
        </w:rPr>
        <w:t xml:space="preserve"> January 2017 the D</w:t>
      </w:r>
      <w:r w:rsidRPr="00E83395">
        <w:rPr>
          <w:rFonts w:eastAsia="Calibri"/>
        </w:rPr>
        <w:t>efendant was issued letter consisting of his default assessment notification for business tax return for the year 2011, 2012, 2013, 2014 and 2015.</w:t>
      </w:r>
      <w:r w:rsidR="00E83395" w:rsidRPr="00E83395">
        <w:rPr>
          <w:rFonts w:eastAsia="Calibri"/>
        </w:rPr>
        <w:t xml:space="preserve"> </w:t>
      </w:r>
      <w:r w:rsidRPr="00E83395">
        <w:rPr>
          <w:rFonts w:eastAsia="Calibri"/>
        </w:rPr>
        <w:t>On the 24</w:t>
      </w:r>
      <w:r w:rsidRPr="00E83395">
        <w:rPr>
          <w:rFonts w:eastAsia="Calibri"/>
          <w:vertAlign w:val="superscript"/>
        </w:rPr>
        <w:t>th</w:t>
      </w:r>
      <w:r w:rsidR="00E83395" w:rsidRPr="00E83395">
        <w:rPr>
          <w:rFonts w:eastAsia="Calibri"/>
        </w:rPr>
        <w:t xml:space="preserve"> January 2017 the D</w:t>
      </w:r>
      <w:r w:rsidRPr="00E83395">
        <w:rPr>
          <w:rFonts w:eastAsia="Calibri"/>
        </w:rPr>
        <w:t>efendant was issued a letter of account summary.</w:t>
      </w:r>
      <w:r w:rsidR="00E83395" w:rsidRPr="00E83395">
        <w:rPr>
          <w:rFonts w:eastAsia="Calibri"/>
        </w:rPr>
        <w:t xml:space="preserve"> </w:t>
      </w:r>
      <w:r w:rsidRPr="00E83395">
        <w:rPr>
          <w:rFonts w:eastAsia="Calibri"/>
        </w:rPr>
        <w:t>On the 26</w:t>
      </w:r>
      <w:r w:rsidRPr="00E83395">
        <w:rPr>
          <w:rFonts w:eastAsia="Calibri"/>
          <w:vertAlign w:val="superscript"/>
        </w:rPr>
        <w:t>th</w:t>
      </w:r>
      <w:r w:rsidRPr="00E83395">
        <w:rPr>
          <w:rFonts w:eastAsia="Calibri"/>
        </w:rPr>
        <w:t xml:space="preserve"> January 2017 default assessment was raised for the year ended 31</w:t>
      </w:r>
      <w:r w:rsidRPr="00E83395">
        <w:rPr>
          <w:rFonts w:eastAsia="Calibri"/>
          <w:vertAlign w:val="superscript"/>
        </w:rPr>
        <w:t>st</w:t>
      </w:r>
      <w:r w:rsidR="00E83395" w:rsidRPr="00E83395">
        <w:rPr>
          <w:rFonts w:eastAsia="Calibri"/>
        </w:rPr>
        <w:t xml:space="preserve"> December 2011-2015. </w:t>
      </w:r>
      <w:r w:rsidRPr="00E83395">
        <w:rPr>
          <w:rFonts w:eastAsia="Calibri"/>
        </w:rPr>
        <w:lastRenderedPageBreak/>
        <w:t>On the 22</w:t>
      </w:r>
      <w:r w:rsidRPr="00E83395">
        <w:rPr>
          <w:rFonts w:eastAsia="Calibri"/>
          <w:vertAlign w:val="superscript"/>
        </w:rPr>
        <w:t>nd</w:t>
      </w:r>
      <w:r w:rsidRPr="00E83395">
        <w:rPr>
          <w:rFonts w:eastAsia="Calibri"/>
        </w:rPr>
        <w:t xml:space="preserve"> March 2017 a statement of unpa</w:t>
      </w:r>
      <w:r w:rsidR="00E83395" w:rsidRPr="00E83395">
        <w:rPr>
          <w:rFonts w:eastAsia="Calibri"/>
        </w:rPr>
        <w:t xml:space="preserve">id revenue was sent out to the Defendant. </w:t>
      </w:r>
      <w:r w:rsidRPr="00E83395">
        <w:rPr>
          <w:rFonts w:eastAsia="Calibri"/>
        </w:rPr>
        <w:t>On the 15</w:t>
      </w:r>
      <w:r w:rsidRPr="00E83395">
        <w:rPr>
          <w:rFonts w:eastAsia="Calibri"/>
          <w:vertAlign w:val="superscript"/>
        </w:rPr>
        <w:t>th</w:t>
      </w:r>
      <w:r w:rsidRPr="00E83395">
        <w:rPr>
          <w:rFonts w:eastAsia="Calibri"/>
        </w:rPr>
        <w:t xml:space="preserve"> June 2018 a statement of un</w:t>
      </w:r>
      <w:r w:rsidR="00E83395" w:rsidRPr="00E83395">
        <w:rPr>
          <w:rFonts w:eastAsia="Calibri"/>
        </w:rPr>
        <w:t>paid revenue was issued to the D</w:t>
      </w:r>
      <w:r w:rsidRPr="00E83395">
        <w:rPr>
          <w:rFonts w:eastAsia="Calibri"/>
        </w:rPr>
        <w:t>efendant. On the 5</w:t>
      </w:r>
      <w:r w:rsidRPr="00E83395">
        <w:rPr>
          <w:rFonts w:eastAsia="Calibri"/>
          <w:vertAlign w:val="superscript"/>
        </w:rPr>
        <w:t>th</w:t>
      </w:r>
      <w:r w:rsidRPr="00E83395">
        <w:rPr>
          <w:rFonts w:eastAsia="Calibri"/>
        </w:rPr>
        <w:t xml:space="preserve"> July 2018 letter of final notice was sent out</w:t>
      </w:r>
      <w:r w:rsidR="00E83395">
        <w:rPr>
          <w:rFonts w:eastAsia="Calibri"/>
        </w:rPr>
        <w:t xml:space="preserve"> to the Defendant.</w:t>
      </w:r>
    </w:p>
    <w:p w:rsidR="00E83395" w:rsidRDefault="00E83395" w:rsidP="00E83395">
      <w:pPr>
        <w:pStyle w:val="ListParagraph"/>
        <w:rPr>
          <w:rFonts w:eastAsia="Calibri"/>
        </w:rPr>
      </w:pPr>
    </w:p>
    <w:p w:rsidR="001E538C" w:rsidRDefault="001E538C" w:rsidP="00E83395">
      <w:pPr>
        <w:pStyle w:val="JudgmentText"/>
        <w:tabs>
          <w:tab w:val="clear" w:pos="360"/>
          <w:tab w:val="left" w:pos="720"/>
        </w:tabs>
        <w:spacing w:after="0"/>
        <w:ind w:hanging="720"/>
        <w:contextualSpacing/>
        <w:rPr>
          <w:rFonts w:eastAsia="Calibri"/>
        </w:rPr>
      </w:pPr>
      <w:r w:rsidRPr="00E83395">
        <w:rPr>
          <w:rFonts w:eastAsia="Calibri"/>
        </w:rPr>
        <w:t>On the 17</w:t>
      </w:r>
      <w:r w:rsidRPr="00E83395">
        <w:rPr>
          <w:rFonts w:eastAsia="Calibri"/>
          <w:vertAlign w:val="superscript"/>
        </w:rPr>
        <w:t>th</w:t>
      </w:r>
      <w:r w:rsidR="00E83395">
        <w:rPr>
          <w:rFonts w:eastAsia="Calibri"/>
        </w:rPr>
        <w:t xml:space="preserve"> July 2018 the D</w:t>
      </w:r>
      <w:r w:rsidRPr="00E83395">
        <w:rPr>
          <w:rFonts w:eastAsia="Calibri"/>
        </w:rPr>
        <w:t>efendant was issued a notice to attend and give evidence of which he attended a meeting on 01</w:t>
      </w:r>
      <w:r w:rsidRPr="00E83395">
        <w:rPr>
          <w:rFonts w:eastAsia="Calibri"/>
          <w:vertAlign w:val="superscript"/>
        </w:rPr>
        <w:t>st</w:t>
      </w:r>
      <w:r w:rsidRPr="00E83395">
        <w:rPr>
          <w:rFonts w:eastAsia="Calibri"/>
        </w:rPr>
        <w:t xml:space="preserve"> August 2018 to try to mediate</w:t>
      </w:r>
      <w:r w:rsidR="00E83395">
        <w:rPr>
          <w:rFonts w:eastAsia="Calibri"/>
        </w:rPr>
        <w:t xml:space="preserve"> and settle the debt. </w:t>
      </w:r>
      <w:r w:rsidRPr="00E83395">
        <w:rPr>
          <w:rFonts w:eastAsia="Calibri"/>
        </w:rPr>
        <w:t xml:space="preserve">The </w:t>
      </w:r>
      <w:r w:rsidR="00E83395">
        <w:rPr>
          <w:rFonts w:eastAsia="Calibri"/>
        </w:rPr>
        <w:t>P</w:t>
      </w:r>
      <w:r w:rsidRPr="00E83395">
        <w:rPr>
          <w:rFonts w:eastAsia="Calibri"/>
        </w:rPr>
        <w:t>laintiff on the 12</w:t>
      </w:r>
      <w:r w:rsidRPr="00E83395">
        <w:rPr>
          <w:rFonts w:eastAsia="Calibri"/>
          <w:vertAlign w:val="superscript"/>
        </w:rPr>
        <w:t>th</w:t>
      </w:r>
      <w:r w:rsidRPr="00E83395">
        <w:rPr>
          <w:rFonts w:eastAsia="Calibri"/>
        </w:rPr>
        <w:t xml:space="preserve"> December 2018 issued out a Notice of Intention to prosecute. He was given 14 d</w:t>
      </w:r>
      <w:r w:rsidR="00E83395">
        <w:rPr>
          <w:rFonts w:eastAsia="Calibri"/>
        </w:rPr>
        <w:t>ays for negotiation of payment.</w:t>
      </w:r>
    </w:p>
    <w:p w:rsidR="00E83395" w:rsidRDefault="00E83395" w:rsidP="00E83395">
      <w:pPr>
        <w:pStyle w:val="ListParagraph"/>
        <w:rPr>
          <w:rFonts w:eastAsia="Calibri"/>
        </w:rPr>
      </w:pPr>
    </w:p>
    <w:p w:rsidR="00E83395" w:rsidRDefault="00E83395" w:rsidP="00E83395">
      <w:pPr>
        <w:pStyle w:val="JudgmentText"/>
        <w:tabs>
          <w:tab w:val="clear" w:pos="360"/>
          <w:tab w:val="left" w:pos="720"/>
        </w:tabs>
        <w:spacing w:after="0"/>
        <w:ind w:hanging="720"/>
        <w:contextualSpacing/>
        <w:rPr>
          <w:rFonts w:eastAsia="Calibri"/>
        </w:rPr>
      </w:pPr>
      <w:r>
        <w:rPr>
          <w:rFonts w:eastAsia="Calibri"/>
        </w:rPr>
        <w:t xml:space="preserve">The outstanding taxes calculated to be owed by the Defendant amounted to the total sum of SCR </w:t>
      </w:r>
      <w:r w:rsidR="001A73AD">
        <w:rPr>
          <w:rFonts w:eastAsia="Calibri"/>
        </w:rPr>
        <w:t xml:space="preserve">1,005,126. </w:t>
      </w:r>
      <w:r w:rsidRPr="001E538C">
        <w:rPr>
          <w:rFonts w:eastAsia="Calibri"/>
        </w:rPr>
        <w:t>37</w:t>
      </w:r>
      <w:r>
        <w:rPr>
          <w:rFonts w:eastAsia="Calibri"/>
        </w:rPr>
        <w:t>. A detailed table produced to the Court is attached as A</w:t>
      </w:r>
      <w:r w:rsidR="002F211F">
        <w:rPr>
          <w:rFonts w:eastAsia="Calibri"/>
        </w:rPr>
        <w:t>NNEX</w:t>
      </w:r>
      <w:r>
        <w:rPr>
          <w:rFonts w:eastAsia="Calibri"/>
        </w:rPr>
        <w:t xml:space="preserve"> 1.</w:t>
      </w:r>
    </w:p>
    <w:p w:rsidR="002F211F" w:rsidRDefault="002F211F" w:rsidP="002F211F">
      <w:pPr>
        <w:pStyle w:val="ListParagraph"/>
        <w:rPr>
          <w:rFonts w:eastAsia="Calibri"/>
        </w:rPr>
      </w:pPr>
    </w:p>
    <w:p w:rsidR="001E538C" w:rsidRDefault="001E538C" w:rsidP="002F211F">
      <w:pPr>
        <w:pStyle w:val="JudgmentText"/>
        <w:tabs>
          <w:tab w:val="clear" w:pos="360"/>
          <w:tab w:val="left" w:pos="720"/>
        </w:tabs>
        <w:spacing w:after="0"/>
        <w:ind w:hanging="720"/>
        <w:contextualSpacing/>
        <w:rPr>
          <w:rFonts w:eastAsia="Calibri"/>
        </w:rPr>
      </w:pPr>
      <w:r w:rsidRPr="002F211F">
        <w:rPr>
          <w:rFonts w:eastAsia="Calibri"/>
        </w:rPr>
        <w:t xml:space="preserve">Despite several reminders sent by the </w:t>
      </w:r>
      <w:r w:rsidR="002F211F">
        <w:rPr>
          <w:rFonts w:eastAsia="Calibri"/>
        </w:rPr>
        <w:t>Plaintiff to the D</w:t>
      </w:r>
      <w:r w:rsidRPr="002F211F">
        <w:rPr>
          <w:rFonts w:eastAsia="Calibri"/>
        </w:rPr>
        <w:t xml:space="preserve">efendant, </w:t>
      </w:r>
      <w:r w:rsidR="002F211F">
        <w:rPr>
          <w:rFonts w:eastAsia="Calibri"/>
        </w:rPr>
        <w:t>t</w:t>
      </w:r>
      <w:r w:rsidRPr="002F211F">
        <w:rPr>
          <w:rFonts w:eastAsia="Calibri"/>
        </w:rPr>
        <w:t>he</w:t>
      </w:r>
      <w:r w:rsidR="002F211F">
        <w:rPr>
          <w:rFonts w:eastAsia="Calibri"/>
        </w:rPr>
        <w:t xml:space="preserve"> Defendant</w:t>
      </w:r>
      <w:r w:rsidRPr="002F211F">
        <w:rPr>
          <w:rFonts w:eastAsia="Calibri"/>
        </w:rPr>
        <w:t xml:space="preserve"> has failed and neglected to pay and settle the tax liabilities</w:t>
      </w:r>
      <w:r w:rsidR="002F211F">
        <w:rPr>
          <w:rFonts w:eastAsia="Calibri"/>
        </w:rPr>
        <w:t xml:space="preserve"> now claimed by the Plaintiff.</w:t>
      </w:r>
    </w:p>
    <w:p w:rsidR="002F211F" w:rsidRDefault="002F211F" w:rsidP="002F211F">
      <w:pPr>
        <w:pStyle w:val="ListParagraph"/>
        <w:rPr>
          <w:rFonts w:eastAsia="Calibri"/>
        </w:rPr>
      </w:pPr>
    </w:p>
    <w:p w:rsidR="002F211F" w:rsidRPr="002F211F" w:rsidRDefault="002F211F" w:rsidP="002F211F">
      <w:pPr>
        <w:pStyle w:val="JudgmentText"/>
        <w:tabs>
          <w:tab w:val="clear" w:pos="360"/>
          <w:tab w:val="left" w:pos="720"/>
        </w:tabs>
        <w:spacing w:after="0"/>
        <w:ind w:hanging="720"/>
        <w:contextualSpacing/>
        <w:rPr>
          <w:rFonts w:eastAsia="Calibri"/>
        </w:rPr>
      </w:pPr>
      <w:r>
        <w:rPr>
          <w:rFonts w:eastAsia="Calibri"/>
        </w:rPr>
        <w:t xml:space="preserve">The Plaintiff now claims the said sum of </w:t>
      </w:r>
      <w:r w:rsidRPr="001E538C">
        <w:rPr>
          <w:rFonts w:eastAsia="Calibri"/>
        </w:rPr>
        <w:t>S</w:t>
      </w:r>
      <w:r>
        <w:rPr>
          <w:rFonts w:eastAsia="Calibri"/>
        </w:rPr>
        <w:t>C</w:t>
      </w:r>
      <w:r w:rsidRPr="001E538C">
        <w:rPr>
          <w:rFonts w:eastAsia="Calibri"/>
        </w:rPr>
        <w:t>R 1,005,126.37</w:t>
      </w:r>
      <w:r>
        <w:rPr>
          <w:rFonts w:eastAsia="Calibri"/>
        </w:rPr>
        <w:t xml:space="preserve"> and further prays the Court to:</w:t>
      </w:r>
    </w:p>
    <w:p w:rsidR="002F211F" w:rsidRDefault="002F211F" w:rsidP="002F211F">
      <w:pPr>
        <w:spacing w:after="0" w:line="360" w:lineRule="auto"/>
        <w:jc w:val="both"/>
        <w:rPr>
          <w:rFonts w:ascii="Times New Roman" w:eastAsia="Calibri" w:hAnsi="Times New Roman" w:cs="Times New Roman"/>
          <w:sz w:val="24"/>
          <w:szCs w:val="24"/>
        </w:rPr>
      </w:pPr>
    </w:p>
    <w:p w:rsidR="001E538C" w:rsidRDefault="001E538C" w:rsidP="002F211F">
      <w:pPr>
        <w:pStyle w:val="ListParagraph"/>
        <w:numPr>
          <w:ilvl w:val="2"/>
          <w:numId w:val="2"/>
        </w:numPr>
        <w:spacing w:after="0" w:line="360" w:lineRule="auto"/>
        <w:jc w:val="both"/>
        <w:rPr>
          <w:rFonts w:ascii="Times New Roman" w:eastAsia="Calibri" w:hAnsi="Times New Roman" w:cs="Times New Roman"/>
          <w:sz w:val="24"/>
          <w:szCs w:val="24"/>
        </w:rPr>
      </w:pPr>
      <w:r w:rsidRPr="002F211F">
        <w:rPr>
          <w:rFonts w:ascii="Times New Roman" w:eastAsia="Calibri" w:hAnsi="Times New Roman" w:cs="Times New Roman"/>
          <w:sz w:val="24"/>
          <w:szCs w:val="24"/>
        </w:rPr>
        <w:t>declare that the Defendant has acted in contravention to the Revenue Administration Act 2009;</w:t>
      </w:r>
    </w:p>
    <w:p w:rsidR="002F211F" w:rsidRDefault="002F211F" w:rsidP="002F211F">
      <w:pPr>
        <w:pStyle w:val="ListParagraph"/>
        <w:spacing w:after="0" w:line="360" w:lineRule="auto"/>
        <w:ind w:left="2160"/>
        <w:jc w:val="both"/>
        <w:rPr>
          <w:rFonts w:ascii="Times New Roman" w:eastAsia="Calibri" w:hAnsi="Times New Roman" w:cs="Times New Roman"/>
          <w:sz w:val="24"/>
          <w:szCs w:val="24"/>
        </w:rPr>
      </w:pPr>
    </w:p>
    <w:p w:rsidR="001E538C" w:rsidRDefault="001E538C" w:rsidP="002F211F">
      <w:pPr>
        <w:pStyle w:val="ListParagraph"/>
        <w:numPr>
          <w:ilvl w:val="2"/>
          <w:numId w:val="2"/>
        </w:numPr>
        <w:spacing w:after="0" w:line="360" w:lineRule="auto"/>
        <w:jc w:val="both"/>
        <w:rPr>
          <w:rFonts w:ascii="Times New Roman" w:eastAsia="Calibri" w:hAnsi="Times New Roman" w:cs="Times New Roman"/>
          <w:sz w:val="24"/>
          <w:szCs w:val="24"/>
        </w:rPr>
      </w:pPr>
      <w:r w:rsidRPr="002F211F">
        <w:rPr>
          <w:rFonts w:ascii="Times New Roman" w:eastAsia="Calibri" w:hAnsi="Times New Roman" w:cs="Times New Roman"/>
          <w:sz w:val="24"/>
          <w:szCs w:val="24"/>
        </w:rPr>
        <w:t>order that the said amount of SR 1,005,126.37 be paid to the Plaintiff by the Defendant;</w:t>
      </w:r>
    </w:p>
    <w:p w:rsidR="002F211F" w:rsidRPr="002F211F" w:rsidRDefault="002F211F" w:rsidP="002F211F">
      <w:pPr>
        <w:pStyle w:val="ListParagraph"/>
        <w:rPr>
          <w:rFonts w:ascii="Times New Roman" w:eastAsia="Calibri" w:hAnsi="Times New Roman" w:cs="Times New Roman"/>
          <w:sz w:val="24"/>
          <w:szCs w:val="24"/>
        </w:rPr>
      </w:pPr>
    </w:p>
    <w:p w:rsidR="001E538C" w:rsidRDefault="002F211F" w:rsidP="002F211F">
      <w:pPr>
        <w:pStyle w:val="ListParagraph"/>
        <w:numPr>
          <w:ilvl w:val="2"/>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make </w:t>
      </w:r>
      <w:r w:rsidR="001E538C" w:rsidRPr="002F211F">
        <w:rPr>
          <w:rFonts w:ascii="Times New Roman" w:eastAsia="Calibri" w:hAnsi="Times New Roman" w:cs="Times New Roman"/>
          <w:sz w:val="24"/>
          <w:szCs w:val="24"/>
        </w:rPr>
        <w:t xml:space="preserve">such other order and </w:t>
      </w:r>
      <w:r>
        <w:rPr>
          <w:rFonts w:ascii="Times New Roman" w:eastAsia="Calibri" w:hAnsi="Times New Roman" w:cs="Times New Roman"/>
          <w:sz w:val="24"/>
          <w:szCs w:val="24"/>
        </w:rPr>
        <w:t xml:space="preserve">grant </w:t>
      </w:r>
      <w:r w:rsidR="001E538C" w:rsidRPr="002F211F">
        <w:rPr>
          <w:rFonts w:ascii="Times New Roman" w:eastAsia="Calibri" w:hAnsi="Times New Roman" w:cs="Times New Roman"/>
          <w:sz w:val="24"/>
          <w:szCs w:val="24"/>
        </w:rPr>
        <w:t>further relief as the court deem</w:t>
      </w:r>
      <w:r>
        <w:rPr>
          <w:rFonts w:ascii="Times New Roman" w:eastAsia="Calibri" w:hAnsi="Times New Roman" w:cs="Times New Roman"/>
          <w:sz w:val="24"/>
          <w:szCs w:val="24"/>
        </w:rPr>
        <w:t>s</w:t>
      </w:r>
      <w:r w:rsidR="001E538C" w:rsidRPr="002F211F">
        <w:rPr>
          <w:rFonts w:ascii="Times New Roman" w:eastAsia="Calibri" w:hAnsi="Times New Roman" w:cs="Times New Roman"/>
          <w:sz w:val="24"/>
          <w:szCs w:val="24"/>
        </w:rPr>
        <w:t xml:space="preserve"> fit and proper in this case</w:t>
      </w:r>
      <w:r>
        <w:rPr>
          <w:rFonts w:ascii="Times New Roman" w:eastAsia="Calibri" w:hAnsi="Times New Roman" w:cs="Times New Roman"/>
          <w:sz w:val="24"/>
          <w:szCs w:val="24"/>
        </w:rPr>
        <w:t>; and</w:t>
      </w:r>
    </w:p>
    <w:p w:rsidR="002F211F" w:rsidRPr="002F211F" w:rsidRDefault="002F211F" w:rsidP="002F211F">
      <w:pPr>
        <w:pStyle w:val="ListParagraph"/>
        <w:rPr>
          <w:rFonts w:ascii="Times New Roman" w:eastAsia="Calibri" w:hAnsi="Times New Roman" w:cs="Times New Roman"/>
          <w:sz w:val="24"/>
          <w:szCs w:val="24"/>
        </w:rPr>
      </w:pPr>
    </w:p>
    <w:p w:rsidR="002F211F" w:rsidRPr="002F211F" w:rsidRDefault="002F211F" w:rsidP="002F211F">
      <w:pPr>
        <w:pStyle w:val="ListParagraph"/>
        <w:numPr>
          <w:ilvl w:val="2"/>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award costs to the Plaintiff.</w:t>
      </w:r>
    </w:p>
    <w:p w:rsidR="001E538C" w:rsidRPr="001E538C" w:rsidRDefault="001E538C" w:rsidP="001E538C">
      <w:pPr>
        <w:spacing w:after="0" w:line="360" w:lineRule="auto"/>
        <w:ind w:left="1440" w:hanging="720"/>
        <w:jc w:val="both"/>
        <w:rPr>
          <w:rFonts w:ascii="Times New Roman" w:eastAsia="Calibri" w:hAnsi="Times New Roman" w:cs="Times New Roman"/>
          <w:sz w:val="24"/>
          <w:szCs w:val="24"/>
        </w:rPr>
      </w:pPr>
    </w:p>
    <w:p w:rsidR="00CD1A0C" w:rsidRDefault="00AD6CC4" w:rsidP="00AD6CC4">
      <w:pPr>
        <w:pStyle w:val="JudgmentText"/>
        <w:tabs>
          <w:tab w:val="clear" w:pos="360"/>
        </w:tabs>
        <w:ind w:hanging="720"/>
      </w:pPr>
      <w:r>
        <w:t>Since the Defendant failed to file or present any defence nor appeared to challenge the evidence adduced by the Plaintiff, all the evidence stand uncontroverted and I accept the facts adduced by the Plaintiff as true and correct.</w:t>
      </w:r>
    </w:p>
    <w:p w:rsidR="00AD6CC4" w:rsidRDefault="00183135" w:rsidP="00AD6CC4">
      <w:pPr>
        <w:pStyle w:val="JudgmentText"/>
        <w:tabs>
          <w:tab w:val="clear" w:pos="360"/>
        </w:tabs>
        <w:ind w:hanging="720"/>
      </w:pPr>
      <w:r>
        <w:lastRenderedPageBreak/>
        <w:t>Section 21 of the Revenue Commission Act provides as follows:</w:t>
      </w:r>
    </w:p>
    <w:p w:rsidR="00183135" w:rsidRPr="00183135" w:rsidRDefault="001A73AD" w:rsidP="001A73AD">
      <w:pPr>
        <w:spacing w:before="100" w:beforeAutospacing="1" w:after="100" w:afterAutospacing="1" w:line="240" w:lineRule="auto"/>
        <w:ind w:left="1260" w:right="72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sidR="00183135" w:rsidRPr="00183135">
        <w:rPr>
          <w:rFonts w:ascii="Times New Roman" w:eastAsia="Times New Roman" w:hAnsi="Times New Roman" w:cs="Times New Roman"/>
          <w:i/>
          <w:sz w:val="24"/>
          <w:szCs w:val="24"/>
          <w:lang w:val="en-US"/>
        </w:rPr>
        <w:t>21.       (1) Any unpaid revenue may be sued for and recovered in any court of competent jurisdiction by the Revenue Commissioner or by the Attorney-General suing on behalf of the Government.</w:t>
      </w:r>
    </w:p>
    <w:p w:rsidR="00183135" w:rsidRPr="00183135" w:rsidRDefault="00183135" w:rsidP="001A73AD">
      <w:pPr>
        <w:spacing w:before="100" w:beforeAutospacing="1" w:after="100" w:afterAutospacing="1" w:line="240" w:lineRule="auto"/>
        <w:ind w:left="1260" w:right="720"/>
        <w:jc w:val="both"/>
        <w:rPr>
          <w:rFonts w:ascii="Times New Roman" w:eastAsia="Times New Roman" w:hAnsi="Times New Roman" w:cs="Times New Roman"/>
          <w:i/>
          <w:sz w:val="24"/>
          <w:szCs w:val="24"/>
          <w:lang w:val="en-US"/>
        </w:rPr>
      </w:pPr>
      <w:r w:rsidRPr="00183135">
        <w:rPr>
          <w:rFonts w:ascii="Times New Roman" w:eastAsia="Times New Roman" w:hAnsi="Times New Roman" w:cs="Times New Roman"/>
          <w:i/>
          <w:sz w:val="24"/>
          <w:szCs w:val="24"/>
          <w:lang w:val="en-US"/>
        </w:rPr>
        <w:t>(2) In an action for recovery of revenue, a copy of the notice of assessment shall be received by the court as evidence that the revenue is due and payable, and the court shall not entertain any plea that the revenue assessed is not recoverable because it has not been properly assessed or that the assessment under which the revenue is payable is the subject of objection and appeal.</w:t>
      </w:r>
      <w:r w:rsidR="001A73AD">
        <w:rPr>
          <w:rFonts w:ascii="Times New Roman" w:eastAsia="Times New Roman" w:hAnsi="Times New Roman" w:cs="Times New Roman"/>
          <w:i/>
          <w:sz w:val="24"/>
          <w:szCs w:val="24"/>
          <w:lang w:val="en-US"/>
        </w:rPr>
        <w:t>”</w:t>
      </w:r>
    </w:p>
    <w:p w:rsidR="00183135" w:rsidRDefault="001A73AD" w:rsidP="001A73AD">
      <w:pPr>
        <w:pStyle w:val="JudgmentText"/>
        <w:numPr>
          <w:ilvl w:val="0"/>
          <w:numId w:val="0"/>
        </w:numPr>
        <w:ind w:left="720"/>
      </w:pPr>
      <w:r>
        <w:t>I find that the Plaintiff has complied by the procedures to initiate and maintain legal proceedings for the recovery of the outstanding tax debt and that the Defendant has failed to raise any defence, procedural or otherwise in respect of the claim.</w:t>
      </w:r>
    </w:p>
    <w:p w:rsidR="00183135" w:rsidRDefault="00C52556" w:rsidP="00AD6CC4">
      <w:pPr>
        <w:pStyle w:val="JudgmentText"/>
        <w:tabs>
          <w:tab w:val="clear" w:pos="360"/>
        </w:tabs>
        <w:ind w:hanging="720"/>
      </w:pPr>
      <w:r>
        <w:t>Regulation 2(2) of the Business Tax Act 1987 as amended provides as follows:</w:t>
      </w:r>
    </w:p>
    <w:p w:rsidR="00C52556" w:rsidRDefault="00C52556" w:rsidP="00C52556">
      <w:pPr>
        <w:pStyle w:val="JudgmentText"/>
        <w:numPr>
          <w:ilvl w:val="0"/>
          <w:numId w:val="0"/>
        </w:numPr>
        <w:ind w:left="1260"/>
        <w:rPr>
          <w:i/>
        </w:rPr>
      </w:pPr>
      <w:r>
        <w:t>“</w:t>
      </w:r>
      <w:r>
        <w:rPr>
          <w:i/>
        </w:rPr>
        <w:t xml:space="preserve">For the purpose of assisting the </w:t>
      </w:r>
      <w:r w:rsidR="002E1E37">
        <w:rPr>
          <w:i/>
        </w:rPr>
        <w:t>Commissioner in the making of an assessment under sub-regulation (1), a business which commences on or after the 1</w:t>
      </w:r>
      <w:r w:rsidR="002E1E37" w:rsidRPr="002E1E37">
        <w:rPr>
          <w:i/>
          <w:vertAlign w:val="superscript"/>
        </w:rPr>
        <w:t>st</w:t>
      </w:r>
      <w:r w:rsidR="002E1E37">
        <w:rPr>
          <w:i/>
        </w:rPr>
        <w:t xml:space="preserve"> January, 1988 shall, within 14 days after the date on which the business commences, furnish the Commissioner with a statement containing the following particulars-</w:t>
      </w:r>
    </w:p>
    <w:p w:rsidR="002E1E37" w:rsidRDefault="002E1E37" w:rsidP="002E1E37">
      <w:pPr>
        <w:pStyle w:val="JudgmentText"/>
        <w:numPr>
          <w:ilvl w:val="0"/>
          <w:numId w:val="5"/>
        </w:numPr>
        <w:rPr>
          <w:i/>
        </w:rPr>
      </w:pPr>
      <w:r>
        <w:rPr>
          <w:i/>
        </w:rPr>
        <w:t>the name of the business;</w:t>
      </w:r>
    </w:p>
    <w:p w:rsidR="002E1E37" w:rsidRDefault="002E1E37" w:rsidP="002E1E37">
      <w:pPr>
        <w:pStyle w:val="JudgmentText"/>
        <w:numPr>
          <w:ilvl w:val="0"/>
          <w:numId w:val="5"/>
        </w:numPr>
        <w:rPr>
          <w:i/>
        </w:rPr>
      </w:pPr>
      <w:r>
        <w:rPr>
          <w:i/>
        </w:rPr>
        <w:t>the date the business commenced;</w:t>
      </w:r>
    </w:p>
    <w:p w:rsidR="002E1E37" w:rsidRDefault="002E1E37" w:rsidP="002E1E37">
      <w:pPr>
        <w:pStyle w:val="JudgmentText"/>
        <w:numPr>
          <w:ilvl w:val="0"/>
          <w:numId w:val="5"/>
        </w:numPr>
        <w:rPr>
          <w:i/>
        </w:rPr>
      </w:pPr>
      <w:r>
        <w:rPr>
          <w:i/>
        </w:rPr>
        <w:t>the name and address of the owner of the business and where the owner is a partnership, the name and address of each of the partners in the partnership;</w:t>
      </w:r>
    </w:p>
    <w:p w:rsidR="002E1E37" w:rsidRDefault="002E1E37" w:rsidP="002E1E37">
      <w:pPr>
        <w:pStyle w:val="JudgmentText"/>
        <w:numPr>
          <w:ilvl w:val="0"/>
          <w:numId w:val="5"/>
        </w:numPr>
        <w:rPr>
          <w:i/>
        </w:rPr>
      </w:pPr>
      <w:r>
        <w:rPr>
          <w:i/>
        </w:rPr>
        <w:t>the nature of the activities of the business;</w:t>
      </w:r>
    </w:p>
    <w:p w:rsidR="002E1E37" w:rsidRDefault="002E1E37" w:rsidP="002E1E37">
      <w:pPr>
        <w:pStyle w:val="JudgmentText"/>
        <w:numPr>
          <w:ilvl w:val="0"/>
          <w:numId w:val="5"/>
        </w:numPr>
        <w:rPr>
          <w:i/>
        </w:rPr>
      </w:pPr>
      <w:r>
        <w:rPr>
          <w:i/>
        </w:rPr>
        <w:t>an estimate of the net income the business is expected to derive in the first tax year of its operation, and</w:t>
      </w:r>
    </w:p>
    <w:p w:rsidR="002E1E37" w:rsidRDefault="002E1E37" w:rsidP="002E1E37">
      <w:pPr>
        <w:pStyle w:val="JudgmentText"/>
        <w:numPr>
          <w:ilvl w:val="0"/>
          <w:numId w:val="5"/>
        </w:numPr>
        <w:rPr>
          <w:i/>
        </w:rPr>
      </w:pPr>
      <w:r>
        <w:rPr>
          <w:i/>
        </w:rPr>
        <w:t xml:space="preserve">such other information as may be prescribed or as the Commissioner may require.” </w:t>
      </w:r>
    </w:p>
    <w:p w:rsidR="002E1E37" w:rsidRPr="002E1E37" w:rsidRDefault="009708A2" w:rsidP="009708A2">
      <w:pPr>
        <w:pStyle w:val="JudgmentText"/>
        <w:numPr>
          <w:ilvl w:val="0"/>
          <w:numId w:val="0"/>
        </w:numPr>
        <w:ind w:left="720"/>
      </w:pPr>
      <w:r>
        <w:lastRenderedPageBreak/>
        <w:t xml:space="preserve">According to the evidence of Ms </w:t>
      </w:r>
      <w:proofErr w:type="spellStart"/>
      <w:r>
        <w:t>Theresine</w:t>
      </w:r>
      <w:proofErr w:type="spellEnd"/>
      <w:r>
        <w:t>, information obtained from the Seychelles Licensing Authority and produced to Court in support of the Plaintiff’s claim, Mr. Martin Hoareau was registered running the businesses of beautician, hairdresser, importer, retailer, accommodation, catering and entertainment. As per Regulation 2 (2) of the Business Tax Act 1987 above, the Defendant failed to register with the Seychelles Revenue Commission. The Defendant was given 7 days to comply on the</w:t>
      </w:r>
      <w:r w:rsidRPr="009708A2">
        <w:rPr>
          <w:rFonts w:eastAsia="Calibri"/>
        </w:rPr>
        <w:t xml:space="preserve"> </w:t>
      </w:r>
      <w:r w:rsidRPr="00545B57">
        <w:rPr>
          <w:rFonts w:eastAsia="Calibri"/>
        </w:rPr>
        <w:t>21</w:t>
      </w:r>
      <w:r w:rsidRPr="00545B57">
        <w:rPr>
          <w:rFonts w:eastAsia="Calibri"/>
          <w:vertAlign w:val="superscript"/>
        </w:rPr>
        <w:t>st</w:t>
      </w:r>
      <w:r>
        <w:rPr>
          <w:rFonts w:eastAsia="Calibri"/>
        </w:rPr>
        <w:t xml:space="preserve"> October 2009</w:t>
      </w:r>
      <w:r>
        <w:t>. This grace period expired on the 28</w:t>
      </w:r>
      <w:r w:rsidRPr="009708A2">
        <w:rPr>
          <w:vertAlign w:val="superscript"/>
        </w:rPr>
        <w:t>th</w:t>
      </w:r>
      <w:r>
        <w:t xml:space="preserve"> October, 2009. The Defendant did not register until 1</w:t>
      </w:r>
      <w:r w:rsidRPr="009708A2">
        <w:rPr>
          <w:vertAlign w:val="superscript"/>
        </w:rPr>
        <w:t>st</w:t>
      </w:r>
      <w:r>
        <w:t xml:space="preserve"> March 2010 for the business</w:t>
      </w:r>
      <w:r w:rsidR="00BE351C">
        <w:t>es</w:t>
      </w:r>
      <w:r>
        <w:t xml:space="preserve"> of hairdresser, importer, retailer, accommodation, catering and entertainment </w:t>
      </w:r>
      <w:r w:rsidR="00BE351C">
        <w:t xml:space="preserve">and until </w:t>
      </w:r>
      <w:r>
        <w:t>the 10</w:t>
      </w:r>
      <w:r w:rsidRPr="009708A2">
        <w:rPr>
          <w:vertAlign w:val="superscript"/>
        </w:rPr>
        <w:t>th</w:t>
      </w:r>
      <w:r>
        <w:t xml:space="preserve"> July 2012 for the business</w:t>
      </w:r>
      <w:r w:rsidR="00BE351C">
        <w:t>es</w:t>
      </w:r>
      <w:r w:rsidR="00432D2F">
        <w:t xml:space="preserve"> for coffee shop, </w:t>
      </w:r>
      <w:r>
        <w:t>import</w:t>
      </w:r>
      <w:r w:rsidR="00432D2F">
        <w:t xml:space="preserve"> and</w:t>
      </w:r>
      <w:r>
        <w:t xml:space="preserve"> import/retailer.</w:t>
      </w:r>
      <w:r w:rsidR="00BE351C">
        <w:t xml:space="preserve"> The Plaintiff therefore rightly calculated the arrears of taxes for the businesses as from 2011.</w:t>
      </w:r>
    </w:p>
    <w:p w:rsidR="004611F4" w:rsidRDefault="00BE351C" w:rsidP="00AD6CC4">
      <w:pPr>
        <w:pStyle w:val="JudgmentText"/>
        <w:tabs>
          <w:tab w:val="clear" w:pos="360"/>
        </w:tabs>
        <w:ind w:hanging="720"/>
      </w:pPr>
      <w:r>
        <w:t xml:space="preserve">Having considered the evidence which stands uncontroverted, I therefore enter judgment in favour of the Plaintiff </w:t>
      </w:r>
      <w:r w:rsidR="004611F4">
        <w:t>in the following terms:</w:t>
      </w:r>
    </w:p>
    <w:p w:rsidR="004611F4" w:rsidRPr="004611F4" w:rsidRDefault="004611F4" w:rsidP="004611F4">
      <w:pPr>
        <w:pStyle w:val="JudgmentText"/>
        <w:numPr>
          <w:ilvl w:val="2"/>
          <w:numId w:val="2"/>
        </w:numPr>
      </w:pPr>
      <w:r>
        <w:t xml:space="preserve">I </w:t>
      </w:r>
      <w:r w:rsidR="00D674CD">
        <w:t>hereby declare that the Defendant was</w:t>
      </w:r>
      <w:r>
        <w:t xml:space="preserve"> in </w:t>
      </w:r>
      <w:r w:rsidRPr="002F211F">
        <w:rPr>
          <w:rFonts w:eastAsia="Calibri"/>
        </w:rPr>
        <w:t xml:space="preserve">contravention </w:t>
      </w:r>
      <w:r>
        <w:rPr>
          <w:rFonts w:eastAsia="Calibri"/>
        </w:rPr>
        <w:t>of</w:t>
      </w:r>
      <w:r w:rsidRPr="002F211F">
        <w:rPr>
          <w:rFonts w:eastAsia="Calibri"/>
        </w:rPr>
        <w:t xml:space="preserve"> the Revenue Administration Act 2009</w:t>
      </w:r>
      <w:r>
        <w:rPr>
          <w:rFonts w:eastAsia="Calibri"/>
        </w:rPr>
        <w:t xml:space="preserve"> and the Business Tax Act 1987 as amended.</w:t>
      </w:r>
    </w:p>
    <w:p w:rsidR="004611F4" w:rsidRPr="004611F4" w:rsidRDefault="004611F4" w:rsidP="004611F4">
      <w:pPr>
        <w:pStyle w:val="JudgmentText"/>
        <w:numPr>
          <w:ilvl w:val="2"/>
          <w:numId w:val="2"/>
        </w:numPr>
      </w:pPr>
      <w:r>
        <w:t xml:space="preserve">I </w:t>
      </w:r>
      <w:r w:rsidR="00D176CA">
        <w:t>award</w:t>
      </w:r>
      <w:r>
        <w:t xml:space="preserve"> the Plaintiff </w:t>
      </w:r>
      <w:r w:rsidR="00BE351C">
        <w:t>the sum of Seychelles Rupees One Million Five Thousand One Hundred and Twenty-Six and Thirty-Seven Cents (SCR</w:t>
      </w:r>
      <w:r w:rsidR="00BE351C">
        <w:rPr>
          <w:rFonts w:eastAsia="Calibri"/>
        </w:rPr>
        <w:t>1</w:t>
      </w:r>
      <w:r w:rsidR="00432D2F">
        <w:rPr>
          <w:rFonts w:eastAsia="Calibri"/>
        </w:rPr>
        <w:t>,005,</w:t>
      </w:r>
      <w:r w:rsidR="00BE351C">
        <w:rPr>
          <w:rFonts w:eastAsia="Calibri"/>
        </w:rPr>
        <w:t>126</w:t>
      </w:r>
      <w:r w:rsidR="00BE351C" w:rsidRPr="001E538C">
        <w:rPr>
          <w:rFonts w:eastAsia="Calibri"/>
        </w:rPr>
        <w:t>.37</w:t>
      </w:r>
      <w:r>
        <w:rPr>
          <w:rFonts w:eastAsia="Calibri"/>
        </w:rPr>
        <w:t>) which the Defendant is ordered to pay.</w:t>
      </w:r>
    </w:p>
    <w:p w:rsidR="00C52556" w:rsidRDefault="004611F4" w:rsidP="004611F4">
      <w:pPr>
        <w:pStyle w:val="JudgmentText"/>
        <w:numPr>
          <w:ilvl w:val="2"/>
          <w:numId w:val="2"/>
        </w:numPr>
      </w:pPr>
      <w:r>
        <w:t>I make no order for cost.</w:t>
      </w:r>
      <w:r w:rsidR="00BE351C">
        <w:t xml:space="preserve"> </w:t>
      </w:r>
    </w:p>
    <w:p w:rsidR="00CD1A0C" w:rsidRPr="008577B7" w:rsidRDefault="00CD1A0C" w:rsidP="00CD1A0C">
      <w:pPr>
        <w:spacing w:after="0" w:line="360" w:lineRule="auto"/>
        <w:ind w:left="720" w:hanging="720"/>
        <w:jc w:val="both"/>
      </w:pPr>
      <w:r>
        <w:rPr>
          <w:rFonts w:ascii="Times New Roman" w:hAnsi="Times New Roman"/>
          <w:sz w:val="24"/>
          <w:szCs w:val="24"/>
        </w:rPr>
        <w:tab/>
      </w:r>
    </w:p>
    <w:p w:rsidR="00CD1A0C" w:rsidRPr="004A2599" w:rsidRDefault="00CD1A0C" w:rsidP="00CD1A0C">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on</w:t>
      </w:r>
      <w:r w:rsidR="00E83395">
        <w:rPr>
          <w:rFonts w:ascii="Times New Roman" w:hAnsi="Times New Roman" w:cs="Times New Roman"/>
          <w:sz w:val="24"/>
          <w:szCs w:val="24"/>
        </w:rPr>
        <w:t xml:space="preserve"> 7</w:t>
      </w:r>
      <w:r>
        <w:rPr>
          <w:rFonts w:ascii="Times New Roman" w:hAnsi="Times New Roman" w:cs="Times New Roman"/>
          <w:sz w:val="24"/>
          <w:szCs w:val="24"/>
        </w:rPr>
        <w:t xml:space="preserve"> </w:t>
      </w:r>
      <w:r w:rsidR="00E83395">
        <w:rPr>
          <w:rFonts w:ascii="Times New Roman" w:hAnsi="Times New Roman" w:cs="Times New Roman"/>
          <w:sz w:val="24"/>
          <w:szCs w:val="24"/>
        </w:rPr>
        <w:t>July</w:t>
      </w:r>
      <w:r>
        <w:rPr>
          <w:rFonts w:ascii="Times New Roman" w:hAnsi="Times New Roman" w:cs="Times New Roman"/>
          <w:sz w:val="24"/>
          <w:szCs w:val="24"/>
        </w:rPr>
        <w:t xml:space="preserve"> 202</w:t>
      </w:r>
      <w:r w:rsidR="00E83395">
        <w:rPr>
          <w:rFonts w:ascii="Times New Roman" w:hAnsi="Times New Roman" w:cs="Times New Roman"/>
          <w:sz w:val="24"/>
          <w:szCs w:val="24"/>
        </w:rPr>
        <w:t>2</w:t>
      </w:r>
      <w:r>
        <w:rPr>
          <w:rFonts w:ascii="Times New Roman" w:hAnsi="Times New Roman" w:cs="Times New Roman"/>
          <w:sz w:val="24"/>
          <w:szCs w:val="24"/>
        </w:rPr>
        <w:t>.</w:t>
      </w:r>
    </w:p>
    <w:p w:rsidR="00136A59" w:rsidRDefault="00136A59"/>
    <w:p w:rsidR="00E83395" w:rsidRDefault="00E83395"/>
    <w:p w:rsidR="00E83395" w:rsidRPr="00E83395" w:rsidRDefault="00E83395">
      <w:pPr>
        <w:rPr>
          <w:rFonts w:ascii="Times New Roman" w:hAnsi="Times New Roman" w:cs="Times New Roman"/>
          <w:sz w:val="24"/>
          <w:szCs w:val="24"/>
        </w:rPr>
      </w:pPr>
    </w:p>
    <w:p w:rsidR="00E83395" w:rsidRPr="00E83395" w:rsidRDefault="00E83395">
      <w:pPr>
        <w:rPr>
          <w:rFonts w:ascii="Times New Roman" w:hAnsi="Times New Roman" w:cs="Times New Roman"/>
          <w:sz w:val="24"/>
          <w:szCs w:val="24"/>
        </w:rPr>
      </w:pPr>
      <w:r w:rsidRPr="00E83395">
        <w:rPr>
          <w:rFonts w:ascii="Times New Roman" w:hAnsi="Times New Roman" w:cs="Times New Roman"/>
          <w:sz w:val="24"/>
          <w:szCs w:val="24"/>
        </w:rPr>
        <w:t>C G Dodin</w:t>
      </w:r>
    </w:p>
    <w:p w:rsidR="00E83395" w:rsidRDefault="00E83395">
      <w:pPr>
        <w:rPr>
          <w:rFonts w:ascii="Times New Roman" w:hAnsi="Times New Roman" w:cs="Times New Roman"/>
          <w:sz w:val="24"/>
          <w:szCs w:val="24"/>
        </w:rPr>
      </w:pPr>
      <w:r w:rsidRPr="00E83395">
        <w:rPr>
          <w:rFonts w:ascii="Times New Roman" w:hAnsi="Times New Roman" w:cs="Times New Roman"/>
          <w:sz w:val="24"/>
          <w:szCs w:val="24"/>
        </w:rPr>
        <w:t>Judge</w:t>
      </w:r>
    </w:p>
    <w:p w:rsidR="002F211F" w:rsidRDefault="002F211F">
      <w:pPr>
        <w:rPr>
          <w:rFonts w:ascii="Times New Roman" w:hAnsi="Times New Roman" w:cs="Times New Roman"/>
          <w:sz w:val="24"/>
          <w:szCs w:val="24"/>
        </w:rPr>
      </w:pPr>
    </w:p>
    <w:p w:rsidR="004A77DA" w:rsidRDefault="004A77DA">
      <w:pPr>
        <w:rPr>
          <w:rFonts w:ascii="Times New Roman" w:hAnsi="Times New Roman" w:cs="Times New Roman"/>
          <w:sz w:val="24"/>
          <w:szCs w:val="24"/>
        </w:rPr>
      </w:pPr>
    </w:p>
    <w:p w:rsidR="002F211F" w:rsidRPr="001E538C" w:rsidRDefault="002F211F" w:rsidP="002F21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ANNEX 1.</w:t>
      </w:r>
    </w:p>
    <w:p w:rsidR="002F211F" w:rsidRPr="001E538C" w:rsidRDefault="002F211F" w:rsidP="002F211F">
      <w:pPr>
        <w:spacing w:after="0" w:line="360" w:lineRule="auto"/>
        <w:contextualSpacing/>
        <w:jc w:val="both"/>
        <w:rPr>
          <w:rFonts w:ascii="Times New Roman" w:eastAsia="Calibri" w:hAnsi="Times New Roman" w:cs="Times New Roman"/>
          <w:sz w:val="24"/>
          <w:szCs w:val="24"/>
        </w:rPr>
      </w:pPr>
      <w:r w:rsidRPr="001E538C">
        <w:rPr>
          <w:rFonts w:ascii="Times New Roman" w:eastAsia="Calibri" w:hAnsi="Times New Roman" w:cs="Times New Roman"/>
          <w:sz w:val="24"/>
          <w:szCs w:val="24"/>
        </w:rPr>
        <w:t>The</w:t>
      </w:r>
      <w:r>
        <w:rPr>
          <w:rFonts w:ascii="Times New Roman" w:eastAsia="Calibri" w:hAnsi="Times New Roman" w:cs="Times New Roman"/>
          <w:sz w:val="24"/>
          <w:szCs w:val="24"/>
        </w:rPr>
        <w:t xml:space="preserve"> outstanding taxes owed by the Defendant to the P</w:t>
      </w:r>
      <w:r w:rsidRPr="001E538C">
        <w:rPr>
          <w:rFonts w:ascii="Times New Roman" w:eastAsia="Calibri" w:hAnsi="Times New Roman" w:cs="Times New Roman"/>
          <w:sz w:val="24"/>
          <w:szCs w:val="24"/>
        </w:rPr>
        <w:t xml:space="preserve">laintiff </w:t>
      </w:r>
      <w:r>
        <w:rPr>
          <w:rFonts w:ascii="Times New Roman" w:eastAsia="Calibri" w:hAnsi="Times New Roman" w:cs="Times New Roman"/>
          <w:sz w:val="24"/>
          <w:szCs w:val="24"/>
        </w:rPr>
        <w:t>as submitted</w:t>
      </w:r>
      <w:r w:rsidRPr="001E538C">
        <w:rPr>
          <w:rFonts w:ascii="Times New Roman" w:eastAsia="Calibri" w:hAnsi="Times New Roman" w:cs="Times New Roman"/>
          <w:sz w:val="24"/>
          <w:szCs w:val="24"/>
        </w:rPr>
        <w:t xml:space="preserve"> </w:t>
      </w:r>
      <w:r>
        <w:rPr>
          <w:rFonts w:ascii="Times New Roman" w:eastAsia="Calibri" w:hAnsi="Times New Roman" w:cs="Times New Roman"/>
          <w:sz w:val="24"/>
          <w:szCs w:val="24"/>
        </w:rPr>
        <w:t>by the Plaintiff referred to in paragraph 14 above:</w:t>
      </w:r>
    </w:p>
    <w:tbl>
      <w:tblPr>
        <w:tblStyle w:val="TableGrid"/>
        <w:tblW w:w="0" w:type="auto"/>
        <w:tblLook w:val="04A0" w:firstRow="1" w:lastRow="0" w:firstColumn="1" w:lastColumn="0" w:noHBand="0" w:noVBand="1"/>
      </w:tblPr>
      <w:tblGrid>
        <w:gridCol w:w="1870"/>
        <w:gridCol w:w="1870"/>
        <w:gridCol w:w="1870"/>
        <w:gridCol w:w="1473"/>
        <w:gridCol w:w="1843"/>
      </w:tblGrid>
      <w:tr w:rsidR="002F211F" w:rsidRPr="001E538C" w:rsidTr="00DC2C0D">
        <w:trPr>
          <w:trHeight w:val="1047"/>
        </w:trPr>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Tax Type</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Years</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Tax Payable</w:t>
            </w:r>
          </w:p>
        </w:tc>
        <w:tc>
          <w:tcPr>
            <w:tcW w:w="1473"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Amount</w:t>
            </w: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paid</w:t>
            </w:r>
          </w:p>
        </w:tc>
        <w:tc>
          <w:tcPr>
            <w:tcW w:w="1843"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Outstanding</w:t>
            </w: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Balance</w:t>
            </w:r>
          </w:p>
        </w:tc>
      </w:tr>
      <w:tr w:rsidR="002F211F" w:rsidRPr="001E538C" w:rsidTr="00DC2C0D">
        <w:tc>
          <w:tcPr>
            <w:tcW w:w="1870"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Business Tax</w:t>
            </w: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Primary Tax</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2011</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69,793.39</w:t>
            </w:r>
          </w:p>
        </w:tc>
        <w:tc>
          <w:tcPr>
            <w:tcW w:w="147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148,918.82</w:t>
            </w: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2012</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11,311.71</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2013</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50,770.57</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2015</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17,043.15</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Business Tax Penalties</w:t>
            </w:r>
          </w:p>
          <w:p w:rsidR="002F211F" w:rsidRPr="001E538C" w:rsidRDefault="002F211F" w:rsidP="00DC2C0D">
            <w:pPr>
              <w:spacing w:line="360" w:lineRule="auto"/>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2011</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96,403.00</w:t>
            </w:r>
          </w:p>
        </w:tc>
        <w:tc>
          <w:tcPr>
            <w:tcW w:w="147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132,084.06</w:t>
            </w: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2012</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14,603.00</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2013</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5,077.06</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2015</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16,001.00</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rPr>
          <w:trHeight w:val="596"/>
        </w:trPr>
        <w:tc>
          <w:tcPr>
            <w:tcW w:w="1870"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Income Tax Primary</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2010-2013</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227,669.47</w:t>
            </w:r>
          </w:p>
        </w:tc>
        <w:tc>
          <w:tcPr>
            <w:tcW w:w="147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50000</w:t>
            </w:r>
          </w:p>
        </w:tc>
        <w:tc>
          <w:tcPr>
            <w:tcW w:w="184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650,723.49</w:t>
            </w: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2013-2016</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254,147.79</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Income Tax Penalty</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2010-2013</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72,776.93</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2013-2016</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146,129.30</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Yearly</w:t>
            </w: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 xml:space="preserve">Assessment Late </w:t>
            </w:r>
            <w:r w:rsidR="00432D2F" w:rsidRPr="001E538C">
              <w:rPr>
                <w:rFonts w:ascii="Times New Roman" w:eastAsia="Calibri" w:hAnsi="Times New Roman" w:cs="Times New Roman"/>
                <w:sz w:val="24"/>
                <w:szCs w:val="24"/>
              </w:rPr>
              <w:t>Lodgement</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2011</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24,300.00</w:t>
            </w:r>
          </w:p>
        </w:tc>
        <w:tc>
          <w:tcPr>
            <w:tcW w:w="147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val="restart"/>
          </w:tcPr>
          <w:p w:rsidR="002F211F" w:rsidRPr="001E538C" w:rsidRDefault="002F211F" w:rsidP="00DC2C0D">
            <w:pPr>
              <w:spacing w:line="360" w:lineRule="auto"/>
              <w:jc w:val="center"/>
              <w:rPr>
                <w:rFonts w:ascii="Times New Roman" w:eastAsia="Calibri" w:hAnsi="Times New Roman" w:cs="Times New Roman"/>
                <w:sz w:val="24"/>
                <w:szCs w:val="24"/>
              </w:rPr>
            </w:pPr>
          </w:p>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73,400.00</w:t>
            </w: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2012</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20,100.00</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2013</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14,800.00</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2014</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9,700.00</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2015</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4,500.00</w:t>
            </w:r>
          </w:p>
        </w:tc>
        <w:tc>
          <w:tcPr>
            <w:tcW w:w="147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vMerge/>
          </w:tcPr>
          <w:p w:rsidR="002F211F" w:rsidRPr="001E538C" w:rsidRDefault="002F211F" w:rsidP="00DC2C0D">
            <w:pPr>
              <w:spacing w:line="360" w:lineRule="auto"/>
              <w:jc w:val="center"/>
              <w:rPr>
                <w:rFonts w:ascii="Times New Roman" w:eastAsia="Calibri" w:hAnsi="Times New Roman" w:cs="Times New Roman"/>
                <w:sz w:val="24"/>
                <w:szCs w:val="24"/>
              </w:rPr>
            </w:pPr>
          </w:p>
        </w:tc>
      </w:tr>
      <w:tr w:rsidR="002F211F" w:rsidRPr="001E538C" w:rsidTr="00DC2C0D">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r w:rsidRPr="001E538C">
              <w:rPr>
                <w:rFonts w:ascii="Times New Roman" w:eastAsia="Calibri" w:hAnsi="Times New Roman" w:cs="Times New Roman"/>
                <w:sz w:val="24"/>
                <w:szCs w:val="24"/>
              </w:rPr>
              <w:t>TOTAL</w:t>
            </w: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70" w:type="dxa"/>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473" w:type="dxa"/>
          </w:tcPr>
          <w:p w:rsidR="002F211F" w:rsidRPr="001E538C" w:rsidRDefault="002F211F" w:rsidP="00DC2C0D">
            <w:pPr>
              <w:spacing w:line="360" w:lineRule="auto"/>
              <w:jc w:val="center"/>
              <w:rPr>
                <w:rFonts w:ascii="Times New Roman" w:eastAsia="Calibri" w:hAnsi="Times New Roman" w:cs="Times New Roman"/>
                <w:sz w:val="24"/>
                <w:szCs w:val="24"/>
              </w:rPr>
            </w:pPr>
          </w:p>
        </w:tc>
        <w:tc>
          <w:tcPr>
            <w:tcW w:w="1843" w:type="dxa"/>
          </w:tcPr>
          <w:p w:rsidR="002F211F" w:rsidRPr="001E538C" w:rsidRDefault="00BE351C" w:rsidP="00BE351C">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1,005,126.</w:t>
            </w:r>
            <w:r w:rsidR="002F211F" w:rsidRPr="001E538C">
              <w:rPr>
                <w:rFonts w:ascii="Times New Roman" w:eastAsia="Calibri" w:hAnsi="Times New Roman" w:cs="Times New Roman"/>
                <w:sz w:val="24"/>
                <w:szCs w:val="24"/>
              </w:rPr>
              <w:t>37</w:t>
            </w:r>
          </w:p>
        </w:tc>
      </w:tr>
    </w:tbl>
    <w:p w:rsidR="002F211F" w:rsidRPr="00E83395" w:rsidRDefault="002F211F">
      <w:pPr>
        <w:rPr>
          <w:rFonts w:ascii="Times New Roman" w:hAnsi="Times New Roman" w:cs="Times New Roman"/>
          <w:sz w:val="24"/>
          <w:szCs w:val="24"/>
        </w:rPr>
      </w:pPr>
    </w:p>
    <w:sectPr w:rsidR="002F211F" w:rsidRPr="00E833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73" w:rsidRDefault="006C6373" w:rsidP="00440D6F">
      <w:pPr>
        <w:spacing w:after="0" w:line="240" w:lineRule="auto"/>
      </w:pPr>
      <w:r>
        <w:separator/>
      </w:r>
    </w:p>
  </w:endnote>
  <w:endnote w:type="continuationSeparator" w:id="0">
    <w:p w:rsidR="006C6373" w:rsidRDefault="006C6373" w:rsidP="0044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08641"/>
      <w:docPartObj>
        <w:docPartGallery w:val="Page Numbers (Bottom of Page)"/>
        <w:docPartUnique/>
      </w:docPartObj>
    </w:sdtPr>
    <w:sdtEndPr/>
    <w:sdtContent>
      <w:sdt>
        <w:sdtPr>
          <w:id w:val="-1769616900"/>
          <w:docPartObj>
            <w:docPartGallery w:val="Page Numbers (Top of Page)"/>
            <w:docPartUnique/>
          </w:docPartObj>
        </w:sdtPr>
        <w:sdtEndPr/>
        <w:sdtContent>
          <w:p w:rsidR="00440D6F" w:rsidRDefault="00440D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1CD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CD3">
              <w:rPr>
                <w:b/>
                <w:bCs/>
                <w:noProof/>
              </w:rPr>
              <w:t>8</w:t>
            </w:r>
            <w:r>
              <w:rPr>
                <w:b/>
                <w:bCs/>
                <w:sz w:val="24"/>
                <w:szCs w:val="24"/>
              </w:rPr>
              <w:fldChar w:fldCharType="end"/>
            </w:r>
          </w:p>
        </w:sdtContent>
      </w:sdt>
    </w:sdtContent>
  </w:sdt>
  <w:p w:rsidR="00440D6F" w:rsidRDefault="0044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73" w:rsidRDefault="006C6373" w:rsidP="00440D6F">
      <w:pPr>
        <w:spacing w:after="0" w:line="240" w:lineRule="auto"/>
      </w:pPr>
      <w:r>
        <w:separator/>
      </w:r>
    </w:p>
  </w:footnote>
  <w:footnote w:type="continuationSeparator" w:id="0">
    <w:p w:rsidR="006C6373" w:rsidRDefault="006C6373" w:rsidP="0044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6485"/>
    <w:multiLevelType w:val="hybridMultilevel"/>
    <w:tmpl w:val="603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5C8D60FE"/>
    <w:multiLevelType w:val="hybridMultilevel"/>
    <w:tmpl w:val="17C65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027A5"/>
    <w:multiLevelType w:val="hybridMultilevel"/>
    <w:tmpl w:val="DA6E525E"/>
    <w:lvl w:ilvl="0" w:tplc="41F25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0C"/>
    <w:rsid w:val="0006141B"/>
    <w:rsid w:val="00092BE9"/>
    <w:rsid w:val="00136A59"/>
    <w:rsid w:val="00183135"/>
    <w:rsid w:val="001A73AD"/>
    <w:rsid w:val="001E538C"/>
    <w:rsid w:val="001E7B1D"/>
    <w:rsid w:val="002516C5"/>
    <w:rsid w:val="002B6971"/>
    <w:rsid w:val="002E1E37"/>
    <w:rsid w:val="002F211F"/>
    <w:rsid w:val="00432D2F"/>
    <w:rsid w:val="00440D6F"/>
    <w:rsid w:val="004611F4"/>
    <w:rsid w:val="004A77DA"/>
    <w:rsid w:val="004D4382"/>
    <w:rsid w:val="00545B57"/>
    <w:rsid w:val="00643388"/>
    <w:rsid w:val="00657A20"/>
    <w:rsid w:val="00657BA0"/>
    <w:rsid w:val="006C2354"/>
    <w:rsid w:val="006C6373"/>
    <w:rsid w:val="0074567E"/>
    <w:rsid w:val="00822AD7"/>
    <w:rsid w:val="0093433A"/>
    <w:rsid w:val="009708A2"/>
    <w:rsid w:val="00A71CD3"/>
    <w:rsid w:val="00AD6CC4"/>
    <w:rsid w:val="00BC6117"/>
    <w:rsid w:val="00BE351C"/>
    <w:rsid w:val="00C52556"/>
    <w:rsid w:val="00CD1A0C"/>
    <w:rsid w:val="00D176CA"/>
    <w:rsid w:val="00D674CD"/>
    <w:rsid w:val="00E83395"/>
    <w:rsid w:val="00F5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09D"/>
  <w15:chartTrackingRefBased/>
  <w15:docId w15:val="{D98710B5-874E-475F-B295-F8C2A19C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1A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CD1A0C"/>
    <w:pPr>
      <w:numPr>
        <w:numId w:val="1"/>
      </w:numPr>
    </w:pPr>
  </w:style>
  <w:style w:type="paragraph" w:customStyle="1" w:styleId="JudgmentText">
    <w:name w:val="Judgment Text"/>
    <w:basedOn w:val="ListParagraph"/>
    <w:qFormat/>
    <w:rsid w:val="00CD1A0C"/>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CD1A0C"/>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CD1A0C"/>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CD1A0C"/>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CD1A0C"/>
    <w:rPr>
      <w:rFonts w:ascii="Times New Roman" w:hAnsi="Times New Roman" w:cs="Times New Roman"/>
      <w:i/>
      <w:sz w:val="24"/>
      <w:szCs w:val="24"/>
      <w:lang w:val="en-GB"/>
    </w:rPr>
  </w:style>
  <w:style w:type="paragraph" w:styleId="NormalWeb">
    <w:name w:val="Normal (Web)"/>
    <w:basedOn w:val="Normal"/>
    <w:uiPriority w:val="99"/>
    <w:semiHidden/>
    <w:unhideWhenUsed/>
    <w:rsid w:val="00CD1A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
    <w:name w:val="italic"/>
    <w:basedOn w:val="DefaultParagraphFont"/>
    <w:rsid w:val="00CD1A0C"/>
  </w:style>
  <w:style w:type="paragraph" w:styleId="ListParagraph">
    <w:name w:val="List Paragraph"/>
    <w:basedOn w:val="Normal"/>
    <w:uiPriority w:val="34"/>
    <w:qFormat/>
    <w:rsid w:val="00CD1A0C"/>
    <w:pPr>
      <w:ind w:left="720"/>
      <w:contextualSpacing/>
    </w:pPr>
  </w:style>
  <w:style w:type="table" w:styleId="TableGrid">
    <w:name w:val="Table Grid"/>
    <w:basedOn w:val="TableNormal"/>
    <w:uiPriority w:val="39"/>
    <w:rsid w:val="001E538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6F"/>
    <w:rPr>
      <w:lang w:val="en-GB"/>
    </w:rPr>
  </w:style>
  <w:style w:type="paragraph" w:styleId="Footer">
    <w:name w:val="footer"/>
    <w:basedOn w:val="Normal"/>
    <w:link w:val="FooterChar"/>
    <w:uiPriority w:val="99"/>
    <w:unhideWhenUsed/>
    <w:rsid w:val="0044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6F"/>
    <w:rPr>
      <w:lang w:val="en-GB"/>
    </w:rPr>
  </w:style>
  <w:style w:type="paragraph" w:styleId="BalloonText">
    <w:name w:val="Balloon Text"/>
    <w:basedOn w:val="Normal"/>
    <w:link w:val="BalloonTextChar"/>
    <w:uiPriority w:val="99"/>
    <w:semiHidden/>
    <w:unhideWhenUsed/>
    <w:rsid w:val="0082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D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Ireena Rosette</cp:lastModifiedBy>
  <cp:revision>2</cp:revision>
  <cp:lastPrinted>2022-07-07T08:41:00Z</cp:lastPrinted>
  <dcterms:created xsi:type="dcterms:W3CDTF">2022-07-07T09:49:00Z</dcterms:created>
  <dcterms:modified xsi:type="dcterms:W3CDTF">2022-07-07T09:49:00Z</dcterms:modified>
</cp:coreProperties>
</file>