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7D15DE">
        <w:rPr>
          <w:rFonts w:ascii="Times New Roman" w:hAnsi="Times New Roman" w:cs="Times New Roman"/>
          <w:sz w:val="24"/>
          <w:szCs w:val="24"/>
        </w:rPr>
        <w:t>2</w:t>
      </w:r>
      <w:r w:rsidR="00BC73B1">
        <w:rPr>
          <w:rFonts w:ascii="Times New Roman" w:hAnsi="Times New Roman" w:cs="Times New Roman"/>
          <w:sz w:val="24"/>
          <w:szCs w:val="24"/>
        </w:rPr>
        <w:t>] SCSC …</w:t>
      </w:r>
    </w:p>
    <w:p w:rsidR="009F67E5" w:rsidRPr="004A2599" w:rsidRDefault="006E0C77" w:rsidP="006E0C7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05/2022</w:t>
      </w:r>
    </w:p>
    <w:p w:rsidR="006A68E2" w:rsidRPr="004A2599" w:rsidRDefault="006A68E2" w:rsidP="00214DB4">
      <w:pPr>
        <w:spacing w:after="0" w:line="240" w:lineRule="auto"/>
        <w:ind w:left="5580"/>
        <w:rPr>
          <w:rFonts w:ascii="Times New Roman" w:hAnsi="Times New Roman" w:cs="Times New Roman"/>
          <w:sz w:val="24"/>
          <w:szCs w:val="24"/>
        </w:rPr>
      </w:pPr>
    </w:p>
    <w:p w:rsidR="001B4D1B" w:rsidRPr="008241B3" w:rsidRDefault="00B811BE" w:rsidP="001B4D1B">
      <w:pPr>
        <w:tabs>
          <w:tab w:val="left" w:pos="540"/>
          <w:tab w:val="left" w:pos="4092"/>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the matter between</w:t>
      </w:r>
      <w:r w:rsidR="001B4D1B" w:rsidRPr="008241B3">
        <w:rPr>
          <w:rFonts w:ascii="Times New Roman" w:eastAsia="Calibri" w:hAnsi="Times New Roman" w:cs="Times New Roman"/>
          <w:sz w:val="24"/>
          <w:szCs w:val="24"/>
          <w:lang w:val="en-US"/>
        </w:rPr>
        <w:t>:</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JACINTHA VOLCERE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8800C0">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LINA HOAREAU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8800C0">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MAUREEN PAYET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8800C0">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EUGENE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8800C0">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1B4D1B" w:rsidRPr="008241B3"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SYLVETTE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8800C0">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rsidR="001B4D1B" w:rsidRPr="008241B3" w:rsidRDefault="001B4D1B" w:rsidP="001B4D1B">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8800C0">
        <w:rPr>
          <w:rFonts w:ascii="Times New Roman" w:hAnsi="Times New Roman" w:cs="Times New Roman"/>
          <w:i/>
          <w:sz w:val="24"/>
          <w:szCs w:val="24"/>
        </w:rPr>
        <w:t>S. Rajasundaram</w:t>
      </w:r>
      <w:r w:rsidRPr="008241B3">
        <w:rPr>
          <w:rFonts w:ascii="Times New Roman" w:hAnsi="Times New Roman" w:cs="Times New Roman"/>
          <w:i/>
          <w:sz w:val="24"/>
          <w:szCs w:val="24"/>
        </w:rPr>
        <w:t>)</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A</w:t>
      </w:r>
      <w:r w:rsidR="001B4D1B" w:rsidRPr="008241B3">
        <w:rPr>
          <w:rFonts w:ascii="Times New Roman" w:eastAsia="Calibri" w:hAnsi="Times New Roman" w:cs="Times New Roman"/>
          <w:sz w:val="24"/>
          <w:szCs w:val="24"/>
          <w:lang w:val="en-US"/>
        </w:rPr>
        <w:t>nd</w:t>
      </w:r>
    </w:p>
    <w:p w:rsid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8800C0"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JILL BERNADETTE ESPARON</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1</w:t>
      </w:r>
      <w:r w:rsidRPr="008800C0">
        <w:rPr>
          <w:rFonts w:ascii="Times New Roman" w:eastAsia="Calibri" w:hAnsi="Times New Roman" w:cs="Times New Roman"/>
          <w:b/>
          <w:sz w:val="24"/>
          <w:szCs w:val="24"/>
          <w:vertAlign w:val="superscript"/>
          <w:lang w:val="en-US"/>
        </w:rPr>
        <w:t>ST</w:t>
      </w:r>
      <w:r>
        <w:rPr>
          <w:rFonts w:ascii="Times New Roman" w:eastAsia="Calibri" w:hAnsi="Times New Roman" w:cs="Times New Roman"/>
          <w:b/>
          <w:sz w:val="24"/>
          <w:szCs w:val="24"/>
          <w:lang w:val="en-US"/>
        </w:rPr>
        <w:t xml:space="preserve"> RESPONDENT</w:t>
      </w:r>
    </w:p>
    <w:p w:rsidR="008800C0" w:rsidRPr="008800C0" w:rsidRDefault="008800C0" w:rsidP="001B4D1B">
      <w:pPr>
        <w:tabs>
          <w:tab w:val="left" w:pos="540"/>
          <w:tab w:val="left" w:pos="4092"/>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France Bonte)</w:t>
      </w:r>
    </w:p>
    <w:p w:rsidR="008800C0"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p>
    <w:p w:rsidR="007D15DE"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CHRISTEL NATALIE AZAIS</w:t>
      </w:r>
      <w:r w:rsidR="007D15DE">
        <w:rPr>
          <w:rFonts w:ascii="Times New Roman" w:eastAsia="Calibri" w:hAnsi="Times New Roman" w:cs="Times New Roman"/>
          <w:b/>
          <w:sz w:val="24"/>
          <w:szCs w:val="24"/>
          <w:lang w:val="en-US"/>
        </w:rPr>
        <w:tab/>
      </w:r>
      <w:r w:rsidR="007D15DE">
        <w:rPr>
          <w:rFonts w:ascii="Times New Roman" w:eastAsia="Calibri" w:hAnsi="Times New Roman" w:cs="Times New Roman"/>
          <w:b/>
          <w:sz w:val="24"/>
          <w:szCs w:val="24"/>
          <w:lang w:val="en-US"/>
        </w:rPr>
        <w:tab/>
      </w:r>
      <w:r w:rsidR="007D15DE">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2</w:t>
      </w:r>
      <w:r w:rsidRPr="008800C0">
        <w:rPr>
          <w:rFonts w:ascii="Times New Roman" w:eastAsia="Calibri" w:hAnsi="Times New Roman" w:cs="Times New Roman"/>
          <w:b/>
          <w:sz w:val="24"/>
          <w:szCs w:val="24"/>
          <w:vertAlign w:val="superscript"/>
          <w:lang w:val="en-US"/>
        </w:rPr>
        <w:t>ND</w:t>
      </w:r>
      <w:r>
        <w:rPr>
          <w:rFonts w:ascii="Times New Roman" w:eastAsia="Calibri" w:hAnsi="Times New Roman" w:cs="Times New Roman"/>
          <w:b/>
          <w:sz w:val="24"/>
          <w:szCs w:val="24"/>
          <w:lang w:val="en-US"/>
        </w:rPr>
        <w:t xml:space="preserve"> RESPONDENT</w:t>
      </w:r>
    </w:p>
    <w:p w:rsidR="008800C0" w:rsidRPr="008800C0" w:rsidRDefault="008800C0" w:rsidP="001B4D1B">
      <w:pPr>
        <w:tabs>
          <w:tab w:val="left" w:pos="540"/>
          <w:tab w:val="left" w:pos="4092"/>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France Bonte)</w:t>
      </w:r>
    </w:p>
    <w:p w:rsidR="001B4D1B" w:rsidRPr="008241B3" w:rsidRDefault="001B4D1B" w:rsidP="001B4D1B">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1B4D1B" w:rsidRPr="005C5BD2" w:rsidRDefault="001B4D1B" w:rsidP="001B4D1B">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sidR="004443CA">
        <w:rPr>
          <w:rFonts w:ascii="Times New Roman" w:eastAsia="Calibri" w:hAnsi="Times New Roman" w:cs="Times New Roman"/>
          <w:b/>
          <w:sz w:val="24"/>
          <w:szCs w:val="24"/>
          <w:lang w:val="en-US"/>
        </w:rPr>
        <w:t xml:space="preserve"> </w:t>
      </w:r>
      <w:r w:rsidR="008800C0">
        <w:rPr>
          <w:rFonts w:ascii="Times New Roman" w:eastAsia="Calibri" w:hAnsi="Times New Roman" w:cs="Times New Roman"/>
          <w:i/>
          <w:sz w:val="24"/>
          <w:szCs w:val="24"/>
          <w:lang w:val="en-US"/>
        </w:rPr>
        <w:t>Jacintha Volcere &amp; ors vs. Jill Esparon &amp; Ors</w:t>
      </w:r>
      <w:r w:rsidRPr="005C5BD2">
        <w:rPr>
          <w:rFonts w:ascii="Times New Roman" w:eastAsia="Calibri" w:hAnsi="Times New Roman" w:cs="Times New Roman"/>
          <w:i/>
          <w:sz w:val="24"/>
          <w:szCs w:val="24"/>
          <w:lang w:val="en-US"/>
        </w:rPr>
        <w:t xml:space="preserve"> </w:t>
      </w:r>
      <w:r w:rsidR="007D15DE">
        <w:rPr>
          <w:rFonts w:ascii="Times New Roman" w:eastAsia="Calibri" w:hAnsi="Times New Roman" w:cs="Times New Roman"/>
          <w:sz w:val="24"/>
          <w:szCs w:val="24"/>
          <w:lang w:val="en-US"/>
        </w:rPr>
        <w:t>[2022</w:t>
      </w:r>
      <w:r w:rsidRPr="005C5BD2">
        <w:rPr>
          <w:rFonts w:ascii="Times New Roman" w:eastAsia="Calibri" w:hAnsi="Times New Roman" w:cs="Times New Roman"/>
          <w:sz w:val="24"/>
          <w:szCs w:val="24"/>
          <w:lang w:val="en-US"/>
        </w:rPr>
        <w:t xml:space="preserve">] SCSC </w:t>
      </w:r>
      <w:r w:rsidR="004443CA">
        <w:rPr>
          <w:rFonts w:ascii="Times New Roman" w:eastAsia="Calibri" w:hAnsi="Times New Roman" w:cs="Times New Roman"/>
          <w:sz w:val="24"/>
          <w:szCs w:val="24"/>
          <w:lang w:val="en-US"/>
        </w:rPr>
        <w:t>……</w:t>
      </w:r>
      <w:r w:rsidRPr="005C5BD2">
        <w:rPr>
          <w:rFonts w:ascii="Times New Roman" w:eastAsia="Calibri" w:hAnsi="Times New Roman" w:cs="Times New Roman"/>
          <w:sz w:val="24"/>
          <w:szCs w:val="24"/>
          <w:lang w:val="en-US"/>
        </w:rPr>
        <w:t xml:space="preserve"> </w:t>
      </w:r>
      <w:r w:rsidR="006E0C77">
        <w:rPr>
          <w:rFonts w:ascii="Times New Roman" w:eastAsia="Calibri" w:hAnsi="Times New Roman" w:cs="Times New Roman"/>
          <w:sz w:val="24"/>
          <w:szCs w:val="24"/>
          <w:lang w:val="en-US"/>
        </w:rPr>
        <w:t>CA05/2022</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007D15DE">
        <w:rPr>
          <w:rFonts w:ascii="Times New Roman" w:eastAsia="Calibri" w:hAnsi="Times New Roman" w:cs="Times New Roman"/>
          <w:sz w:val="24"/>
          <w:szCs w:val="24"/>
          <w:lang w:val="en-US"/>
        </w:rPr>
        <w:t xml:space="preserve">Dodin </w:t>
      </w:r>
      <w:r w:rsidRPr="008241B3">
        <w:rPr>
          <w:rFonts w:ascii="Times New Roman" w:eastAsia="Calibri" w:hAnsi="Times New Roman" w:cs="Times New Roman"/>
          <w:sz w:val="24"/>
          <w:szCs w:val="24"/>
          <w:lang w:val="en-US"/>
        </w:rPr>
        <w:t>J</w:t>
      </w:r>
    </w:p>
    <w:p w:rsidR="001B4D1B" w:rsidRPr="00AB67AB" w:rsidRDefault="001B4D1B" w:rsidP="004443CA">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004443CA">
        <w:rPr>
          <w:rFonts w:ascii="Times New Roman" w:eastAsia="Calibri" w:hAnsi="Times New Roman" w:cs="Times New Roman"/>
          <w:sz w:val="24"/>
          <w:szCs w:val="24"/>
          <w:lang w:val="en-US"/>
        </w:rPr>
        <w:tab/>
      </w:r>
      <w:r w:rsidR="008800C0">
        <w:rPr>
          <w:rFonts w:ascii="Times New Roman" w:eastAsia="Calibri" w:hAnsi="Times New Roman" w:cs="Times New Roman"/>
          <w:sz w:val="24"/>
          <w:szCs w:val="24"/>
          <w:lang w:val="en-US"/>
        </w:rPr>
        <w:t xml:space="preserve">submissions </w:t>
      </w:r>
      <w:r w:rsidR="006E0C77">
        <w:rPr>
          <w:rFonts w:ascii="Times New Roman" w:eastAsia="Calibri" w:hAnsi="Times New Roman" w:cs="Times New Roman"/>
          <w:sz w:val="24"/>
          <w:szCs w:val="24"/>
          <w:lang w:val="en-US"/>
        </w:rPr>
        <w:t xml:space="preserve">13 July 2022 </w:t>
      </w:r>
    </w:p>
    <w:p w:rsidR="009F67E5" w:rsidRPr="008800C0" w:rsidRDefault="001B4D1B" w:rsidP="009F67E5">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8800C0">
        <w:rPr>
          <w:rFonts w:ascii="Times New Roman" w:eastAsia="Calibri" w:hAnsi="Times New Roman" w:cs="Times New Roman"/>
          <w:sz w:val="24"/>
          <w:szCs w:val="24"/>
          <w:lang w:val="en-US"/>
        </w:rPr>
        <w:t>5 August 2022</w:t>
      </w:r>
    </w:p>
    <w:p w:rsidR="00144C02" w:rsidRDefault="009F67E5" w:rsidP="009F67E5">
      <w:pPr>
        <w:pBdr>
          <w:bottom w:val="single" w:sz="4" w:space="1" w:color="auto"/>
        </w:pBd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p>
    <w:p w:rsidR="00144C02" w:rsidRDefault="00144C02" w:rsidP="00135C9A">
      <w:pPr>
        <w:pBdr>
          <w:top w:val="single" w:sz="4" w:space="0" w:color="auto"/>
          <w:bottom w:val="single" w:sz="4" w:space="1" w:color="auto"/>
        </w:pBdr>
        <w:tabs>
          <w:tab w:val="left" w:pos="2892"/>
        </w:tabs>
        <w:spacing w:after="0" w:line="276" w:lineRule="auto"/>
        <w:rPr>
          <w:rFonts w:ascii="Times New Roman" w:hAnsi="Times New Roman" w:cs="Times New Roman"/>
          <w:b/>
          <w:sz w:val="24"/>
          <w:szCs w:val="24"/>
        </w:rPr>
      </w:pPr>
    </w:p>
    <w:p w:rsidR="009F67E5" w:rsidRDefault="00135C9A" w:rsidP="00135C9A">
      <w:pPr>
        <w:pBdr>
          <w:top w:val="single" w:sz="4" w:space="0"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9F67E5" w:rsidRPr="00F33B83" w:rsidRDefault="009F67E5" w:rsidP="00135C9A">
      <w:pPr>
        <w:pBdr>
          <w:top w:val="single" w:sz="4" w:space="0"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144C02">
      <w:pPr>
        <w:tabs>
          <w:tab w:val="left" w:pos="2892"/>
        </w:tabs>
        <w:spacing w:before="120" w:after="0" w:line="240" w:lineRule="auto"/>
        <w:rPr>
          <w:rFonts w:ascii="Times New Roman" w:hAnsi="Times New Roman" w:cs="Times New Roman"/>
          <w:sz w:val="24"/>
          <w:szCs w:val="24"/>
        </w:rPr>
      </w:pPr>
    </w:p>
    <w:p w:rsidR="00144C02" w:rsidRDefault="0073012C" w:rsidP="00144C02">
      <w:pPr>
        <w:pStyle w:val="JudgmentText"/>
        <w:numPr>
          <w:ilvl w:val="0"/>
          <w:numId w:val="0"/>
        </w:numPr>
        <w:spacing w:line="480" w:lineRule="auto"/>
        <w:ind w:left="720" w:hanging="720"/>
        <w:rPr>
          <w:b/>
        </w:rPr>
      </w:pPr>
      <w:r>
        <w:rPr>
          <w:b/>
        </w:rPr>
        <w:t>DODIN J.</w:t>
      </w:r>
    </w:p>
    <w:p w:rsidR="00D8352C" w:rsidRDefault="006B0AD7" w:rsidP="009F67E5">
      <w:pPr>
        <w:pStyle w:val="JudgmentText"/>
      </w:pPr>
      <w:r>
        <w:t>The Petitioners are appealing the decisions of the Master and the Curator of Vacant Estates appointing the Respondents joint executrix to the estate of the late Dickson Gervais Godfrey Esparon, hereinafter referred to as “the deceased”</w:t>
      </w:r>
      <w:r w:rsidR="00D8352C">
        <w:t xml:space="preserve"> who died intaestate in Seychelles on the 22</w:t>
      </w:r>
      <w:r w:rsidR="00D8352C" w:rsidRPr="00D8352C">
        <w:rPr>
          <w:vertAlign w:val="superscript"/>
        </w:rPr>
        <w:t>nd</w:t>
      </w:r>
      <w:r w:rsidR="00D8352C">
        <w:t xml:space="preserve"> day of November 2021.</w:t>
      </w:r>
    </w:p>
    <w:p w:rsidR="00E71A53" w:rsidRDefault="00D8352C" w:rsidP="009F67E5">
      <w:pPr>
        <w:pStyle w:val="JudgmentText"/>
      </w:pPr>
      <w:r>
        <w:t>The Petitioners are the</w:t>
      </w:r>
      <w:r w:rsidR="00E71A53">
        <w:t xml:space="preserve"> mother, the</w:t>
      </w:r>
      <w:r>
        <w:t xml:space="preserve"> brother and sisters of the deceased. The 1</w:t>
      </w:r>
      <w:r w:rsidRPr="00D8352C">
        <w:rPr>
          <w:vertAlign w:val="superscript"/>
        </w:rPr>
        <w:t>st</w:t>
      </w:r>
      <w:r>
        <w:t xml:space="preserve"> Respondent is the lawful wife of the deceased and mother of one minor child of the deceased Jill Bernadette Espasron. The 2</w:t>
      </w:r>
      <w:r w:rsidRPr="00D8352C">
        <w:rPr>
          <w:vertAlign w:val="superscript"/>
        </w:rPr>
        <w:t>nd</w:t>
      </w:r>
      <w:r>
        <w:t xml:space="preserve"> Respondent is the mother of another minor child of the deceased Ellie Andrea Esparon.</w:t>
      </w:r>
    </w:p>
    <w:p w:rsidR="008800C0" w:rsidRDefault="00E71A53" w:rsidP="00E71A53">
      <w:pPr>
        <w:pStyle w:val="JudgmentText"/>
      </w:pPr>
      <w:r>
        <w:t xml:space="preserve">The Petitioners/Appellants now file a motion moving the Court </w:t>
      </w:r>
      <w:r w:rsidR="008800C0">
        <w:t>for an Injunction O</w:t>
      </w:r>
      <w:r>
        <w:t>rder against</w:t>
      </w:r>
      <w:r w:rsidR="008800C0">
        <w:t xml:space="preserve"> the Respondents </w:t>
      </w:r>
      <w:r>
        <w:t>ordering that they be restrained and</w:t>
      </w:r>
      <w:r w:rsidR="008800C0">
        <w:t xml:space="preserve"> prevented from disposing off the assets/estate both movable and immovable of the </w:t>
      </w:r>
      <w:r>
        <w:t>deceased</w:t>
      </w:r>
      <w:r w:rsidR="008800C0">
        <w:t>.</w:t>
      </w:r>
    </w:p>
    <w:p w:rsidR="00DD0D72" w:rsidRDefault="00E71A53" w:rsidP="00E71A53">
      <w:pPr>
        <w:pStyle w:val="JudgmentText"/>
      </w:pPr>
      <w:r>
        <w:t>In their affidavit in support the Petitioners/Appellants state the following reasons, inter-alia in support of the motion, namely that the main relief they are</w:t>
      </w:r>
      <w:r w:rsidR="00DD0D72">
        <w:t xml:space="preserve"> all claim</w:t>
      </w:r>
      <w:r>
        <w:t>ing</w:t>
      </w:r>
      <w:r w:rsidR="00DD0D72">
        <w:t xml:space="preserve"> in the m</w:t>
      </w:r>
      <w:r>
        <w:t>ain suit is for declaration that the</w:t>
      </w:r>
      <w:r w:rsidR="00DD0D72">
        <w:t xml:space="preserve"> marriage held between the deceased Gervais Dickson Esparon and the 1</w:t>
      </w:r>
      <w:r w:rsidR="00DD0D72" w:rsidRPr="00E71A53">
        <w:rPr>
          <w:vertAlign w:val="superscript"/>
        </w:rPr>
        <w:t>st</w:t>
      </w:r>
      <w:r w:rsidR="00DD0D72">
        <w:t xml:space="preserve"> Respondent </w:t>
      </w:r>
      <w:r>
        <w:t>is null and void; t</w:t>
      </w:r>
      <w:r w:rsidR="00DD0D72">
        <w:t>hat the Supreme Court of Seychelles presided by Master, by virtue of its ruling dated 8</w:t>
      </w:r>
      <w:r w:rsidR="00DD0D72" w:rsidRPr="00E71A53">
        <w:rPr>
          <w:vertAlign w:val="superscript"/>
        </w:rPr>
        <w:t>th</w:t>
      </w:r>
      <w:r w:rsidR="00DD0D72">
        <w:t xml:space="preserve"> M</w:t>
      </w:r>
      <w:r>
        <w:t>arch 2022 dismissed their</w:t>
      </w:r>
      <w:r w:rsidR="00DD0D72">
        <w:t xml:space="preserve"> Notice of Motion dated 22</w:t>
      </w:r>
      <w:r w:rsidR="00DD0D72" w:rsidRPr="00E71A53">
        <w:rPr>
          <w:vertAlign w:val="superscript"/>
        </w:rPr>
        <w:t>nd</w:t>
      </w:r>
      <w:r w:rsidR="00DD0D72">
        <w:t xml:space="preserve"> February 2022</w:t>
      </w:r>
      <w:r>
        <w:t>; that they</w:t>
      </w:r>
      <w:r w:rsidR="00DD0D72">
        <w:t xml:space="preserve"> have filed an appeal against the decision and the said Ruling dated 8</w:t>
      </w:r>
      <w:r w:rsidR="00DD0D72" w:rsidRPr="00E71A53">
        <w:rPr>
          <w:vertAlign w:val="superscript"/>
        </w:rPr>
        <w:t>th</w:t>
      </w:r>
      <w:r w:rsidR="00DD0D72">
        <w:t xml:space="preserve"> March 2022 and the said Appeal in CA 05/2022 is pending before this Court</w:t>
      </w:r>
      <w:r>
        <w:t xml:space="preserve"> whereby </w:t>
      </w:r>
      <w:r w:rsidR="00DD0D72">
        <w:t xml:space="preserve"> </w:t>
      </w:r>
      <w:r>
        <w:t xml:space="preserve">both </w:t>
      </w:r>
      <w:r w:rsidR="00DD0D72">
        <w:t>Repsondents  are the Respondents in the said Appeal CA 05/2022.</w:t>
      </w:r>
    </w:p>
    <w:p w:rsidR="00DD0D72" w:rsidRDefault="00E71A53" w:rsidP="000146BA">
      <w:pPr>
        <w:pStyle w:val="JudgmentText"/>
      </w:pPr>
      <w:r>
        <w:t>The Petitioners/Appellants further aver</w:t>
      </w:r>
      <w:r w:rsidR="000146BA">
        <w:t xml:space="preserve"> in their affidavit t</w:t>
      </w:r>
      <w:r w:rsidR="00DD0D72">
        <w:t>hat while all the matters referred to above are pending before this C</w:t>
      </w:r>
      <w:r w:rsidR="000146BA">
        <w:t>ourt, they</w:t>
      </w:r>
      <w:r w:rsidR="00DD0D72">
        <w:t xml:space="preserve"> are reasonably given to understand that both the Executors are attempting to dispose off and dissipate the assets being estate of the deceased</w:t>
      </w:r>
      <w:r w:rsidR="000146BA">
        <w:t xml:space="preserve">. </w:t>
      </w:r>
      <w:r w:rsidR="00DD0D72">
        <w:t xml:space="preserve">That if the Executors are not restrained by an injunction order from this Court, </w:t>
      </w:r>
      <w:r w:rsidR="000146BA">
        <w:t>their</w:t>
      </w:r>
      <w:r w:rsidR="00DD0D72">
        <w:t xml:space="preserve"> rights and </w:t>
      </w:r>
      <w:r w:rsidR="000146BA">
        <w:t>title are seriously prejudiced and</w:t>
      </w:r>
      <w:r w:rsidR="00DD0D72">
        <w:t xml:space="preserve"> nor would the executors be able to compensate in future in case injunction </w:t>
      </w:r>
      <w:r w:rsidR="000146BA">
        <w:t xml:space="preserve">order is not granted. That it is in </w:t>
      </w:r>
      <w:r w:rsidR="00DD0D72">
        <w:t>the interest of justice, equity and in the best interest of the estate of the deceased</w:t>
      </w:r>
      <w:r w:rsidR="000146BA">
        <w:t xml:space="preserve"> for an injunction to be issued.</w:t>
      </w:r>
    </w:p>
    <w:p w:rsidR="00DD0D72" w:rsidRDefault="000146BA" w:rsidP="000146BA">
      <w:pPr>
        <w:pStyle w:val="JudgmentText"/>
      </w:pPr>
      <w:r>
        <w:t>They further aver that they verily believe and have been</w:t>
      </w:r>
      <w:r w:rsidR="00DD0D72">
        <w:t xml:space="preserve"> legally advised that no serious prejudice would be caused to the Repsondent</w:t>
      </w:r>
      <w:r>
        <w:t>s</w:t>
      </w:r>
      <w:r w:rsidR="00DD0D72">
        <w:t xml:space="preserve"> if the injunction order is granted </w:t>
      </w:r>
      <w:r>
        <w:t>whilst</w:t>
      </w:r>
      <w:r w:rsidR="00DD0D72">
        <w:t xml:space="preserve"> </w:t>
      </w:r>
      <w:r>
        <w:t>they</w:t>
      </w:r>
      <w:r w:rsidR="00DD0D72">
        <w:t xml:space="preserve"> w</w:t>
      </w:r>
      <w:r>
        <w:t>ould suffer</w:t>
      </w:r>
      <w:r w:rsidR="00DD0D72">
        <w:t xml:space="preserve"> irreparable loss and serious prejudice if  an injunction order</w:t>
      </w:r>
      <w:r>
        <w:t xml:space="preserve"> is not granted</w:t>
      </w:r>
      <w:r w:rsidR="00DD0D72">
        <w:t>.</w:t>
      </w:r>
    </w:p>
    <w:p w:rsidR="00147D5A" w:rsidRDefault="000146BA" w:rsidP="00147D5A">
      <w:pPr>
        <w:pStyle w:val="JudgmentText"/>
      </w:pPr>
      <w:r>
        <w:t>Learned counsel for the Petitioners in his submission set out the essentials the court must give consideration to in determining whethr to grant an injunction and repeated the with some elaboration the averments of the Petitoners in their affidavit.</w:t>
      </w:r>
    </w:p>
    <w:p w:rsidR="00AC4662" w:rsidRDefault="000146BA" w:rsidP="00147D5A">
      <w:pPr>
        <w:pStyle w:val="JudgmentText"/>
      </w:pPr>
      <w:r>
        <w:t>Learned counsel for the Respondents objected to the Petition raising two points only, namely that the P</w:t>
      </w:r>
      <w:r w:rsidR="00AC4662">
        <w:t>e</w:t>
      </w:r>
      <w:r>
        <w:t>titioners have no lo</w:t>
      </w:r>
      <w:r w:rsidR="00200AEB">
        <w:t>c</w:t>
      </w:r>
      <w:r>
        <w:t xml:space="preserve">us standi </w:t>
      </w:r>
      <w:r w:rsidR="00AC4662">
        <w:t>as declared by the Master to intervene in this matter and therefore their appeal and Petition are frivolous and vexati</w:t>
      </w:r>
      <w:r>
        <w:t>o</w:t>
      </w:r>
      <w:r w:rsidR="00AC4662">
        <w:t xml:space="preserve">us; secondly that the </w:t>
      </w:r>
      <w:r w:rsidR="00064A33">
        <w:t>affidavit do not</w:t>
      </w:r>
      <w:r w:rsidR="00AC4662">
        <w:t xml:space="preserve"> disclose any right, interest or title that any of the Petitioners could have in the deceased’s estate hence this Petition is without any foundation or merit.</w:t>
      </w:r>
    </w:p>
    <w:p w:rsidR="00635C07" w:rsidRDefault="00635C07" w:rsidP="00147D5A">
      <w:pPr>
        <w:pStyle w:val="JudgmentText"/>
      </w:pPr>
      <w:r>
        <w:t xml:space="preserve">The issue to be determined is whether the Petitioners have established sufficient interest in the estate of the deceased to intervene in the succession to the deceased’s estate. Learned counsel for the Petitioners has not addressed that issue directly in his submission and the Petitioners have not addressed how they consider themselves eligible to a share of the deceased estate in their affidavit. Affidavit is evidence and the court must be satisfied on the evidence before it that the Petitioners have established their credentials to be entitled to a share of the deceased’s estate to the satisfaction of the Court. </w:t>
      </w:r>
    </w:p>
    <w:p w:rsidR="007C30A0" w:rsidRPr="000C76B0" w:rsidRDefault="000C76B0" w:rsidP="000C76B0">
      <w:pPr>
        <w:pStyle w:val="JudgmentText"/>
      </w:pPr>
      <w:r>
        <w:t>T</w:t>
      </w:r>
      <w:r w:rsidR="00635C07">
        <w:t xml:space="preserve">he Curatelle Act </w:t>
      </w:r>
      <w:r>
        <w:t>has the following provisions</w:t>
      </w:r>
      <w:r w:rsidR="007C30A0">
        <w:t>:</w:t>
      </w:r>
      <w:r w:rsidR="00635C07">
        <w:t xml:space="preserve"> </w:t>
      </w:r>
      <w:r w:rsidR="000251EA" w:rsidRPr="000C76B0">
        <w:t xml:space="preserve">Sections 23 and 37 of the </w:t>
      </w:r>
      <w:r w:rsidR="007C30A0" w:rsidRPr="000C76B0">
        <w:t>Curatelle Act 2021</w:t>
      </w:r>
      <w:r w:rsidR="000251EA" w:rsidRPr="000C76B0">
        <w:t>:</w:t>
      </w:r>
    </w:p>
    <w:p w:rsidR="007C30A0" w:rsidRPr="000251EA" w:rsidRDefault="007C30A0" w:rsidP="000251EA">
      <w:pPr>
        <w:ind w:left="1440" w:right="720" w:hanging="90"/>
        <w:rPr>
          <w:rFonts w:ascii="Times New Roman" w:hAnsi="Times New Roman" w:cs="Times New Roman"/>
          <w:sz w:val="24"/>
          <w:szCs w:val="24"/>
        </w:rPr>
      </w:pPr>
      <w:r w:rsidRPr="007C30A0">
        <w:rPr>
          <w:rFonts w:ascii="Times New Roman" w:hAnsi="Times New Roman" w:cs="Times New Roman"/>
          <w:i/>
          <w:sz w:val="24"/>
          <w:szCs w:val="24"/>
        </w:rPr>
        <w:t>23.(1) The appointment of testamentary executors shall be confirmed by</w:t>
      </w:r>
      <w:r w:rsidRPr="007C30A0">
        <w:rPr>
          <w:rFonts w:ascii="Times New Roman" w:hAnsi="Times New Roman" w:cs="Times New Roman"/>
          <w:i/>
          <w:sz w:val="24"/>
          <w:szCs w:val="24"/>
        </w:rPr>
        <w:br/>
      </w:r>
      <w:r w:rsidR="000251EA">
        <w:rPr>
          <w:rFonts w:ascii="Times New Roman" w:hAnsi="Times New Roman" w:cs="Times New Roman"/>
          <w:i/>
          <w:sz w:val="24"/>
          <w:szCs w:val="24"/>
        </w:rPr>
        <w:t xml:space="preserve">the </w:t>
      </w:r>
      <w:r w:rsidRPr="007C30A0">
        <w:rPr>
          <w:rFonts w:ascii="Times New Roman" w:hAnsi="Times New Roman" w:cs="Times New Roman"/>
          <w:i/>
          <w:sz w:val="24"/>
          <w:szCs w:val="24"/>
        </w:rPr>
        <w:t>Curator.</w:t>
      </w:r>
      <w:r w:rsidRPr="007C30A0">
        <w:rPr>
          <w:rFonts w:ascii="Times New Roman" w:hAnsi="Times New Roman" w:cs="Times New Roman"/>
          <w:i/>
          <w:sz w:val="24"/>
          <w:szCs w:val="24"/>
        </w:rPr>
        <w:br/>
        <w:t>(2) If the succession consists of immovable property, or of both</w:t>
      </w:r>
      <w:r w:rsidRPr="007C30A0">
        <w:rPr>
          <w:rFonts w:ascii="Times New Roman" w:hAnsi="Times New Roman" w:cs="Times New Roman"/>
          <w:i/>
          <w:sz w:val="24"/>
          <w:szCs w:val="24"/>
        </w:rPr>
        <w:br/>
        <w:t>immovable and movable property, and if the testator has not appointed a</w:t>
      </w:r>
      <w:r w:rsidRPr="007C30A0">
        <w:rPr>
          <w:rFonts w:ascii="Times New Roman" w:hAnsi="Times New Roman" w:cs="Times New Roman"/>
          <w:i/>
          <w:sz w:val="24"/>
          <w:szCs w:val="24"/>
        </w:rPr>
        <w:br/>
        <w:t>testamentary executor or if an executor so appointed has died or if the</w:t>
      </w:r>
      <w:r w:rsidRPr="007C30A0">
        <w:rPr>
          <w:rFonts w:ascii="Times New Roman" w:hAnsi="Times New Roman" w:cs="Times New Roman"/>
          <w:i/>
          <w:sz w:val="24"/>
          <w:szCs w:val="24"/>
        </w:rPr>
        <w:br/>
        <w:t xml:space="preserve">deceased has left no will, the Curator shall appoint an executor, </w:t>
      </w:r>
      <w:r w:rsidRPr="000251EA">
        <w:rPr>
          <w:rFonts w:ascii="Times New Roman" w:hAnsi="Times New Roman" w:cs="Times New Roman"/>
          <w:i/>
          <w:sz w:val="24"/>
          <w:szCs w:val="24"/>
          <w:u w:val="single"/>
        </w:rPr>
        <w:t>at the</w:t>
      </w:r>
      <w:r w:rsidRPr="000251EA">
        <w:rPr>
          <w:rFonts w:ascii="Times New Roman" w:hAnsi="Times New Roman" w:cs="Times New Roman"/>
          <w:i/>
          <w:sz w:val="24"/>
          <w:szCs w:val="24"/>
          <w:u w:val="single"/>
        </w:rPr>
        <w:br/>
        <w:t>instance of any person having a lawful interest</w:t>
      </w:r>
      <w:r w:rsidR="000251EA">
        <w:rPr>
          <w:rFonts w:ascii="Times New Roman" w:hAnsi="Times New Roman" w:cs="Times New Roman"/>
          <w:sz w:val="24"/>
          <w:szCs w:val="24"/>
        </w:rPr>
        <w:t xml:space="preserve"> [emphasis mine].</w:t>
      </w:r>
    </w:p>
    <w:p w:rsidR="007C30A0" w:rsidRPr="007C30A0" w:rsidRDefault="007C30A0" w:rsidP="000251EA">
      <w:pPr>
        <w:ind w:left="1440" w:right="720" w:hanging="90"/>
        <w:rPr>
          <w:rFonts w:ascii="Times New Roman" w:hAnsi="Times New Roman" w:cs="Times New Roman"/>
          <w:i/>
          <w:sz w:val="24"/>
          <w:szCs w:val="24"/>
        </w:rPr>
      </w:pPr>
      <w:r w:rsidRPr="006444E0">
        <w:rPr>
          <w:rFonts w:ascii="Times New Roman" w:hAnsi="Times New Roman" w:cs="Times New Roman"/>
          <w:i/>
          <w:sz w:val="24"/>
          <w:szCs w:val="24"/>
          <w:u w:val="single"/>
        </w:rPr>
        <w:t>Appeal</w:t>
      </w:r>
      <w:r w:rsidRPr="007C30A0">
        <w:rPr>
          <w:rFonts w:ascii="Times New Roman" w:hAnsi="Times New Roman" w:cs="Times New Roman"/>
          <w:i/>
          <w:sz w:val="24"/>
          <w:szCs w:val="24"/>
        </w:rPr>
        <w:br/>
        <w:t>37.(1) A person aggrieved by a decision of the Curator may appeal to the</w:t>
      </w:r>
      <w:r w:rsidRPr="007C30A0">
        <w:rPr>
          <w:rFonts w:ascii="Times New Roman" w:hAnsi="Times New Roman" w:cs="Times New Roman"/>
          <w:i/>
          <w:sz w:val="24"/>
          <w:szCs w:val="24"/>
        </w:rPr>
        <w:br/>
        <w:t>Court.</w:t>
      </w:r>
      <w:r w:rsidRPr="007C30A0">
        <w:rPr>
          <w:rFonts w:ascii="Times New Roman" w:hAnsi="Times New Roman" w:cs="Times New Roman"/>
          <w:i/>
          <w:sz w:val="24"/>
          <w:szCs w:val="24"/>
        </w:rPr>
        <w:br/>
        <w:t>(2) The Court may affirm, reverse, amend or alter, the decision</w:t>
      </w:r>
      <w:r w:rsidRPr="007C30A0">
        <w:rPr>
          <w:rFonts w:ascii="Times New Roman" w:hAnsi="Times New Roman" w:cs="Times New Roman"/>
          <w:i/>
          <w:sz w:val="24"/>
          <w:szCs w:val="24"/>
        </w:rPr>
        <w:br/>
        <w:t>appealed from, or remit the matter to the Curator with the directions of the</w:t>
      </w:r>
      <w:r w:rsidR="000251EA">
        <w:rPr>
          <w:rFonts w:ascii="Times New Roman" w:hAnsi="Times New Roman" w:cs="Times New Roman"/>
          <w:i/>
          <w:sz w:val="24"/>
          <w:szCs w:val="24"/>
        </w:rPr>
        <w:t xml:space="preserve"> </w:t>
      </w:r>
      <w:r w:rsidRPr="007C30A0">
        <w:rPr>
          <w:rFonts w:ascii="Times New Roman" w:hAnsi="Times New Roman" w:cs="Times New Roman"/>
          <w:i/>
          <w:sz w:val="24"/>
          <w:szCs w:val="24"/>
        </w:rPr>
        <w:t>Court thereon, and may make any orders as to costs and all such orders shall</w:t>
      </w:r>
      <w:r w:rsidR="000251EA">
        <w:rPr>
          <w:rFonts w:ascii="Times New Roman" w:hAnsi="Times New Roman" w:cs="Times New Roman"/>
          <w:i/>
          <w:sz w:val="24"/>
          <w:szCs w:val="24"/>
        </w:rPr>
        <w:t xml:space="preserve"> </w:t>
      </w:r>
      <w:r w:rsidRPr="007C30A0">
        <w:rPr>
          <w:rFonts w:ascii="Times New Roman" w:hAnsi="Times New Roman" w:cs="Times New Roman"/>
          <w:i/>
          <w:sz w:val="24"/>
          <w:szCs w:val="24"/>
        </w:rPr>
        <w:t>be final and conclusive on all parties.</w:t>
      </w:r>
      <w:r w:rsidRPr="007C30A0">
        <w:rPr>
          <w:rFonts w:ascii="Times New Roman" w:hAnsi="Times New Roman" w:cs="Times New Roman"/>
          <w:i/>
          <w:sz w:val="24"/>
          <w:szCs w:val="24"/>
        </w:rPr>
        <w:br/>
        <w:t>(3) No appeal under this section shall operate as a stay of execution,</w:t>
      </w:r>
      <w:r w:rsidRPr="007C30A0">
        <w:rPr>
          <w:rFonts w:ascii="Times New Roman" w:hAnsi="Times New Roman" w:cs="Times New Roman"/>
          <w:i/>
          <w:sz w:val="24"/>
          <w:szCs w:val="24"/>
        </w:rPr>
        <w:br/>
        <w:t>but the Curator, or after an appeal has been lodged, the Court, may stay</w:t>
      </w:r>
      <w:r w:rsidRPr="007C30A0">
        <w:rPr>
          <w:rFonts w:ascii="Times New Roman" w:hAnsi="Times New Roman" w:cs="Times New Roman"/>
          <w:i/>
          <w:sz w:val="24"/>
          <w:szCs w:val="24"/>
        </w:rPr>
        <w:br/>
        <w:t>execution on such terms as may be just and necessary.</w:t>
      </w:r>
    </w:p>
    <w:p w:rsidR="007C30A0" w:rsidRPr="000251EA" w:rsidRDefault="000251EA" w:rsidP="00837EC5">
      <w:pPr>
        <w:pStyle w:val="JudgmentText"/>
      </w:pPr>
      <w:r>
        <w:t>A</w:t>
      </w:r>
      <w:r w:rsidR="001002AE">
        <w:t xml:space="preserve">rticle </w:t>
      </w:r>
      <w:r>
        <w:t xml:space="preserve">747 of the </w:t>
      </w:r>
      <w:r w:rsidR="007C30A0" w:rsidRPr="000251EA">
        <w:t>Civil Code</w:t>
      </w:r>
      <w:r>
        <w:t xml:space="preserve"> of Seychelles Act:</w:t>
      </w:r>
    </w:p>
    <w:p w:rsidR="007C30A0" w:rsidRPr="001002AE" w:rsidRDefault="007C30A0" w:rsidP="000251EA">
      <w:pPr>
        <w:ind w:left="1440" w:right="720" w:hanging="180"/>
        <w:rPr>
          <w:rFonts w:ascii="Times New Roman" w:hAnsi="Times New Roman" w:cs="Times New Roman"/>
          <w:sz w:val="24"/>
          <w:szCs w:val="24"/>
        </w:rPr>
      </w:pPr>
      <w:r w:rsidRPr="001002AE">
        <w:rPr>
          <w:rStyle w:val="markedcontent"/>
          <w:rFonts w:ascii="Times New Roman" w:hAnsi="Times New Roman" w:cs="Times New Roman"/>
          <w:i/>
          <w:sz w:val="24"/>
          <w:szCs w:val="24"/>
        </w:rPr>
        <w:t>747.(1) Children or their descendants succeed to their</w:t>
      </w:r>
      <w:r w:rsidR="000251EA"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ascendants without distinction of gender or primogeniture, even if</w:t>
      </w:r>
      <w:r w:rsidR="000251EA"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they are born of different marriages or relationships.</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(2) They take in equal shares and per head if they are all</w:t>
      </w:r>
      <w:r w:rsidR="000251EA"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of the first degree and inherit in their own right.</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(3) They take per stirpes when all or some of them inherit</w:t>
      </w:r>
      <w:r w:rsidR="000251EA" w:rsidRPr="001002AE">
        <w:rPr>
          <w:rFonts w:ascii="Times New Roman" w:hAnsi="Times New Roman" w:cs="Times New Roman"/>
          <w:i/>
          <w:sz w:val="24"/>
          <w:szCs w:val="24"/>
        </w:rPr>
        <w:t xml:space="preserve"> </w:t>
      </w:r>
      <w:r w:rsidR="001002AE">
        <w:rPr>
          <w:rStyle w:val="markedcontent"/>
          <w:rFonts w:ascii="Times New Roman" w:hAnsi="Times New Roman" w:cs="Times New Roman"/>
          <w:i/>
          <w:sz w:val="24"/>
          <w:szCs w:val="24"/>
        </w:rPr>
        <w:t xml:space="preserve">by </w:t>
      </w:r>
      <w:r w:rsidRPr="001002AE">
        <w:rPr>
          <w:rStyle w:val="markedcontent"/>
          <w:rFonts w:ascii="Times New Roman" w:hAnsi="Times New Roman" w:cs="Times New Roman"/>
          <w:i/>
          <w:sz w:val="24"/>
          <w:szCs w:val="24"/>
        </w:rPr>
        <w:t>representation.</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 xml:space="preserve">(4) </w:t>
      </w:r>
      <w:r w:rsidRPr="001002AE">
        <w:rPr>
          <w:rStyle w:val="markedcontent"/>
          <w:rFonts w:ascii="Times New Roman" w:hAnsi="Times New Roman" w:cs="Times New Roman"/>
          <w:i/>
          <w:sz w:val="24"/>
          <w:szCs w:val="24"/>
          <w:u w:val="single"/>
        </w:rPr>
        <w:t>In each order, the closest heir by degree excludes more</w:t>
      </w:r>
      <w:r w:rsidR="000251EA" w:rsidRPr="001002AE">
        <w:rPr>
          <w:rFonts w:ascii="Times New Roman" w:hAnsi="Times New Roman" w:cs="Times New Roman"/>
          <w:i/>
          <w:sz w:val="24"/>
          <w:szCs w:val="24"/>
          <w:u w:val="single"/>
        </w:rPr>
        <w:t xml:space="preserve"> </w:t>
      </w:r>
      <w:r w:rsidRPr="001002AE">
        <w:rPr>
          <w:rStyle w:val="markedcontent"/>
          <w:rFonts w:ascii="Times New Roman" w:hAnsi="Times New Roman" w:cs="Times New Roman"/>
          <w:i/>
          <w:sz w:val="24"/>
          <w:szCs w:val="24"/>
          <w:u w:val="single"/>
        </w:rPr>
        <w:t>remote heirs</w:t>
      </w:r>
      <w:r w:rsidR="001002AE">
        <w:rPr>
          <w:rStyle w:val="markedcontent"/>
          <w:rFonts w:ascii="Times New Roman" w:hAnsi="Times New Roman" w:cs="Times New Roman"/>
          <w:sz w:val="24"/>
          <w:szCs w:val="24"/>
        </w:rPr>
        <w:t xml:space="preserve"> [emphasis mine]</w:t>
      </w:r>
    </w:p>
    <w:p w:rsidR="000C76B0" w:rsidRDefault="001002AE" w:rsidP="008800C0">
      <w:pPr>
        <w:pStyle w:val="JudgmentText"/>
        <w:numPr>
          <w:ilvl w:val="0"/>
          <w:numId w:val="0"/>
        </w:numPr>
        <w:ind w:left="720"/>
      </w:pPr>
      <w:r>
        <w:t xml:space="preserve">Hence since </w:t>
      </w:r>
      <w:r w:rsidR="009328E6">
        <w:t xml:space="preserve">the </w:t>
      </w:r>
      <w:r>
        <w:t>children are of the 1</w:t>
      </w:r>
      <w:r w:rsidRPr="001002AE">
        <w:rPr>
          <w:vertAlign w:val="superscript"/>
        </w:rPr>
        <w:t>st</w:t>
      </w:r>
      <w:r>
        <w:t xml:space="preserve"> degree, subject to the rights of the spouse of the deceased </w:t>
      </w:r>
      <w:r w:rsidR="008817C8">
        <w:t xml:space="preserve">under article 745(2)(a) </w:t>
      </w:r>
      <w:r>
        <w:t>and the</w:t>
      </w:r>
      <w:r w:rsidR="008817C8">
        <w:t xml:space="preserve"> qualifying partner under article 745(2)(b) the remainder of the seccession dev</w:t>
      </w:r>
      <w:r w:rsidR="009328E6">
        <w:t>olves on the descendant in the 1</w:t>
      </w:r>
      <w:r w:rsidR="009328E6" w:rsidRPr="009328E6">
        <w:rPr>
          <w:vertAlign w:val="superscript"/>
        </w:rPr>
        <w:t>st</w:t>
      </w:r>
      <w:r w:rsidR="009328E6">
        <w:t xml:space="preserve"> </w:t>
      </w:r>
      <w:r w:rsidR="008817C8">
        <w:t xml:space="preserve">degree to the exclusion of those in more remote degree. </w:t>
      </w:r>
    </w:p>
    <w:p w:rsidR="000C76B0" w:rsidRDefault="000C76B0" w:rsidP="000C76B0">
      <w:pPr>
        <w:pStyle w:val="JudgmentText"/>
      </w:pPr>
      <w:r>
        <w:t>Articles 735 to 738 of the Civil Code provides the following in respect of degree and seccession:</w:t>
      </w:r>
    </w:p>
    <w:p w:rsidR="000C76B0" w:rsidRDefault="000C76B0" w:rsidP="000C76B0">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735.(1) The proximity of relationship shall be established by</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the number of generations.</w:t>
      </w:r>
      <w:r w:rsidRPr="000C76B0">
        <w:rPr>
          <w:rFonts w:ascii="Times New Roman" w:eastAsia="Times New Roman" w:hAnsi="Times New Roman" w:cs="Times New Roman"/>
          <w:i/>
          <w:sz w:val="24"/>
          <w:szCs w:val="24"/>
          <w:lang w:val="en-US"/>
        </w:rPr>
        <w:br/>
        <w:t>(2) Each generation is a degree.</w:t>
      </w:r>
      <w:r w:rsidRPr="000C76B0">
        <w:rPr>
          <w:rFonts w:ascii="Times New Roman" w:eastAsia="Times New Roman" w:hAnsi="Times New Roman" w:cs="Times New Roman"/>
          <w:i/>
          <w:sz w:val="24"/>
          <w:szCs w:val="24"/>
          <w:lang w:val="en-US"/>
        </w:rPr>
        <w:br/>
      </w:r>
    </w:p>
    <w:p w:rsidR="000C76B0" w:rsidRDefault="000C76B0" w:rsidP="000C76B0">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736.(1) A sequence of degrees forms a line.</w:t>
      </w:r>
      <w:r w:rsidRPr="000C76B0">
        <w:rPr>
          <w:rFonts w:ascii="Times New Roman" w:eastAsia="Times New Roman" w:hAnsi="Times New Roman" w:cs="Times New Roman"/>
          <w:i/>
          <w:sz w:val="24"/>
          <w:szCs w:val="24"/>
          <w:lang w:val="en-US"/>
        </w:rPr>
        <w:br/>
        <w:t xml:space="preserve">(2) </w:t>
      </w:r>
      <w:r w:rsidRPr="000C76B0">
        <w:rPr>
          <w:rFonts w:ascii="Times New Roman" w:eastAsia="Times New Roman" w:hAnsi="Times New Roman" w:cs="Times New Roman"/>
          <w:i/>
          <w:sz w:val="24"/>
          <w:szCs w:val="24"/>
          <w:u w:val="single"/>
          <w:lang w:val="en-US"/>
        </w:rPr>
        <w:t>A direct line is the sequence of degrees between persons who descend one from the other</w:t>
      </w:r>
      <w:r w:rsidRPr="000C76B0">
        <w:rPr>
          <w:rFonts w:ascii="Times New Roman" w:eastAsia="Times New Roman" w:hAnsi="Times New Roman" w:cs="Times New Roman"/>
          <w:i/>
          <w:sz w:val="24"/>
          <w:szCs w:val="24"/>
          <w:lang w:val="en-US"/>
        </w:rPr>
        <w:t>.</w:t>
      </w:r>
      <w:r w:rsidRPr="000C76B0">
        <w:rPr>
          <w:rFonts w:ascii="Times New Roman" w:eastAsia="Times New Roman" w:hAnsi="Times New Roman" w:cs="Times New Roman"/>
          <w:i/>
          <w:sz w:val="24"/>
          <w:szCs w:val="24"/>
          <w:lang w:val="en-US"/>
        </w:rPr>
        <w:br/>
        <w:t xml:space="preserve">(3) </w:t>
      </w:r>
      <w:r w:rsidRPr="000C76B0">
        <w:rPr>
          <w:rFonts w:ascii="Times New Roman" w:eastAsia="Times New Roman" w:hAnsi="Times New Roman" w:cs="Times New Roman"/>
          <w:i/>
          <w:sz w:val="24"/>
          <w:szCs w:val="24"/>
          <w:u w:val="single"/>
          <w:lang w:val="en-US"/>
        </w:rPr>
        <w:t>A collateral line is the sequence of degrees between persons who do not descend one from the other</w:t>
      </w:r>
      <w:r w:rsidRPr="000C76B0">
        <w:rPr>
          <w:rFonts w:ascii="Times New Roman" w:eastAsia="Times New Roman" w:hAnsi="Times New Roman" w:cs="Times New Roman"/>
          <w:i/>
          <w:sz w:val="24"/>
          <w:szCs w:val="24"/>
          <w:lang w:val="en-US"/>
        </w:rPr>
        <w:t>, but who can trace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their descent to a common ancestor.</w:t>
      </w:r>
      <w:r w:rsidRPr="000C76B0">
        <w:rPr>
          <w:rFonts w:ascii="Times New Roman" w:eastAsia="Times New Roman" w:hAnsi="Times New Roman" w:cs="Times New Roman"/>
          <w:i/>
          <w:sz w:val="24"/>
          <w:szCs w:val="24"/>
          <w:lang w:val="en-US"/>
        </w:rPr>
        <w:br/>
        <w:t>(4) The direct descending line links the ancestor with the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descendants.</w:t>
      </w:r>
      <w:r w:rsidRPr="000C76B0">
        <w:rPr>
          <w:rFonts w:ascii="Times New Roman" w:eastAsia="Times New Roman" w:hAnsi="Times New Roman" w:cs="Times New Roman"/>
          <w:i/>
          <w:sz w:val="24"/>
          <w:szCs w:val="24"/>
          <w:lang w:val="en-US"/>
        </w:rPr>
        <w:br/>
        <w:t>(5) The direct ascending line links a person with his or her</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ascendants.</w:t>
      </w:r>
      <w:r w:rsidRPr="000C76B0">
        <w:rPr>
          <w:rFonts w:ascii="Times New Roman" w:eastAsia="Times New Roman" w:hAnsi="Times New Roman" w:cs="Times New Roman"/>
          <w:i/>
          <w:sz w:val="24"/>
          <w:szCs w:val="24"/>
          <w:lang w:val="en-US"/>
        </w:rPr>
        <w:br/>
      </w:r>
    </w:p>
    <w:p w:rsidR="000C76B0" w:rsidRDefault="000C76B0" w:rsidP="000C76B0">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737.(1) In the direct line, there are as many degrees as there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are generations between the persons.</w:t>
      </w:r>
      <w:r w:rsidRPr="000C76B0">
        <w:rPr>
          <w:rFonts w:ascii="Times New Roman" w:eastAsia="Times New Roman" w:hAnsi="Times New Roman" w:cs="Times New Roman"/>
          <w:i/>
          <w:sz w:val="24"/>
          <w:szCs w:val="24"/>
          <w:lang w:val="en-US"/>
        </w:rPr>
        <w:br/>
        <w:t xml:space="preserve">(2) </w:t>
      </w:r>
      <w:r w:rsidRPr="000C76B0">
        <w:rPr>
          <w:rFonts w:ascii="Times New Roman" w:eastAsia="Times New Roman" w:hAnsi="Times New Roman" w:cs="Times New Roman"/>
          <w:i/>
          <w:sz w:val="24"/>
          <w:szCs w:val="24"/>
          <w:u w:val="single"/>
          <w:lang w:val="en-US"/>
        </w:rPr>
        <w:t>A child is, in relation to the parent, in the first degree</w:t>
      </w:r>
      <w:r w:rsidRPr="000C76B0">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 xml:space="preserve">the grandchild, </w:t>
      </w:r>
      <w:r w:rsidRPr="000C76B0">
        <w:rPr>
          <w:rFonts w:ascii="Times New Roman" w:eastAsia="Times New Roman" w:hAnsi="Times New Roman" w:cs="Times New Roman"/>
          <w:i/>
          <w:sz w:val="24"/>
          <w:szCs w:val="24"/>
          <w:u w:val="single"/>
          <w:lang w:val="en-US"/>
        </w:rPr>
        <w:t>in the second</w:t>
      </w:r>
      <w:r w:rsidRPr="000C76B0">
        <w:rPr>
          <w:rFonts w:ascii="Times New Roman" w:eastAsia="Times New Roman" w:hAnsi="Times New Roman" w:cs="Times New Roman"/>
          <w:i/>
          <w:sz w:val="24"/>
          <w:szCs w:val="24"/>
          <w:lang w:val="en-US"/>
        </w:rPr>
        <w:t xml:space="preserve">, and correspondingly </w:t>
      </w:r>
      <w:r w:rsidRPr="000C76B0">
        <w:rPr>
          <w:rFonts w:ascii="Times New Roman" w:eastAsia="Times New Roman" w:hAnsi="Times New Roman" w:cs="Times New Roman"/>
          <w:i/>
          <w:sz w:val="24"/>
          <w:szCs w:val="24"/>
          <w:u w:val="single"/>
          <w:lang w:val="en-US"/>
        </w:rPr>
        <w:t>the parent</w:t>
      </w:r>
      <w:r w:rsidRPr="000C76B0">
        <w:rPr>
          <w:rFonts w:ascii="Times New Roman" w:eastAsia="Times New Roman" w:hAnsi="Times New Roman" w:cs="Times New Roman"/>
          <w:i/>
          <w:sz w:val="24"/>
          <w:szCs w:val="24"/>
          <w:lang w:val="en-US"/>
        </w:rPr>
        <w:t xml:space="preserve"> and the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grandparent with regard to the children and grandchildren.</w:t>
      </w:r>
      <w:r w:rsidRPr="000C76B0">
        <w:rPr>
          <w:rFonts w:ascii="Times New Roman" w:eastAsia="Times New Roman" w:hAnsi="Times New Roman" w:cs="Times New Roman"/>
          <w:i/>
          <w:sz w:val="24"/>
          <w:szCs w:val="24"/>
          <w:lang w:val="en-US"/>
        </w:rPr>
        <w:br/>
      </w:r>
    </w:p>
    <w:p w:rsidR="000C76B0" w:rsidRPr="000C76B0" w:rsidRDefault="000C76B0" w:rsidP="000C76B0">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738.(1) In the collateral line, the degrees rank by generations</w:t>
      </w:r>
      <w:r w:rsidRPr="000C76B0">
        <w:rPr>
          <w:rFonts w:ascii="Times New Roman" w:eastAsia="Times New Roman" w:hAnsi="Times New Roman" w:cs="Times New Roman"/>
          <w:i/>
          <w:sz w:val="24"/>
          <w:szCs w:val="24"/>
          <w:lang w:val="en-US"/>
        </w:rPr>
        <w:br/>
        <w:t>from one of the parents up to, but not including, the common ancestor</w:t>
      </w:r>
      <w:r w:rsidRPr="000C76B0">
        <w:rPr>
          <w:rFonts w:ascii="Times New Roman" w:eastAsia="Times New Roman" w:hAnsi="Times New Roman" w:cs="Times New Roman"/>
          <w:i/>
          <w:sz w:val="24"/>
          <w:szCs w:val="24"/>
          <w:lang w:val="en-US"/>
        </w:rPr>
        <w:br/>
        <w:t>and from the latter to the other parent.</w:t>
      </w:r>
    </w:p>
    <w:p w:rsidR="000C76B0" w:rsidRPr="000C76B0" w:rsidRDefault="000C76B0" w:rsidP="000C76B0">
      <w:pPr>
        <w:pStyle w:val="JudgmentText"/>
        <w:numPr>
          <w:ilvl w:val="0"/>
          <w:numId w:val="0"/>
        </w:numPr>
        <w:ind w:left="1440" w:right="810"/>
      </w:pPr>
      <w:r w:rsidRPr="000C76B0">
        <w:rPr>
          <w:i/>
          <w:lang w:val="en-US"/>
        </w:rPr>
        <w:br/>
        <w:t xml:space="preserve">(2) </w:t>
      </w:r>
      <w:r w:rsidRPr="000C76B0">
        <w:rPr>
          <w:i/>
          <w:u w:val="single"/>
          <w:lang w:val="en-US"/>
        </w:rPr>
        <w:t>Siblings are related in the second degree</w:t>
      </w:r>
      <w:r w:rsidRPr="000C76B0">
        <w:rPr>
          <w:i/>
          <w:lang w:val="en-US"/>
        </w:rPr>
        <w:t>, uncle or aunt</w:t>
      </w:r>
      <w:r w:rsidRPr="000C76B0">
        <w:rPr>
          <w:i/>
          <w:lang w:val="en-US"/>
        </w:rPr>
        <w:br/>
        <w:t>and nephew or niece are related in the third degree, first cousins in the</w:t>
      </w:r>
      <w:r w:rsidRPr="000C76B0">
        <w:rPr>
          <w:i/>
          <w:lang w:val="en-US"/>
        </w:rPr>
        <w:br/>
        <w:t>fourth degree, and so on</w:t>
      </w:r>
      <w:r>
        <w:rPr>
          <w:i/>
          <w:lang w:val="en-US"/>
        </w:rPr>
        <w:t xml:space="preserve"> </w:t>
      </w:r>
      <w:r w:rsidRPr="000C76B0">
        <w:rPr>
          <w:lang w:val="en-US"/>
        </w:rPr>
        <w:t>[all emphasis mine].</w:t>
      </w:r>
    </w:p>
    <w:p w:rsidR="00DD0D72" w:rsidRDefault="00837EC5" w:rsidP="000C76B0">
      <w:pPr>
        <w:pStyle w:val="JudgmentText"/>
        <w:rPr>
          <w:rStyle w:val="markedcontent"/>
        </w:rPr>
      </w:pPr>
      <w:r>
        <w:t xml:space="preserve">In this case </w:t>
      </w:r>
      <w:r w:rsidR="00634E97">
        <w:t xml:space="preserve">the Petitioners as per their own averments, are neither sibblings of the two children of the deceased nor their collateral successors. They are the ascendant and the sibblings of the deceased and therefore cannot inherit in the first degree since the deceased has children who inherit as descendants in the first degree. </w:t>
      </w:r>
      <w:r w:rsidR="003156E3">
        <w:t xml:space="preserve">Under article 747(4) as the heirs in the first degree and being </w:t>
      </w:r>
      <w:r w:rsidR="003156E3" w:rsidRPr="003156E3">
        <w:rPr>
          <w:rStyle w:val="markedcontent"/>
        </w:rPr>
        <w:t xml:space="preserve">the closest heir by degree they </w:t>
      </w:r>
      <w:r w:rsidR="003156E3">
        <w:rPr>
          <w:rStyle w:val="markedcontent"/>
        </w:rPr>
        <w:t>exclude</w:t>
      </w:r>
      <w:r w:rsidR="003156E3" w:rsidRPr="003156E3">
        <w:rPr>
          <w:rStyle w:val="markedcontent"/>
        </w:rPr>
        <w:t xml:space="preserve"> more</w:t>
      </w:r>
      <w:r w:rsidR="003156E3" w:rsidRPr="003156E3">
        <w:t xml:space="preserve"> </w:t>
      </w:r>
      <w:r w:rsidR="003156E3" w:rsidRPr="003156E3">
        <w:rPr>
          <w:rStyle w:val="markedcontent"/>
        </w:rPr>
        <w:t>remote heirs</w:t>
      </w:r>
      <w:r w:rsidR="003156E3">
        <w:rPr>
          <w:rStyle w:val="markedcontent"/>
        </w:rPr>
        <w:t>. Taken with section 23 of the Curatelle Act, the Petitioners do not have any lawful interest in the succession of the deceased.</w:t>
      </w:r>
    </w:p>
    <w:p w:rsidR="000431C9" w:rsidRDefault="003156E3" w:rsidP="000C76B0">
      <w:pPr>
        <w:pStyle w:val="JudgmentText"/>
        <w:rPr>
          <w:rStyle w:val="markedcontent"/>
        </w:rPr>
      </w:pPr>
      <w:r>
        <w:rPr>
          <w:rStyle w:val="markedcontent"/>
        </w:rPr>
        <w:t xml:space="preserve">This takes the Court back to the issue of injunction. The Court would entertain application or Petition for injunction if the Court is satisfied that the Applicant or Petitioner </w:t>
      </w:r>
      <w:r w:rsidRPr="003156E3">
        <w:rPr>
          <w:rStyle w:val="markedcontent"/>
          <w:i/>
        </w:rPr>
        <w:t>i.</w:t>
      </w:r>
      <w:r>
        <w:rPr>
          <w:rStyle w:val="markedcontent"/>
        </w:rPr>
        <w:t xml:space="preserve"> has locus standi in the matter at hand; </w:t>
      </w:r>
      <w:r w:rsidRPr="003156E3">
        <w:rPr>
          <w:rStyle w:val="markedcontent"/>
          <w:i/>
        </w:rPr>
        <w:t>ii.</w:t>
      </w:r>
      <w:r>
        <w:rPr>
          <w:rStyle w:val="markedcontent"/>
        </w:rPr>
        <w:t xml:space="preserve"> There is a sufficiently serious matter to be tried; </w:t>
      </w:r>
      <w:r w:rsidRPr="003156E3">
        <w:rPr>
          <w:rStyle w:val="markedcontent"/>
          <w:i/>
        </w:rPr>
        <w:t>iii.</w:t>
      </w:r>
      <w:r>
        <w:rPr>
          <w:rStyle w:val="markedcontent"/>
        </w:rPr>
        <w:t xml:space="preserve"> the Applicant or Petitioner has a reasonably good chance of success; </w:t>
      </w:r>
      <w:r w:rsidRPr="000431C9">
        <w:rPr>
          <w:rStyle w:val="markedcontent"/>
          <w:i/>
        </w:rPr>
        <w:t>iv</w:t>
      </w:r>
      <w:r>
        <w:rPr>
          <w:rStyle w:val="markedcontent"/>
        </w:rPr>
        <w:t>. That if the injunction is not granted, the Applicant or Petitioner would suffer substantial and irreparable loss</w:t>
      </w:r>
      <w:r w:rsidR="000431C9">
        <w:rPr>
          <w:rStyle w:val="markedcontent"/>
        </w:rPr>
        <w:t xml:space="preserve"> which the Respondent would be unable to make good</w:t>
      </w:r>
      <w:r>
        <w:rPr>
          <w:rStyle w:val="markedcontent"/>
        </w:rPr>
        <w:t xml:space="preserve">; </w:t>
      </w:r>
      <w:r w:rsidRPr="000431C9">
        <w:rPr>
          <w:rStyle w:val="markedcontent"/>
          <w:i/>
        </w:rPr>
        <w:t>v</w:t>
      </w:r>
      <w:r w:rsidR="000431C9">
        <w:rPr>
          <w:rStyle w:val="markedcontent"/>
        </w:rPr>
        <w:t xml:space="preserve">. that considering all the circumstanes of the case the Court concludes that it is in in favour of granting the injunction than not to grant. This is not exhaustive as the Court can consider any other issues pecular to the case. Each of the above must be satisfied in sequence and failing to satisfy one test fails the entire process, that </w:t>
      </w:r>
      <w:r w:rsidR="009328E6">
        <w:rPr>
          <w:rStyle w:val="markedcontent"/>
        </w:rPr>
        <w:t xml:space="preserve">is </w:t>
      </w:r>
      <w:r w:rsidR="000431C9">
        <w:rPr>
          <w:rStyle w:val="markedcontent"/>
        </w:rPr>
        <w:t xml:space="preserve">, if the Applicant or Petitioner fails test </w:t>
      </w:r>
      <w:r w:rsidR="000431C9" w:rsidRPr="000431C9">
        <w:rPr>
          <w:rStyle w:val="markedcontent"/>
          <w:i/>
        </w:rPr>
        <w:t>i</w:t>
      </w:r>
      <w:r w:rsidR="000431C9">
        <w:rPr>
          <w:rStyle w:val="markedcontent"/>
        </w:rPr>
        <w:t xml:space="preserve">. the Court cannot proceed to test </w:t>
      </w:r>
      <w:r w:rsidR="000431C9" w:rsidRPr="000431C9">
        <w:rPr>
          <w:rStyle w:val="markedcontent"/>
        </w:rPr>
        <w:t>ii</w:t>
      </w:r>
      <w:r w:rsidR="000431C9">
        <w:rPr>
          <w:rStyle w:val="markedcontent"/>
        </w:rPr>
        <w:t xml:space="preserve"> and the same applies up to test </w:t>
      </w:r>
      <w:r w:rsidR="000431C9" w:rsidRPr="000431C9">
        <w:rPr>
          <w:rStyle w:val="markedcontent"/>
          <w:i/>
        </w:rPr>
        <w:t>v</w:t>
      </w:r>
      <w:r w:rsidR="000431C9">
        <w:rPr>
          <w:rStyle w:val="markedcontent"/>
        </w:rPr>
        <w:t xml:space="preserve">. </w:t>
      </w:r>
    </w:p>
    <w:p w:rsidR="00075D2C" w:rsidRDefault="00F805C9" w:rsidP="000C76B0">
      <w:pPr>
        <w:pStyle w:val="JudgmentText"/>
        <w:rPr>
          <w:rStyle w:val="markedcontent"/>
        </w:rPr>
      </w:pPr>
      <w:r>
        <w:rPr>
          <w:rStyle w:val="markedcontent"/>
        </w:rPr>
        <w:t xml:space="preserve">Whilst this Petition for injunction does not require this Court to determine the appeal, I wish to remind counsel of the need to ensure that litigants are not led into believing that a matter can be fought and won on principles alone. The law must be adhered to so that litigants do not keep throwing good money after bad money when their chance of success is equivalent to finding a snowball in hell. I am reminded of Dingake J.A. strong remark in </w:t>
      </w:r>
      <w:r w:rsidR="00075D2C" w:rsidRPr="00D22AA5">
        <w:rPr>
          <w:i/>
          <w:u w:val="single"/>
        </w:rPr>
        <w:t>Savoy Development Limited v Sharifa Salum SCA MA 22/2021 Arising in SCA10/2021).</w:t>
      </w:r>
    </w:p>
    <w:p w:rsidR="000431C9" w:rsidRPr="00075D2C" w:rsidRDefault="00075D2C" w:rsidP="00177C3B">
      <w:pPr>
        <w:spacing w:line="360" w:lineRule="auto"/>
        <w:ind w:left="1440"/>
        <w:jc w:val="both"/>
        <w:rPr>
          <w:rStyle w:val="markedcontent"/>
          <w:rFonts w:ascii="Times New Roman" w:hAnsi="Times New Roman" w:cs="Times New Roman"/>
          <w:sz w:val="24"/>
          <w:szCs w:val="24"/>
        </w:rPr>
      </w:pPr>
      <w:r>
        <w:rPr>
          <w:rFonts w:ascii="Times New Roman" w:hAnsi="Times New Roman" w:cs="Times New Roman"/>
          <w:i/>
          <w:sz w:val="24"/>
          <w:szCs w:val="24"/>
        </w:rPr>
        <w:t>“On the facts of this case the application borders on an abuse of Court warranting some sanction by this Court, on the Attorney handling this matter or his client, for a number of reasons … Ordinarily, although I am of the considered view that some sanction would be appropriate to express this Court’s displeasure, I will temper justice with mercy and refrain from imposing some punitive costs and hope the message will be heeded”.</w:t>
      </w:r>
      <w:r>
        <w:rPr>
          <w:rFonts w:ascii="Times New Roman" w:hAnsi="Times New Roman" w:cs="Times New Roman"/>
          <w:sz w:val="24"/>
          <w:szCs w:val="24"/>
        </w:rPr>
        <w:t xml:space="preserve"> </w:t>
      </w:r>
    </w:p>
    <w:p w:rsidR="00075D2C" w:rsidRDefault="000431C9" w:rsidP="000C76B0">
      <w:pPr>
        <w:pStyle w:val="JudgmentText"/>
        <w:rPr>
          <w:rStyle w:val="markedcontent"/>
        </w:rPr>
      </w:pPr>
      <w:r>
        <w:rPr>
          <w:rStyle w:val="markedcontent"/>
        </w:rPr>
        <w:t>C</w:t>
      </w:r>
      <w:r w:rsidR="00075D2C">
        <w:rPr>
          <w:rStyle w:val="markedcontent"/>
        </w:rPr>
        <w:t>onsidering my findings above, the Petitioners have not satisfied the Court that the</w:t>
      </w:r>
      <w:r w:rsidR="009328E6">
        <w:rPr>
          <w:rStyle w:val="markedcontent"/>
        </w:rPr>
        <w:t>y</w:t>
      </w:r>
      <w:r w:rsidR="00075D2C">
        <w:rPr>
          <w:rStyle w:val="markedcontent"/>
        </w:rPr>
        <w:t xml:space="preserve"> have a lawful interest in the estate of the deceased</w:t>
      </w:r>
      <w:r w:rsidR="006444E0">
        <w:rPr>
          <w:rStyle w:val="markedcontent"/>
        </w:rPr>
        <w:t xml:space="preserve">. They have </w:t>
      </w:r>
      <w:r w:rsidR="00075D2C">
        <w:rPr>
          <w:rStyle w:val="markedcontent"/>
        </w:rPr>
        <w:t>no</w:t>
      </w:r>
      <w:r w:rsidR="006444E0">
        <w:rPr>
          <w:rStyle w:val="markedcontent"/>
        </w:rPr>
        <w:t>t satisfied this Court that they have</w:t>
      </w:r>
      <w:r w:rsidR="00075D2C">
        <w:rPr>
          <w:rStyle w:val="markedcontent"/>
        </w:rPr>
        <w:t xml:space="preserve"> locus standi</w:t>
      </w:r>
      <w:r w:rsidR="006444E0">
        <w:rPr>
          <w:rStyle w:val="markedcontent"/>
        </w:rPr>
        <w:t xml:space="preserve"> to intervene in the intestate succession to the deceased and entitled to his estate</w:t>
      </w:r>
      <w:r w:rsidR="00075D2C">
        <w:rPr>
          <w:rStyle w:val="markedcontent"/>
        </w:rPr>
        <w:t>.</w:t>
      </w:r>
      <w:r w:rsidR="006444E0">
        <w:rPr>
          <w:rStyle w:val="markedcontent"/>
        </w:rPr>
        <w:t xml:space="preserve"> Hence their appeal has a remote chance of success. This Court therefore cannot </w:t>
      </w:r>
      <w:r w:rsidR="009328E6">
        <w:rPr>
          <w:rStyle w:val="markedcontent"/>
        </w:rPr>
        <w:t>g</w:t>
      </w:r>
      <w:r w:rsidR="006444E0">
        <w:rPr>
          <w:rStyle w:val="markedcontent"/>
        </w:rPr>
        <w:t>rant an injunction</w:t>
      </w:r>
      <w:r w:rsidR="009328E6">
        <w:rPr>
          <w:rStyle w:val="markedcontent"/>
        </w:rPr>
        <w:t xml:space="preserve"> </w:t>
      </w:r>
      <w:r w:rsidR="006444E0">
        <w:rPr>
          <w:rStyle w:val="markedcontent"/>
        </w:rPr>
        <w:t>as petitioned.</w:t>
      </w:r>
      <w:r w:rsidR="00075D2C">
        <w:rPr>
          <w:rStyle w:val="markedcontent"/>
        </w:rPr>
        <w:t xml:space="preserve"> </w:t>
      </w:r>
    </w:p>
    <w:p w:rsidR="003156E3" w:rsidRPr="001002AE" w:rsidRDefault="00075D2C" w:rsidP="000C76B0">
      <w:pPr>
        <w:pStyle w:val="JudgmentText"/>
      </w:pPr>
      <w:r>
        <w:rPr>
          <w:rStyle w:val="markedcontent"/>
        </w:rPr>
        <w:t>This Petition is dismissed with costs to the Respondents.</w:t>
      </w:r>
      <w:r w:rsidR="000431C9">
        <w:rPr>
          <w:rStyle w:val="markedcontent"/>
        </w:rPr>
        <w:t xml:space="preserve">   </w:t>
      </w:r>
      <w:r w:rsidR="003156E3">
        <w:rPr>
          <w:rStyle w:val="markedcontent"/>
        </w:rPr>
        <w:t xml:space="preserve"> </w:t>
      </w:r>
    </w:p>
    <w:p w:rsidR="005560C1" w:rsidRDefault="005560C1" w:rsidP="005560C1">
      <w:pPr>
        <w:pStyle w:val="JudgmentText"/>
        <w:numPr>
          <w:ilvl w:val="0"/>
          <w:numId w:val="0"/>
        </w:numPr>
        <w:ind w:left="720"/>
      </w:pPr>
      <w:r>
        <w:t xml:space="preserve">Signed, dated and delivered at Ile du Port, Victoria on </w:t>
      </w:r>
      <w:r w:rsidR="006E0C77">
        <w:t>5</w:t>
      </w:r>
      <w:r w:rsidR="0073012C" w:rsidRPr="0073012C">
        <w:rPr>
          <w:vertAlign w:val="superscript"/>
        </w:rPr>
        <w:t>th</w:t>
      </w:r>
      <w:r w:rsidR="0073012C">
        <w:t xml:space="preserve"> day of </w:t>
      </w:r>
      <w:r w:rsidR="006E0C77">
        <w:t>August</w:t>
      </w:r>
      <w:r w:rsidR="0073012C">
        <w:t xml:space="preserve"> </w:t>
      </w:r>
      <w:r>
        <w:t>202</w:t>
      </w:r>
      <w:r w:rsidR="0073012C">
        <w:t>2</w:t>
      </w:r>
    </w:p>
    <w:p w:rsidR="005560C1" w:rsidRDefault="005560C1" w:rsidP="005560C1">
      <w:pPr>
        <w:pStyle w:val="JudgmentText"/>
        <w:numPr>
          <w:ilvl w:val="0"/>
          <w:numId w:val="0"/>
        </w:numPr>
        <w:ind w:left="720"/>
      </w:pPr>
    </w:p>
    <w:p w:rsidR="005560C1" w:rsidRDefault="005560C1" w:rsidP="005560C1">
      <w:pPr>
        <w:pStyle w:val="JudgmentText"/>
        <w:numPr>
          <w:ilvl w:val="0"/>
          <w:numId w:val="0"/>
        </w:numPr>
        <w:ind w:left="720"/>
      </w:pPr>
      <w:r>
        <w:t>____________</w:t>
      </w:r>
    </w:p>
    <w:p w:rsidR="00144C02" w:rsidRDefault="0073012C" w:rsidP="0073012C">
      <w:pPr>
        <w:pStyle w:val="JudgmentText"/>
        <w:numPr>
          <w:ilvl w:val="0"/>
          <w:numId w:val="0"/>
        </w:numPr>
        <w:spacing w:line="240" w:lineRule="auto"/>
        <w:ind w:left="720"/>
      </w:pPr>
      <w:r>
        <w:t>C G Dodin</w:t>
      </w:r>
    </w:p>
    <w:p w:rsidR="0073012C" w:rsidRPr="005B12AA" w:rsidRDefault="0073012C" w:rsidP="0073012C">
      <w:pPr>
        <w:pStyle w:val="JudgmentText"/>
        <w:numPr>
          <w:ilvl w:val="0"/>
          <w:numId w:val="0"/>
        </w:numPr>
        <w:spacing w:line="240" w:lineRule="auto"/>
        <w:ind w:left="720"/>
      </w:pPr>
      <w:r>
        <w:t>Judge</w:t>
      </w:r>
    </w:p>
    <w:sectPr w:rsidR="0073012C" w:rsidRPr="005B12AA"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46" w:rsidRDefault="00482D46" w:rsidP="006A68E2">
      <w:pPr>
        <w:spacing w:after="0" w:line="240" w:lineRule="auto"/>
      </w:pPr>
      <w:r>
        <w:separator/>
      </w:r>
    </w:p>
  </w:endnote>
  <w:endnote w:type="continuationSeparator" w:id="0">
    <w:p w:rsidR="00482D46" w:rsidRDefault="00482D4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B636A">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46" w:rsidRDefault="00482D46" w:rsidP="006A68E2">
      <w:pPr>
        <w:spacing w:after="0" w:line="240" w:lineRule="auto"/>
      </w:pPr>
      <w:r>
        <w:separator/>
      </w:r>
    </w:p>
  </w:footnote>
  <w:footnote w:type="continuationSeparator" w:id="0">
    <w:p w:rsidR="00482D46" w:rsidRDefault="00482D4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0"/>
  </w:num>
  <w:num w:numId="9">
    <w:abstractNumId w:val="1"/>
  </w:num>
  <w:num w:numId="10">
    <w:abstractNumId w:val="10"/>
  </w:num>
  <w:num w:numId="11">
    <w:abstractNumId w:val="10"/>
  </w:num>
  <w:num w:numId="12">
    <w:abstractNumId w:val="11"/>
  </w:num>
  <w:num w:numId="13">
    <w:abstractNumId w:val="12"/>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46BA"/>
    <w:rsid w:val="000251EA"/>
    <w:rsid w:val="00025CDF"/>
    <w:rsid w:val="00040193"/>
    <w:rsid w:val="00041BA5"/>
    <w:rsid w:val="000431C9"/>
    <w:rsid w:val="00064A33"/>
    <w:rsid w:val="00071B84"/>
    <w:rsid w:val="00075D2C"/>
    <w:rsid w:val="0008560D"/>
    <w:rsid w:val="0009242F"/>
    <w:rsid w:val="00097D19"/>
    <w:rsid w:val="000C76B0"/>
    <w:rsid w:val="000F5C61"/>
    <w:rsid w:val="001002AE"/>
    <w:rsid w:val="001135C2"/>
    <w:rsid w:val="00124996"/>
    <w:rsid w:val="00126B9A"/>
    <w:rsid w:val="00135C9A"/>
    <w:rsid w:val="001428B9"/>
    <w:rsid w:val="00144C02"/>
    <w:rsid w:val="00147D5A"/>
    <w:rsid w:val="001723B1"/>
    <w:rsid w:val="00177C3B"/>
    <w:rsid w:val="001B4D1B"/>
    <w:rsid w:val="001B636A"/>
    <w:rsid w:val="001C13BC"/>
    <w:rsid w:val="001C78EC"/>
    <w:rsid w:val="001D33D2"/>
    <w:rsid w:val="00200534"/>
    <w:rsid w:val="00200AEB"/>
    <w:rsid w:val="002015F8"/>
    <w:rsid w:val="00212006"/>
    <w:rsid w:val="0021402A"/>
    <w:rsid w:val="00214DB4"/>
    <w:rsid w:val="00224C9D"/>
    <w:rsid w:val="00235626"/>
    <w:rsid w:val="00243AE1"/>
    <w:rsid w:val="002D4EB8"/>
    <w:rsid w:val="002E2AE3"/>
    <w:rsid w:val="0030256B"/>
    <w:rsid w:val="003137B8"/>
    <w:rsid w:val="003156E3"/>
    <w:rsid w:val="00344425"/>
    <w:rsid w:val="00346D7F"/>
    <w:rsid w:val="003615E7"/>
    <w:rsid w:val="00364CD4"/>
    <w:rsid w:val="00380619"/>
    <w:rsid w:val="00387FA8"/>
    <w:rsid w:val="003A6C9E"/>
    <w:rsid w:val="003E2E94"/>
    <w:rsid w:val="00403F4C"/>
    <w:rsid w:val="00405958"/>
    <w:rsid w:val="00412994"/>
    <w:rsid w:val="004443CA"/>
    <w:rsid w:val="004617EA"/>
    <w:rsid w:val="00463B4E"/>
    <w:rsid w:val="00472219"/>
    <w:rsid w:val="00482D46"/>
    <w:rsid w:val="004A2599"/>
    <w:rsid w:val="004C16E0"/>
    <w:rsid w:val="004F296A"/>
    <w:rsid w:val="005560C1"/>
    <w:rsid w:val="00577D55"/>
    <w:rsid w:val="005A5FCB"/>
    <w:rsid w:val="005B12AA"/>
    <w:rsid w:val="005C5EDB"/>
    <w:rsid w:val="0061354A"/>
    <w:rsid w:val="00634E97"/>
    <w:rsid w:val="00635504"/>
    <w:rsid w:val="00635C07"/>
    <w:rsid w:val="006444E0"/>
    <w:rsid w:val="00652326"/>
    <w:rsid w:val="00662CEA"/>
    <w:rsid w:val="006A68E2"/>
    <w:rsid w:val="006B0AD7"/>
    <w:rsid w:val="006B20DD"/>
    <w:rsid w:val="006D7D3B"/>
    <w:rsid w:val="006E0C77"/>
    <w:rsid w:val="006E456A"/>
    <w:rsid w:val="0070371E"/>
    <w:rsid w:val="00722761"/>
    <w:rsid w:val="0073012C"/>
    <w:rsid w:val="00743A1A"/>
    <w:rsid w:val="00796B89"/>
    <w:rsid w:val="007970F6"/>
    <w:rsid w:val="007B7C8D"/>
    <w:rsid w:val="007C30A0"/>
    <w:rsid w:val="007D15DE"/>
    <w:rsid w:val="007D25FE"/>
    <w:rsid w:val="008001C8"/>
    <w:rsid w:val="00837EC5"/>
    <w:rsid w:val="008577B7"/>
    <w:rsid w:val="00865E21"/>
    <w:rsid w:val="008800C0"/>
    <w:rsid w:val="008817C8"/>
    <w:rsid w:val="00882012"/>
    <w:rsid w:val="008977D9"/>
    <w:rsid w:val="008D123E"/>
    <w:rsid w:val="008E771B"/>
    <w:rsid w:val="009328E6"/>
    <w:rsid w:val="00952755"/>
    <w:rsid w:val="009539C2"/>
    <w:rsid w:val="00957C3F"/>
    <w:rsid w:val="009A769C"/>
    <w:rsid w:val="009B495E"/>
    <w:rsid w:val="009B62D9"/>
    <w:rsid w:val="009F125D"/>
    <w:rsid w:val="009F67E5"/>
    <w:rsid w:val="00A2058F"/>
    <w:rsid w:val="00AC4662"/>
    <w:rsid w:val="00B03209"/>
    <w:rsid w:val="00B2275A"/>
    <w:rsid w:val="00B25AB8"/>
    <w:rsid w:val="00B811BE"/>
    <w:rsid w:val="00B950DF"/>
    <w:rsid w:val="00BB1A3E"/>
    <w:rsid w:val="00BC4D9A"/>
    <w:rsid w:val="00BC73B1"/>
    <w:rsid w:val="00C15B69"/>
    <w:rsid w:val="00C2466E"/>
    <w:rsid w:val="00CC437E"/>
    <w:rsid w:val="00CC6AD0"/>
    <w:rsid w:val="00CD09C7"/>
    <w:rsid w:val="00D31F1B"/>
    <w:rsid w:val="00D33DBF"/>
    <w:rsid w:val="00D375CD"/>
    <w:rsid w:val="00D46FC4"/>
    <w:rsid w:val="00D710E7"/>
    <w:rsid w:val="00D8352C"/>
    <w:rsid w:val="00DD0D72"/>
    <w:rsid w:val="00DD38D7"/>
    <w:rsid w:val="00E1659A"/>
    <w:rsid w:val="00E322B4"/>
    <w:rsid w:val="00E71A53"/>
    <w:rsid w:val="00E74D1C"/>
    <w:rsid w:val="00ED0BFC"/>
    <w:rsid w:val="00EF13E2"/>
    <w:rsid w:val="00F021A0"/>
    <w:rsid w:val="00F152C8"/>
    <w:rsid w:val="00F32DDF"/>
    <w:rsid w:val="00F33B83"/>
    <w:rsid w:val="00F80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character" w:customStyle="1" w:styleId="markedcontent">
    <w:name w:val="markedcontent"/>
    <w:basedOn w:val="DefaultParagraphFont"/>
    <w:rsid w:val="007C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241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8030-5D10-4C73-AB68-74738F5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Dodin</cp:lastModifiedBy>
  <cp:revision>5</cp:revision>
  <cp:lastPrinted>2022-08-05T06:57:00Z</cp:lastPrinted>
  <dcterms:created xsi:type="dcterms:W3CDTF">2022-08-03T11:38:00Z</dcterms:created>
  <dcterms:modified xsi:type="dcterms:W3CDTF">2022-08-05T06:57:00Z</dcterms:modified>
</cp:coreProperties>
</file>