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9D" w:rsidRDefault="00D8319D" w:rsidP="00D8319D">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D8319D" w:rsidRDefault="00D8319D" w:rsidP="00D8319D">
      <w:pPr>
        <w:pBdr>
          <w:bottom w:val="single" w:sz="4" w:space="1" w:color="auto"/>
        </w:pBdr>
        <w:tabs>
          <w:tab w:val="left" w:pos="4092"/>
        </w:tabs>
        <w:spacing w:line="240" w:lineRule="auto"/>
        <w:jc w:val="center"/>
        <w:rPr>
          <w:rFonts w:ascii="Times New Roman" w:hAnsi="Times New Roman" w:cs="Times New Roman"/>
          <w:b/>
          <w:sz w:val="24"/>
          <w:szCs w:val="24"/>
        </w:rPr>
      </w:pPr>
    </w:p>
    <w:p w:rsidR="00D8319D" w:rsidRDefault="00D8319D" w:rsidP="00D8319D">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D8319D" w:rsidRDefault="00D8319D" w:rsidP="00D8319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A46B68">
        <w:rPr>
          <w:rFonts w:ascii="Times New Roman" w:hAnsi="Times New Roman" w:cs="Times New Roman"/>
          <w:sz w:val="24"/>
          <w:szCs w:val="24"/>
        </w:rPr>
        <w:t xml:space="preserve"> 718</w:t>
      </w:r>
    </w:p>
    <w:p w:rsidR="00D8319D" w:rsidRPr="00A46B68" w:rsidRDefault="00D8319D" w:rsidP="00D8319D">
      <w:pPr>
        <w:spacing w:after="0" w:line="240" w:lineRule="auto"/>
        <w:ind w:left="5580"/>
        <w:rPr>
          <w:rFonts w:ascii="Times New Roman" w:hAnsi="Times New Roman" w:cs="Times New Roman"/>
          <w:sz w:val="24"/>
          <w:szCs w:val="24"/>
          <w:lang w:val="fr-FR"/>
        </w:rPr>
      </w:pPr>
      <w:r w:rsidRPr="00A46B68">
        <w:rPr>
          <w:rFonts w:ascii="Times New Roman" w:hAnsi="Times New Roman" w:cs="Times New Roman"/>
          <w:sz w:val="24"/>
          <w:szCs w:val="24"/>
          <w:lang w:val="fr-FR"/>
        </w:rPr>
        <w:t>XP220/2022</w:t>
      </w:r>
    </w:p>
    <w:p w:rsidR="00D8319D" w:rsidRPr="00A46B68" w:rsidRDefault="00D8319D" w:rsidP="00D8319D">
      <w:pPr>
        <w:spacing w:after="0" w:line="240" w:lineRule="auto"/>
        <w:ind w:left="5580"/>
        <w:rPr>
          <w:rFonts w:ascii="Times New Roman" w:hAnsi="Times New Roman" w:cs="Times New Roman"/>
          <w:sz w:val="24"/>
          <w:szCs w:val="24"/>
          <w:lang w:val="fr-FR"/>
        </w:rPr>
      </w:pPr>
    </w:p>
    <w:p w:rsidR="00D8319D" w:rsidRPr="00D8319D" w:rsidRDefault="00D8319D" w:rsidP="00D8319D">
      <w:pPr>
        <w:tabs>
          <w:tab w:val="left" w:pos="4140"/>
        </w:tabs>
        <w:spacing w:line="259" w:lineRule="auto"/>
        <w:rPr>
          <w:rFonts w:ascii="Times New Roman" w:hAnsi="Times New Roman" w:cs="Times New Roman"/>
          <w:b/>
          <w:sz w:val="24"/>
          <w:szCs w:val="24"/>
          <w:lang w:val="fr-FR"/>
        </w:rPr>
      </w:pPr>
      <w:r w:rsidRPr="00D8319D">
        <w:rPr>
          <w:rFonts w:ascii="Times New Roman" w:hAnsi="Times New Roman" w:cs="Times New Roman"/>
          <w:b/>
          <w:sz w:val="24"/>
          <w:szCs w:val="24"/>
          <w:lang w:val="fr-FR"/>
        </w:rPr>
        <w:t>Ex-</w:t>
      </w:r>
      <w:r>
        <w:rPr>
          <w:rFonts w:ascii="Times New Roman" w:hAnsi="Times New Roman" w:cs="Times New Roman"/>
          <w:b/>
          <w:sz w:val="24"/>
          <w:szCs w:val="24"/>
          <w:lang w:val="fr-FR"/>
        </w:rPr>
        <w:t>Parte</w:t>
      </w:r>
      <w:r w:rsidRPr="00D8319D">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sidRPr="00D8319D">
        <w:rPr>
          <w:rFonts w:ascii="Times New Roman" w:hAnsi="Times New Roman" w:cs="Times New Roman"/>
          <w:b/>
          <w:sz w:val="24"/>
          <w:szCs w:val="24"/>
          <w:lang w:val="fr-FR"/>
        </w:rPr>
        <w:t xml:space="preserve">TECHNOLOGIES LIMITED                          </w:t>
      </w:r>
      <w:r>
        <w:rPr>
          <w:rFonts w:ascii="Times New Roman" w:hAnsi="Times New Roman" w:cs="Times New Roman"/>
          <w:b/>
          <w:sz w:val="24"/>
          <w:szCs w:val="24"/>
          <w:lang w:val="fr-FR"/>
        </w:rPr>
        <w:t xml:space="preserve">       </w:t>
      </w:r>
      <w:r w:rsidRPr="00D8319D">
        <w:rPr>
          <w:rFonts w:ascii="Times New Roman" w:hAnsi="Times New Roman" w:cs="Times New Roman"/>
          <w:b/>
          <w:sz w:val="24"/>
          <w:szCs w:val="24"/>
          <w:lang w:val="fr-FR"/>
        </w:rPr>
        <w:t xml:space="preserve">                    Applicant</w:t>
      </w:r>
    </w:p>
    <w:p w:rsidR="00D8319D" w:rsidRPr="00D8319D" w:rsidRDefault="00D8319D" w:rsidP="00D8319D">
      <w:pPr>
        <w:tabs>
          <w:tab w:val="left" w:pos="4140"/>
        </w:tabs>
        <w:spacing w:line="259" w:lineRule="auto"/>
        <w:rPr>
          <w:rFonts w:ascii="Times New Roman" w:hAnsi="Times New Roman" w:cs="Times New Roman"/>
          <w:i/>
          <w:sz w:val="24"/>
          <w:szCs w:val="24"/>
        </w:rPr>
      </w:pPr>
      <w:r w:rsidRPr="00D8319D">
        <w:rPr>
          <w:rFonts w:ascii="Times New Roman" w:hAnsi="Times New Roman" w:cs="Times New Roman"/>
          <w:i/>
          <w:sz w:val="24"/>
          <w:szCs w:val="24"/>
          <w:lang w:val="fr-FR"/>
        </w:rPr>
        <w:t xml:space="preserve"> </w:t>
      </w:r>
      <w:r w:rsidRPr="00D8319D">
        <w:rPr>
          <w:rFonts w:ascii="Times New Roman" w:hAnsi="Times New Roman" w:cs="Times New Roman"/>
          <w:i/>
          <w:sz w:val="24"/>
          <w:szCs w:val="24"/>
        </w:rPr>
        <w:t>(Represented by Mr. Rene Durup and Mr. Govinden)</w:t>
      </w:r>
    </w:p>
    <w:p w:rsidR="00D8319D" w:rsidRPr="00D8319D" w:rsidRDefault="00D8319D" w:rsidP="00D8319D">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D8319D" w:rsidRPr="00D8319D" w:rsidRDefault="00D8319D" w:rsidP="00D8319D">
      <w:pPr>
        <w:spacing w:before="120" w:after="0" w:line="240" w:lineRule="auto"/>
        <w:ind w:left="1886" w:hanging="1886"/>
        <w:rPr>
          <w:rFonts w:ascii="Times New Roman" w:hAnsi="Times New Roman" w:cs="Times New Roman"/>
          <w:sz w:val="24"/>
          <w:szCs w:val="24"/>
          <w:lang w:val="fr-FR"/>
        </w:rPr>
      </w:pPr>
      <w:r w:rsidRPr="00D8319D">
        <w:rPr>
          <w:rFonts w:ascii="Times New Roman" w:hAnsi="Times New Roman" w:cs="Times New Roman"/>
          <w:b/>
          <w:sz w:val="24"/>
          <w:szCs w:val="24"/>
          <w:lang w:val="fr-FR"/>
        </w:rPr>
        <w:t>Neutral Citation:</w:t>
      </w:r>
      <w:r w:rsidRPr="00D8319D">
        <w:rPr>
          <w:rFonts w:ascii="Times New Roman" w:hAnsi="Times New Roman" w:cs="Times New Roman"/>
          <w:sz w:val="24"/>
          <w:szCs w:val="24"/>
          <w:lang w:val="fr-FR"/>
        </w:rPr>
        <w:t xml:space="preserve"> </w:t>
      </w:r>
      <w:r w:rsidRPr="00D8319D">
        <w:rPr>
          <w:rFonts w:ascii="Times New Roman" w:hAnsi="Times New Roman" w:cs="Times New Roman"/>
          <w:sz w:val="24"/>
          <w:szCs w:val="24"/>
          <w:lang w:val="fr-FR"/>
        </w:rPr>
        <w:tab/>
      </w:r>
      <w:r w:rsidRPr="00D8319D">
        <w:rPr>
          <w:rFonts w:ascii="Times New Roman" w:hAnsi="Times New Roman" w:cs="Times New Roman"/>
          <w:i/>
          <w:sz w:val="24"/>
          <w:szCs w:val="24"/>
          <w:lang w:val="fr-FR"/>
        </w:rPr>
        <w:t xml:space="preserve">Ex-Parte: Technologies Limited </w:t>
      </w:r>
      <w:r w:rsidRPr="00D8319D">
        <w:rPr>
          <w:rFonts w:ascii="Times New Roman" w:hAnsi="Times New Roman" w:cs="Times New Roman"/>
          <w:sz w:val="24"/>
          <w:szCs w:val="24"/>
          <w:lang w:val="fr-FR"/>
        </w:rPr>
        <w:t>(XP220/2022) [2022] SCSC</w:t>
      </w:r>
      <w:r w:rsidR="00A46B68">
        <w:rPr>
          <w:rFonts w:ascii="Times New Roman" w:hAnsi="Times New Roman" w:cs="Times New Roman"/>
          <w:sz w:val="24"/>
          <w:szCs w:val="24"/>
          <w:lang w:val="fr-FR"/>
        </w:rPr>
        <w:t xml:space="preserve"> 718</w:t>
      </w:r>
      <w:bookmarkStart w:id="0" w:name="_GoBack"/>
      <w:bookmarkEnd w:id="0"/>
    </w:p>
    <w:p w:rsidR="00D8319D" w:rsidRPr="008C67C6" w:rsidRDefault="00D8319D" w:rsidP="00D8319D">
      <w:pPr>
        <w:spacing w:before="120" w:after="0" w:line="240" w:lineRule="auto"/>
        <w:ind w:left="1886"/>
        <w:rPr>
          <w:rFonts w:ascii="Times New Roman" w:hAnsi="Times New Roman" w:cs="Times New Roman"/>
          <w:sz w:val="24"/>
          <w:szCs w:val="24"/>
          <w:lang w:val="en-GB"/>
        </w:rPr>
      </w:pPr>
      <w:r>
        <w:rPr>
          <w:rFonts w:ascii="Times New Roman" w:hAnsi="Times New Roman" w:cs="Times New Roman"/>
          <w:sz w:val="24"/>
          <w:szCs w:val="24"/>
        </w:rPr>
        <w:t>17 August 2022</w:t>
      </w:r>
    </w:p>
    <w:p w:rsidR="00D8319D" w:rsidRDefault="00D8319D" w:rsidP="00D8319D">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Judge Esparon</w:t>
      </w:r>
    </w:p>
    <w:p w:rsidR="00D8319D" w:rsidRPr="00D8319D" w:rsidRDefault="00D8319D" w:rsidP="00D8319D">
      <w:pPr>
        <w:pStyle w:val="NoSpacing"/>
        <w:ind w:left="1860" w:hanging="1860"/>
        <w:rPr>
          <w:rFonts w:ascii="Times New Roman" w:hAnsi="Times New Roman" w:cs="Times New Roman"/>
          <w:sz w:val="24"/>
          <w:szCs w:val="24"/>
        </w:rPr>
      </w:pPr>
      <w:r w:rsidRPr="00D8319D">
        <w:rPr>
          <w:rFonts w:ascii="Times New Roman" w:hAnsi="Times New Roman" w:cs="Times New Roman"/>
          <w:b/>
          <w:sz w:val="24"/>
          <w:szCs w:val="24"/>
        </w:rPr>
        <w:t xml:space="preserve">Summary:  </w:t>
      </w:r>
      <w:r>
        <w:rPr>
          <w:rFonts w:ascii="Times New Roman" w:hAnsi="Times New Roman" w:cs="Times New Roman"/>
          <w:sz w:val="24"/>
          <w:szCs w:val="24"/>
        </w:rPr>
        <w:tab/>
        <w:t>Application for seeking an Order from the Court to approve the proposed arrangement.</w:t>
      </w:r>
    </w:p>
    <w:p w:rsidR="00D8319D" w:rsidRDefault="00D8319D" w:rsidP="00D8319D">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sz w:val="24"/>
          <w:szCs w:val="24"/>
        </w:rPr>
        <w:tab/>
        <w:t>12 August 2022</w:t>
      </w:r>
    </w:p>
    <w:p w:rsidR="00D8319D" w:rsidRDefault="00D8319D" w:rsidP="00D8319D">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17 August 2022</w:t>
      </w:r>
    </w:p>
    <w:p w:rsidR="00D8319D" w:rsidRDefault="00D8319D" w:rsidP="00D8319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ORDER</w:t>
      </w:r>
    </w:p>
    <w:p w:rsidR="00D8319D" w:rsidRPr="00D8319D" w:rsidRDefault="00D8319D" w:rsidP="00D8319D">
      <w:pPr>
        <w:tabs>
          <w:tab w:val="left" w:pos="4140"/>
        </w:tabs>
        <w:spacing w:after="0" w:line="360" w:lineRule="auto"/>
        <w:rPr>
          <w:rFonts w:ascii="Times New Roman" w:hAnsi="Times New Roman" w:cs="Times New Roman"/>
          <w:sz w:val="24"/>
          <w:szCs w:val="24"/>
        </w:rPr>
      </w:pPr>
      <w:r w:rsidRPr="00D8319D">
        <w:rPr>
          <w:rFonts w:ascii="Times New Roman" w:hAnsi="Times New Roman" w:cs="Times New Roman"/>
          <w:sz w:val="24"/>
          <w:szCs w:val="24"/>
        </w:rPr>
        <w:t>Application under Section 208 of the International Business Companies Act whereby the Applicant is seeking an Order from this Court for the Court to approve the proposed arrangement- Interim order is granted subject to a final Order in accordance to section 208(4) of the same Act</w:t>
      </w:r>
      <w:r>
        <w:rPr>
          <w:rFonts w:ascii="Times New Roman" w:hAnsi="Times New Roman" w:cs="Times New Roman"/>
          <w:sz w:val="24"/>
          <w:szCs w:val="24"/>
        </w:rPr>
        <w:t>.</w:t>
      </w:r>
    </w:p>
    <w:p w:rsidR="00D8319D" w:rsidRDefault="00D8319D" w:rsidP="00D8319D">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D8319D" w:rsidRDefault="00D8319D" w:rsidP="00D8319D">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D8319D" w:rsidRDefault="00D8319D" w:rsidP="00D8319D">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D8319D" w:rsidRDefault="00D8319D" w:rsidP="00D8319D">
      <w:pPr>
        <w:pStyle w:val="JudgmentText"/>
        <w:numPr>
          <w:ilvl w:val="0"/>
          <w:numId w:val="0"/>
        </w:numPr>
        <w:tabs>
          <w:tab w:val="left" w:pos="720"/>
        </w:tabs>
        <w:spacing w:line="480" w:lineRule="auto"/>
        <w:ind w:left="720" w:hanging="720"/>
        <w:rPr>
          <w:b/>
        </w:rPr>
      </w:pPr>
    </w:p>
    <w:p w:rsidR="00D8319D" w:rsidRDefault="00D8319D" w:rsidP="00D8319D">
      <w:pPr>
        <w:pStyle w:val="JudgmentText"/>
        <w:numPr>
          <w:ilvl w:val="0"/>
          <w:numId w:val="0"/>
        </w:numPr>
        <w:tabs>
          <w:tab w:val="left" w:pos="720"/>
        </w:tabs>
        <w:spacing w:line="480" w:lineRule="auto"/>
        <w:ind w:left="720" w:hanging="720"/>
        <w:rPr>
          <w:b/>
        </w:rPr>
      </w:pPr>
      <w:r>
        <w:rPr>
          <w:b/>
        </w:rPr>
        <w:t>ESPARON J</w:t>
      </w:r>
    </w:p>
    <w:p w:rsidR="00D8319D" w:rsidRDefault="00D8319D" w:rsidP="00D8319D">
      <w:pPr>
        <w:pStyle w:val="ListParagraph"/>
        <w:tabs>
          <w:tab w:val="left" w:pos="4140"/>
        </w:tabs>
        <w:spacing w:after="0" w:line="360" w:lineRule="auto"/>
        <w:ind w:left="990" w:hanging="720"/>
        <w:jc w:val="both"/>
        <w:rPr>
          <w:rFonts w:ascii="Times New Roman" w:hAnsi="Times New Roman" w:cs="Times New Roman"/>
          <w:sz w:val="24"/>
          <w:szCs w:val="24"/>
        </w:rPr>
      </w:pPr>
      <w:r w:rsidRPr="00D8319D">
        <w:rPr>
          <w:rFonts w:ascii="Times New Roman" w:hAnsi="Times New Roman" w:cs="Times New Roman"/>
          <w:sz w:val="24"/>
          <w:szCs w:val="24"/>
          <w:lang w:val="en-GB"/>
        </w:rPr>
        <w:t>[1]</w:t>
      </w:r>
      <w:r w:rsidRPr="00D8319D">
        <w:rPr>
          <w:rFonts w:ascii="Times New Roman" w:hAnsi="Times New Roman" w:cs="Times New Roman"/>
          <w:sz w:val="24"/>
          <w:szCs w:val="24"/>
          <w:lang w:val="en-GB"/>
        </w:rPr>
        <w:tab/>
      </w:r>
      <w:r w:rsidRPr="00D8319D">
        <w:rPr>
          <w:rFonts w:ascii="Times New Roman" w:hAnsi="Times New Roman" w:cs="Times New Roman"/>
          <w:sz w:val="24"/>
          <w:szCs w:val="24"/>
        </w:rPr>
        <w:t>This is an Application under section 208 of the International Business Companies Act whereby the Applicant is seeking an order from this Court for the Court to approve the proposed arrangement as per the plan of arrangement herewith attached to the application.</w:t>
      </w:r>
    </w:p>
    <w:p w:rsidR="00D8319D" w:rsidRPr="00D8319D" w:rsidRDefault="00D8319D" w:rsidP="00D8319D">
      <w:pPr>
        <w:pStyle w:val="ListParagraph"/>
        <w:tabs>
          <w:tab w:val="left" w:pos="4140"/>
        </w:tabs>
        <w:spacing w:after="0" w:line="360" w:lineRule="auto"/>
        <w:ind w:left="1440" w:hanging="1170"/>
        <w:jc w:val="both"/>
        <w:rPr>
          <w:rFonts w:ascii="Times New Roman" w:hAnsi="Times New Roman" w:cs="Times New Roman"/>
          <w:sz w:val="24"/>
          <w:szCs w:val="24"/>
        </w:rPr>
      </w:pPr>
    </w:p>
    <w:p w:rsidR="00D8319D" w:rsidRPr="00D8319D" w:rsidRDefault="00D8319D" w:rsidP="00D8319D">
      <w:pPr>
        <w:tabs>
          <w:tab w:val="left" w:pos="4140"/>
        </w:tabs>
        <w:spacing w:after="0" w:line="360" w:lineRule="auto"/>
        <w:ind w:left="900" w:hanging="630"/>
        <w:contextualSpacing/>
        <w:jc w:val="both"/>
        <w:rPr>
          <w:rFonts w:ascii="Times New Roman" w:hAnsi="Times New Roman" w:cs="Times New Roman"/>
          <w:sz w:val="24"/>
          <w:szCs w:val="24"/>
        </w:rPr>
      </w:pPr>
      <w:r w:rsidRPr="00D8319D">
        <w:rPr>
          <w:rFonts w:ascii="Times New Roman" w:hAnsi="Times New Roman" w:cs="Times New Roman"/>
          <w:sz w:val="24"/>
          <w:szCs w:val="24"/>
        </w:rPr>
        <w:t>[2]</w:t>
      </w:r>
      <w:r w:rsidRPr="00D8319D">
        <w:rPr>
          <w:rFonts w:ascii="Times New Roman" w:hAnsi="Times New Roman" w:cs="Times New Roman"/>
          <w:sz w:val="24"/>
          <w:szCs w:val="24"/>
        </w:rPr>
        <w:tab/>
        <w:t xml:space="preserve">The Application is supported by the Affidavit of </w:t>
      </w:r>
      <w:proofErr w:type="spellStart"/>
      <w:r w:rsidRPr="00D8319D">
        <w:rPr>
          <w:rFonts w:ascii="Times New Roman" w:hAnsi="Times New Roman" w:cs="Times New Roman"/>
          <w:sz w:val="24"/>
          <w:szCs w:val="24"/>
        </w:rPr>
        <w:t>Sudhaman</w:t>
      </w:r>
      <w:proofErr w:type="spellEnd"/>
      <w:r w:rsidRPr="00D8319D">
        <w:rPr>
          <w:rFonts w:ascii="Times New Roman" w:hAnsi="Times New Roman" w:cs="Times New Roman"/>
          <w:sz w:val="24"/>
          <w:szCs w:val="24"/>
        </w:rPr>
        <w:t xml:space="preserve"> </w:t>
      </w:r>
      <w:proofErr w:type="spellStart"/>
      <w:r w:rsidRPr="00D8319D">
        <w:rPr>
          <w:rFonts w:ascii="Times New Roman" w:hAnsi="Times New Roman" w:cs="Times New Roman"/>
          <w:sz w:val="24"/>
          <w:szCs w:val="24"/>
        </w:rPr>
        <w:t>Thirumugam</w:t>
      </w:r>
      <w:proofErr w:type="spellEnd"/>
      <w:r w:rsidRPr="00D8319D">
        <w:rPr>
          <w:rFonts w:ascii="Times New Roman" w:hAnsi="Times New Roman" w:cs="Times New Roman"/>
          <w:sz w:val="24"/>
          <w:szCs w:val="24"/>
        </w:rPr>
        <w:t xml:space="preserve"> </w:t>
      </w:r>
      <w:proofErr w:type="spellStart"/>
      <w:r w:rsidRPr="00D8319D">
        <w:rPr>
          <w:rFonts w:ascii="Times New Roman" w:hAnsi="Times New Roman" w:cs="Times New Roman"/>
          <w:sz w:val="24"/>
          <w:szCs w:val="24"/>
        </w:rPr>
        <w:t>Arumugam</w:t>
      </w:r>
      <w:proofErr w:type="spellEnd"/>
      <w:r w:rsidRPr="00D8319D">
        <w:rPr>
          <w:rFonts w:ascii="Times New Roman" w:hAnsi="Times New Roman" w:cs="Times New Roman"/>
          <w:sz w:val="24"/>
          <w:szCs w:val="24"/>
        </w:rPr>
        <w:t xml:space="preserve"> who alleges in his Affidavit that he is duly authorized to swear this Affidavit on behalf of Liquidity Technologies LTD.</w:t>
      </w:r>
    </w:p>
    <w:p w:rsidR="00D8319D" w:rsidRPr="00D8319D" w:rsidRDefault="00D8319D" w:rsidP="00D8319D">
      <w:pPr>
        <w:spacing w:after="0" w:line="360" w:lineRule="auto"/>
        <w:contextualSpacing/>
        <w:jc w:val="both"/>
        <w:rPr>
          <w:rFonts w:ascii="Times New Roman" w:hAnsi="Times New Roman" w:cs="Times New Roman"/>
          <w:sz w:val="24"/>
          <w:szCs w:val="24"/>
        </w:rPr>
      </w:pPr>
    </w:p>
    <w:p w:rsidR="00D8319D" w:rsidRDefault="00D8319D" w:rsidP="00D8319D">
      <w:pPr>
        <w:tabs>
          <w:tab w:val="left" w:pos="4140"/>
        </w:tabs>
        <w:spacing w:after="0" w:line="360" w:lineRule="auto"/>
        <w:ind w:left="900" w:hanging="63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8319D">
        <w:rPr>
          <w:rFonts w:ascii="Times New Roman" w:hAnsi="Times New Roman" w:cs="Times New Roman"/>
          <w:sz w:val="24"/>
          <w:szCs w:val="24"/>
        </w:rPr>
        <w:t>The deponent alleges in paragraph 4 of his Affidavit that I believe that the relief sought in</w:t>
      </w:r>
      <w:r>
        <w:rPr>
          <w:rFonts w:ascii="Times New Roman" w:hAnsi="Times New Roman" w:cs="Times New Roman"/>
          <w:sz w:val="24"/>
          <w:szCs w:val="24"/>
        </w:rPr>
        <w:t xml:space="preserve"> </w:t>
      </w:r>
      <w:r w:rsidRPr="00D8319D">
        <w:rPr>
          <w:rFonts w:ascii="Times New Roman" w:hAnsi="Times New Roman" w:cs="Times New Roman"/>
          <w:sz w:val="24"/>
          <w:szCs w:val="24"/>
        </w:rPr>
        <w:t xml:space="preserve">the Application is necessary to enable the company to operate with minimal </w:t>
      </w:r>
      <w:r w:rsidRPr="00D8319D">
        <w:rPr>
          <w:rFonts w:ascii="Times New Roman" w:hAnsi="Times New Roman" w:cs="Times New Roman"/>
          <w:sz w:val="24"/>
          <w:szCs w:val="24"/>
        </w:rPr>
        <w:lastRenderedPageBreak/>
        <w:t>disruption to its business operation and constitute a critical element in successfully implementing a rescue strategy.</w:t>
      </w:r>
    </w:p>
    <w:p w:rsidR="00D8319D" w:rsidRPr="00D8319D" w:rsidRDefault="00D8319D" w:rsidP="00D8319D">
      <w:pPr>
        <w:tabs>
          <w:tab w:val="left" w:pos="4140"/>
        </w:tabs>
        <w:spacing w:after="0" w:line="360" w:lineRule="auto"/>
        <w:ind w:left="1440" w:hanging="1170"/>
        <w:contextualSpacing/>
        <w:jc w:val="both"/>
        <w:rPr>
          <w:rFonts w:ascii="Times New Roman" w:hAnsi="Times New Roman" w:cs="Times New Roman"/>
          <w:sz w:val="24"/>
          <w:szCs w:val="24"/>
        </w:rPr>
      </w:pPr>
    </w:p>
    <w:p w:rsidR="00D8319D" w:rsidRPr="00D8319D" w:rsidRDefault="00D8319D" w:rsidP="00D8319D">
      <w:pPr>
        <w:tabs>
          <w:tab w:val="left" w:pos="4140"/>
        </w:tabs>
        <w:spacing w:after="0" w:line="360" w:lineRule="auto"/>
        <w:ind w:left="810" w:hanging="81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8319D">
        <w:rPr>
          <w:rFonts w:ascii="Times New Roman" w:hAnsi="Times New Roman" w:cs="Times New Roman"/>
          <w:sz w:val="24"/>
          <w:szCs w:val="24"/>
        </w:rPr>
        <w:t>The deponent avers in paragraphs 6 and 8 of his Affidavit that the Applicant is an International Business company incorporated in Seychelles  with IBC company number 208853 and its registered Agent being AAA International Services  Ltd, House of Frances , Room 303, Ile du port and that the sole director is Mark David Lamb.</w:t>
      </w:r>
    </w:p>
    <w:p w:rsidR="00D8319D" w:rsidRPr="00D8319D" w:rsidRDefault="00D8319D" w:rsidP="00D8319D">
      <w:pPr>
        <w:spacing w:line="259" w:lineRule="auto"/>
        <w:contextualSpacing/>
        <w:rPr>
          <w:rFonts w:ascii="Times New Roman" w:hAnsi="Times New Roman" w:cs="Times New Roman"/>
          <w:sz w:val="24"/>
          <w:szCs w:val="24"/>
        </w:rPr>
      </w:pPr>
    </w:p>
    <w:p w:rsidR="00D8319D" w:rsidRDefault="00D8319D" w:rsidP="0042266D">
      <w:pPr>
        <w:tabs>
          <w:tab w:val="left" w:pos="4140"/>
        </w:tabs>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2266D">
        <w:rPr>
          <w:rFonts w:ascii="Times New Roman" w:hAnsi="Times New Roman" w:cs="Times New Roman"/>
          <w:sz w:val="24"/>
          <w:szCs w:val="24"/>
        </w:rPr>
        <w:t xml:space="preserve">The Deponent has averred in </w:t>
      </w:r>
      <w:r w:rsidRPr="00D8319D">
        <w:rPr>
          <w:rFonts w:ascii="Times New Roman" w:hAnsi="Times New Roman" w:cs="Times New Roman"/>
          <w:sz w:val="24"/>
          <w:szCs w:val="24"/>
        </w:rPr>
        <w:t xml:space="preserve">paragraph 10 and 11 of the Affidavit that the company operates </w:t>
      </w: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which is a crypto exchange and that the Director has determined that it is in the best interest of the company to prepare a plan of arrangement containing details of the proposed arrangeme</w:t>
      </w:r>
      <w:r w:rsidR="0042266D">
        <w:rPr>
          <w:rFonts w:ascii="Times New Roman" w:hAnsi="Times New Roman" w:cs="Times New Roman"/>
          <w:sz w:val="24"/>
          <w:szCs w:val="24"/>
        </w:rPr>
        <w:t xml:space="preserve">nt in the form of a term sheet </w:t>
      </w:r>
      <w:r w:rsidRPr="00D8319D">
        <w:rPr>
          <w:rFonts w:ascii="Times New Roman" w:hAnsi="Times New Roman" w:cs="Times New Roman"/>
          <w:sz w:val="24"/>
          <w:szCs w:val="24"/>
        </w:rPr>
        <w:t>attached as annex which I hereby reproduce in this ruling below;</w:t>
      </w:r>
    </w:p>
    <w:p w:rsidR="0042266D" w:rsidRPr="00D8319D" w:rsidRDefault="0042266D" w:rsidP="0042266D">
      <w:pPr>
        <w:tabs>
          <w:tab w:val="left" w:pos="4140"/>
        </w:tabs>
        <w:spacing w:after="0" w:line="360" w:lineRule="auto"/>
        <w:ind w:left="720" w:hanging="720"/>
        <w:contextualSpacing/>
        <w:jc w:val="both"/>
        <w:rPr>
          <w:rFonts w:ascii="Times New Roman" w:hAnsi="Times New Roman" w:cs="Times New Roman"/>
          <w:sz w:val="24"/>
          <w:szCs w:val="24"/>
        </w:rPr>
      </w:pPr>
    </w:p>
    <w:p w:rsidR="0042266D" w:rsidRDefault="00D8319D" w:rsidP="00D8319D">
      <w:pPr>
        <w:spacing w:line="259" w:lineRule="auto"/>
        <w:rPr>
          <w:rFonts w:ascii="Times New Roman" w:hAnsi="Times New Roman" w:cs="Times New Roman"/>
          <w:sz w:val="24"/>
          <w:szCs w:val="24"/>
        </w:rPr>
      </w:pPr>
      <w:r w:rsidRPr="00D8319D">
        <w:rPr>
          <w:rFonts w:ascii="Times New Roman" w:hAnsi="Times New Roman" w:cs="Times New Roman"/>
          <w:sz w:val="24"/>
          <w:szCs w:val="24"/>
        </w:rPr>
        <w:t>High Level Term Sheet — Creditors (20 July 2022)</w:t>
      </w:r>
    </w:p>
    <w:p w:rsidR="0042266D" w:rsidRDefault="0042266D" w:rsidP="00D8319D">
      <w:pPr>
        <w:spacing w:line="259" w:lineRule="auto"/>
        <w:rPr>
          <w:rFonts w:ascii="Times New Roman" w:hAnsi="Times New Roman" w:cs="Times New Roman"/>
          <w:sz w:val="24"/>
          <w:szCs w:val="24"/>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560"/>
      </w:tblGrid>
      <w:tr w:rsidR="0042266D" w:rsidTr="0042266D">
        <w:trPr>
          <w:trHeight w:val="6240"/>
        </w:trPr>
        <w:tc>
          <w:tcPr>
            <w:tcW w:w="1980" w:type="dxa"/>
          </w:tcPr>
          <w:p w:rsidR="0042266D" w:rsidRDefault="0042266D" w:rsidP="0042266D">
            <w:pPr>
              <w:spacing w:line="259" w:lineRule="auto"/>
              <w:ind w:left="-60"/>
              <w:rPr>
                <w:rFonts w:ascii="Times New Roman" w:eastAsiaTheme="minorEastAsia" w:hAnsi="Times New Roman" w:cs="Times New Roman"/>
                <w:sz w:val="24"/>
                <w:szCs w:val="24"/>
              </w:rPr>
            </w:pPr>
          </w:p>
          <w:p w:rsidR="0042266D" w:rsidRDefault="0042266D" w:rsidP="0042266D">
            <w:pPr>
              <w:spacing w:line="259" w:lineRule="auto"/>
              <w:ind w:left="-60"/>
              <w:rPr>
                <w:rFonts w:ascii="Times New Roman" w:hAnsi="Times New Roman" w:cs="Times New Roman"/>
                <w:sz w:val="24"/>
                <w:szCs w:val="24"/>
              </w:rPr>
            </w:pPr>
            <w:r w:rsidRPr="00D8319D">
              <w:rPr>
                <w:rFonts w:ascii="Times New Roman" w:eastAsiaTheme="minorEastAsia" w:hAnsi="Times New Roman" w:cs="Times New Roman"/>
                <w:sz w:val="24"/>
                <w:szCs w:val="24"/>
              </w:rPr>
              <w:t>Background</w:t>
            </w:r>
          </w:p>
        </w:tc>
        <w:tc>
          <w:tcPr>
            <w:tcW w:w="7560" w:type="dxa"/>
          </w:tcPr>
          <w:p w:rsidR="0042266D" w:rsidRDefault="0042266D" w:rsidP="0042266D">
            <w:pPr>
              <w:spacing w:after="231" w:line="220" w:lineRule="auto"/>
              <w:ind w:right="106"/>
              <w:jc w:val="both"/>
              <w:rPr>
                <w:rFonts w:ascii="Times New Roman" w:eastAsiaTheme="minorEastAsia" w:hAnsi="Times New Roman" w:cs="Times New Roman"/>
                <w:sz w:val="24"/>
                <w:szCs w:val="24"/>
              </w:rPr>
            </w:pPr>
          </w:p>
          <w:p w:rsidR="0042266D" w:rsidRPr="00D8319D" w:rsidRDefault="0042266D" w:rsidP="0042266D">
            <w:pPr>
              <w:spacing w:after="231" w:line="220" w:lineRule="auto"/>
              <w:ind w:right="106"/>
              <w:jc w:val="both"/>
              <w:rPr>
                <w:rFonts w:ascii="Times New Roman" w:eastAsiaTheme="minorEastAsia" w:hAnsi="Times New Roman" w:cs="Times New Roman"/>
                <w:sz w:val="24"/>
                <w:szCs w:val="24"/>
              </w:rPr>
            </w:pPr>
            <w:r w:rsidRPr="00D8319D">
              <w:rPr>
                <w:rFonts w:ascii="Times New Roman" w:eastAsiaTheme="minorEastAsia" w:hAnsi="Times New Roman" w:cs="Times New Roman"/>
                <w:sz w:val="24"/>
                <w:szCs w:val="24"/>
              </w:rPr>
              <w:t>A large individual customer (Roger Ver) had a written manual margin arrangement with Liquidity Technologies Ltd ("</w:t>
            </w:r>
            <w:proofErr w:type="spellStart"/>
            <w:r w:rsidRPr="00D8319D">
              <w:rPr>
                <w:rFonts w:ascii="Times New Roman" w:eastAsiaTheme="minorEastAsia" w:hAnsi="Times New Roman" w:cs="Times New Roman"/>
                <w:sz w:val="24"/>
                <w:szCs w:val="24"/>
              </w:rPr>
              <w:t>CoinFLEX</w:t>
            </w:r>
            <w:proofErr w:type="spellEnd"/>
            <w:r w:rsidRPr="00D8319D">
              <w:rPr>
                <w:rFonts w:ascii="Times New Roman" w:eastAsiaTheme="minorEastAsia" w:hAnsi="Times New Roman" w:cs="Times New Roman"/>
                <w:sz w:val="24"/>
                <w:szCs w:val="24"/>
              </w:rPr>
              <w:t>"). Unlike normal users who are automatically liquidated when their margin ratio goes below our minimum requirements, users on manual margin have a grace period to send more collateral in support of their positions prior to it being liquidated. The customer's privilege came with a requirement that the customer personally indemnifies us for shortfalls in his account following the liquidation of his positions.</w:t>
            </w:r>
          </w:p>
          <w:p w:rsidR="0042266D" w:rsidRPr="00D8319D" w:rsidRDefault="0042266D" w:rsidP="0042266D">
            <w:pPr>
              <w:spacing w:after="235" w:line="216" w:lineRule="auto"/>
              <w:ind w:left="14" w:right="96"/>
              <w:jc w:val="both"/>
              <w:rPr>
                <w:rFonts w:ascii="Times New Roman" w:eastAsiaTheme="minorEastAsia" w:hAnsi="Times New Roman" w:cs="Times New Roman"/>
                <w:sz w:val="24"/>
                <w:szCs w:val="24"/>
              </w:rPr>
            </w:pPr>
            <w:r w:rsidRPr="00D8319D">
              <w:rPr>
                <w:rFonts w:ascii="Times New Roman" w:eastAsiaTheme="minorEastAsia" w:hAnsi="Times New Roman" w:cs="Times New Roman"/>
                <w:sz w:val="24"/>
                <w:szCs w:val="24"/>
              </w:rPr>
              <w:t xml:space="preserve">Unfortunately, this customer failed to </w:t>
            </w:r>
            <w:proofErr w:type="spellStart"/>
            <w:r w:rsidRPr="00D8319D">
              <w:rPr>
                <w:rFonts w:ascii="Times New Roman" w:eastAsiaTheme="minorEastAsia" w:hAnsi="Times New Roman" w:cs="Times New Roman"/>
                <w:sz w:val="24"/>
                <w:szCs w:val="24"/>
              </w:rPr>
              <w:t>honour</w:t>
            </w:r>
            <w:proofErr w:type="spellEnd"/>
            <w:r w:rsidRPr="00D8319D">
              <w:rPr>
                <w:rFonts w:ascii="Times New Roman" w:eastAsiaTheme="minorEastAsia" w:hAnsi="Times New Roman" w:cs="Times New Roman"/>
                <w:sz w:val="24"/>
                <w:szCs w:val="24"/>
              </w:rPr>
              <w:t xml:space="preserve"> his obligations pursuant to this written agreement. This issue has resulted in a hole in the balance sheet resulting in the inability for </w:t>
            </w:r>
            <w:proofErr w:type="spellStart"/>
            <w:r w:rsidRPr="00D8319D">
              <w:rPr>
                <w:rFonts w:ascii="Times New Roman" w:eastAsiaTheme="minorEastAsia" w:hAnsi="Times New Roman" w:cs="Times New Roman"/>
                <w:sz w:val="24"/>
                <w:szCs w:val="24"/>
              </w:rPr>
              <w:t>CoinFLEX</w:t>
            </w:r>
            <w:proofErr w:type="spellEnd"/>
            <w:r w:rsidRPr="00D8319D">
              <w:rPr>
                <w:rFonts w:ascii="Times New Roman" w:eastAsiaTheme="minorEastAsia" w:hAnsi="Times New Roman" w:cs="Times New Roman"/>
                <w:sz w:val="24"/>
                <w:szCs w:val="24"/>
              </w:rPr>
              <w:t xml:space="preserve"> to meet the withdrawal requests of its clients and to pay liabilities to other creditors. This mismatch is solely as a result of this single liability owed by Roger Ver.</w:t>
            </w:r>
          </w:p>
          <w:p w:rsidR="0042266D" w:rsidRPr="00D8319D" w:rsidRDefault="0042266D" w:rsidP="0042266D">
            <w:pPr>
              <w:spacing w:after="306" w:line="229" w:lineRule="auto"/>
              <w:ind w:left="5" w:firstLine="5"/>
              <w:rPr>
                <w:rFonts w:ascii="Times New Roman" w:eastAsiaTheme="minorEastAsia" w:hAnsi="Times New Roman" w:cs="Times New Roman"/>
                <w:sz w:val="24"/>
                <w:szCs w:val="24"/>
              </w:rPr>
            </w:pPr>
            <w:r w:rsidRPr="00D8319D">
              <w:rPr>
                <w:rFonts w:ascii="Times New Roman" w:eastAsiaTheme="minorEastAsia" w:hAnsi="Times New Roman" w:cs="Times New Roman"/>
                <w:sz w:val="24"/>
                <w:szCs w:val="24"/>
              </w:rPr>
              <w:t>We have commenced arbitration in Hong Kong International Arbitration Centre (HKIAC) for the recovery of this $84m as the individual had a legal obligation under a written agreement to pay and has refused to do so. His liability to pay is a personal liability which means the individual is personally liable to pay the total amount.</w:t>
            </w:r>
          </w:p>
          <w:p w:rsidR="0042266D" w:rsidRDefault="0042266D" w:rsidP="0042266D">
            <w:pPr>
              <w:spacing w:line="259" w:lineRule="auto"/>
              <w:ind w:left="-60"/>
              <w:rPr>
                <w:rFonts w:ascii="Times New Roman" w:hAnsi="Times New Roman" w:cs="Times New Roman"/>
                <w:sz w:val="24"/>
                <w:szCs w:val="24"/>
              </w:rPr>
            </w:pPr>
            <w:r w:rsidRPr="00D8319D">
              <w:rPr>
                <w:rFonts w:ascii="Times New Roman" w:eastAsiaTheme="minorEastAsia" w:hAnsi="Times New Roman" w:cs="Times New Roman"/>
                <w:sz w:val="24"/>
                <w:szCs w:val="24"/>
              </w:rPr>
              <w:t xml:space="preserve">The arbitration process is not a quick process and we estimate that it will take approximately 12 months prior to getting a judgement in Hong Kong. Thereafter, we will be able to enforce that judgement against Mr. </w:t>
            </w:r>
            <w:proofErr w:type="spellStart"/>
            <w:r w:rsidRPr="00D8319D">
              <w:rPr>
                <w:rFonts w:ascii="Times New Roman" w:eastAsiaTheme="minorEastAsia" w:hAnsi="Times New Roman" w:cs="Times New Roman"/>
                <w:sz w:val="24"/>
                <w:szCs w:val="24"/>
              </w:rPr>
              <w:t>Ver's</w:t>
            </w:r>
            <w:proofErr w:type="spellEnd"/>
            <w:r w:rsidRPr="00D8319D">
              <w:rPr>
                <w:rFonts w:ascii="Times New Roman" w:eastAsiaTheme="minorEastAsia" w:hAnsi="Times New Roman" w:cs="Times New Roman"/>
                <w:sz w:val="24"/>
                <w:szCs w:val="24"/>
              </w:rPr>
              <w:t xml:space="preserve"> worldwide assets.</w:t>
            </w:r>
          </w:p>
        </w:tc>
      </w:tr>
    </w:tbl>
    <w:tbl>
      <w:tblPr>
        <w:tblStyle w:val="TableGrid"/>
        <w:tblW w:w="8901" w:type="dxa"/>
        <w:tblInd w:w="29" w:type="dxa"/>
        <w:tblCellMar>
          <w:top w:w="137" w:type="dxa"/>
          <w:left w:w="77" w:type="dxa"/>
          <w:right w:w="48" w:type="dxa"/>
        </w:tblCellMar>
        <w:tblLook w:val="04A0" w:firstRow="1" w:lastRow="0" w:firstColumn="1" w:lastColumn="0" w:noHBand="0" w:noVBand="1"/>
      </w:tblPr>
      <w:tblGrid>
        <w:gridCol w:w="2287"/>
        <w:gridCol w:w="6614"/>
      </w:tblGrid>
      <w:tr w:rsidR="00D8319D" w:rsidRPr="00D8319D" w:rsidTr="0042266D">
        <w:trPr>
          <w:trHeight w:val="2240"/>
        </w:trPr>
        <w:tc>
          <w:tcPr>
            <w:tcW w:w="2287"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16" w:firstLine="14"/>
              <w:rPr>
                <w:rFonts w:ascii="Times New Roman" w:hAnsi="Times New Roman" w:cs="Times New Roman"/>
                <w:sz w:val="24"/>
                <w:szCs w:val="24"/>
              </w:rPr>
            </w:pPr>
            <w:r w:rsidRPr="00D8319D">
              <w:rPr>
                <w:rFonts w:ascii="Times New Roman" w:hAnsi="Times New Roman" w:cs="Times New Roman"/>
                <w:sz w:val="24"/>
                <w:szCs w:val="24"/>
              </w:rPr>
              <w:lastRenderedPageBreak/>
              <w:t>Reorganisation Application</w:t>
            </w:r>
          </w:p>
        </w:tc>
        <w:tc>
          <w:tcPr>
            <w:tcW w:w="6614"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after="279" w:line="216" w:lineRule="auto"/>
              <w:ind w:left="29" w:right="43" w:hanging="5"/>
              <w:jc w:val="both"/>
              <w:rPr>
                <w:rFonts w:ascii="Times New Roman" w:hAnsi="Times New Roman" w:cs="Times New Roman"/>
                <w:sz w:val="24"/>
                <w:szCs w:val="24"/>
              </w:rPr>
            </w:pP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is seeking to apply for a Company Reorganisation pursuant to the International Business Act 20016 (IBC) that allows it to </w:t>
            </w:r>
            <w:proofErr w:type="spellStart"/>
            <w:r w:rsidRPr="00D8319D">
              <w:rPr>
                <w:rFonts w:ascii="Times New Roman" w:hAnsi="Times New Roman" w:cs="Times New Roman"/>
                <w:sz w:val="24"/>
                <w:szCs w:val="24"/>
              </w:rPr>
              <w:t>reorganise</w:t>
            </w:r>
            <w:proofErr w:type="spellEnd"/>
            <w:r w:rsidRPr="00D8319D">
              <w:rPr>
                <w:rFonts w:ascii="Times New Roman" w:hAnsi="Times New Roman" w:cs="Times New Roman"/>
                <w:sz w:val="24"/>
                <w:szCs w:val="24"/>
              </w:rPr>
              <w:t xml:space="preserve"> its business, property and affairs in a way that provides the opportunity for the company to continue.</w:t>
            </w:r>
          </w:p>
          <w:p w:rsidR="00D8319D" w:rsidRPr="00D8319D" w:rsidRDefault="00D8319D" w:rsidP="00D8319D">
            <w:pPr>
              <w:spacing w:line="240" w:lineRule="auto"/>
              <w:ind w:left="34" w:firstLine="5"/>
              <w:jc w:val="both"/>
              <w:rPr>
                <w:rFonts w:ascii="Times New Roman" w:hAnsi="Times New Roman" w:cs="Times New Roman"/>
                <w:sz w:val="24"/>
                <w:szCs w:val="24"/>
              </w:rPr>
            </w:pPr>
            <w:r w:rsidRPr="00D8319D">
              <w:rPr>
                <w:rFonts w:ascii="Times New Roman" w:hAnsi="Times New Roman" w:cs="Times New Roman"/>
                <w:sz w:val="24"/>
                <w:szCs w:val="24"/>
              </w:rPr>
              <w:t>During this process, creditors will be barred from enforcing any claims/judgements against the Company.</w:t>
            </w:r>
          </w:p>
        </w:tc>
      </w:tr>
      <w:tr w:rsidR="00D8319D" w:rsidRPr="00D8319D" w:rsidTr="0042266D">
        <w:trPr>
          <w:trHeight w:val="640"/>
        </w:trPr>
        <w:tc>
          <w:tcPr>
            <w:tcW w:w="2287" w:type="dxa"/>
            <w:tcBorders>
              <w:top w:val="single" w:sz="2" w:space="0" w:color="000000"/>
              <w:left w:val="single" w:sz="2" w:space="0" w:color="000000"/>
              <w:bottom w:val="single" w:sz="2" w:space="0" w:color="000000"/>
              <w:right w:val="nil"/>
            </w:tcBorders>
          </w:tcPr>
          <w:p w:rsidR="00D8319D" w:rsidRPr="00D8319D" w:rsidRDefault="00D8319D" w:rsidP="00D8319D">
            <w:pPr>
              <w:spacing w:line="240" w:lineRule="auto"/>
              <w:rPr>
                <w:rFonts w:ascii="Times New Roman" w:hAnsi="Times New Roman" w:cs="Times New Roman"/>
                <w:sz w:val="24"/>
                <w:szCs w:val="24"/>
              </w:rPr>
            </w:pPr>
          </w:p>
        </w:tc>
        <w:tc>
          <w:tcPr>
            <w:tcW w:w="6614" w:type="dxa"/>
            <w:tcBorders>
              <w:top w:val="single" w:sz="2" w:space="0" w:color="000000"/>
              <w:left w:val="nil"/>
              <w:bottom w:val="single" w:sz="2" w:space="0" w:color="000000"/>
              <w:right w:val="single" w:sz="2" w:space="0" w:color="000000"/>
            </w:tcBorders>
          </w:tcPr>
          <w:p w:rsidR="00D8319D" w:rsidRPr="00D8319D" w:rsidRDefault="00D8319D" w:rsidP="00D8319D">
            <w:pPr>
              <w:spacing w:line="240" w:lineRule="auto"/>
              <w:ind w:left="979"/>
              <w:rPr>
                <w:rFonts w:ascii="Times New Roman" w:hAnsi="Times New Roman" w:cs="Times New Roman"/>
                <w:sz w:val="24"/>
                <w:szCs w:val="24"/>
              </w:rPr>
            </w:pPr>
            <w:r w:rsidRPr="00D8319D">
              <w:rPr>
                <w:rFonts w:ascii="Times New Roman" w:hAnsi="Times New Roman" w:cs="Times New Roman"/>
                <w:sz w:val="24"/>
                <w:szCs w:val="24"/>
              </w:rPr>
              <w:t>Reorganisation Terms</w:t>
            </w:r>
          </w:p>
        </w:tc>
      </w:tr>
      <w:tr w:rsidR="00D8319D" w:rsidRPr="00D8319D" w:rsidTr="0042266D">
        <w:trPr>
          <w:trHeight w:val="1488"/>
        </w:trPr>
        <w:tc>
          <w:tcPr>
            <w:tcW w:w="2287"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35"/>
              <w:rPr>
                <w:rFonts w:ascii="Times New Roman" w:hAnsi="Times New Roman" w:cs="Times New Roman"/>
                <w:sz w:val="24"/>
                <w:szCs w:val="24"/>
              </w:rPr>
            </w:pPr>
            <w:r w:rsidRPr="00D8319D">
              <w:rPr>
                <w:rFonts w:ascii="Times New Roman" w:hAnsi="Times New Roman" w:cs="Times New Roman"/>
                <w:sz w:val="24"/>
                <w:szCs w:val="24"/>
              </w:rPr>
              <w:t>Board Change</w:t>
            </w:r>
          </w:p>
        </w:tc>
        <w:tc>
          <w:tcPr>
            <w:tcW w:w="6614"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line="216" w:lineRule="auto"/>
              <w:ind w:left="39" w:hanging="5"/>
              <w:jc w:val="both"/>
              <w:rPr>
                <w:rFonts w:ascii="Times New Roman" w:hAnsi="Times New Roman" w:cs="Times New Roman"/>
                <w:sz w:val="24"/>
                <w:szCs w:val="24"/>
              </w:rPr>
            </w:pPr>
            <w:r w:rsidRPr="00D8319D">
              <w:rPr>
                <w:rFonts w:ascii="Times New Roman" w:hAnsi="Times New Roman" w:cs="Times New Roman"/>
                <w:sz w:val="24"/>
                <w:szCs w:val="24"/>
              </w:rPr>
              <w:t xml:space="preserve">Three additional individuals, representing the following creditor groups, be appointed to the board of </w:t>
            </w: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Seychelles :</w:t>
            </w:r>
          </w:p>
          <w:p w:rsidR="00D8319D" w:rsidRPr="00D8319D" w:rsidRDefault="00D8319D" w:rsidP="00D8319D">
            <w:pPr>
              <w:numPr>
                <w:ilvl w:val="0"/>
                <w:numId w:val="3"/>
              </w:numPr>
              <w:spacing w:line="240" w:lineRule="auto"/>
              <w:ind w:hanging="365"/>
              <w:rPr>
                <w:rFonts w:ascii="Times New Roman" w:hAnsi="Times New Roman" w:cs="Times New Roman"/>
                <w:sz w:val="24"/>
                <w:szCs w:val="24"/>
              </w:rPr>
            </w:pPr>
            <w:r w:rsidRPr="00D8319D">
              <w:rPr>
                <w:rFonts w:ascii="Times New Roman" w:hAnsi="Times New Roman" w:cs="Times New Roman"/>
                <w:sz w:val="24"/>
                <w:szCs w:val="24"/>
              </w:rPr>
              <w:t>Users of funds on the Platform;</w:t>
            </w:r>
          </w:p>
          <w:p w:rsidR="00D8319D" w:rsidRPr="00D8319D" w:rsidRDefault="00D8319D" w:rsidP="00D8319D">
            <w:pPr>
              <w:numPr>
                <w:ilvl w:val="0"/>
                <w:numId w:val="3"/>
              </w:numPr>
              <w:spacing w:line="240" w:lineRule="auto"/>
              <w:ind w:hanging="365"/>
              <w:rPr>
                <w:rFonts w:ascii="Times New Roman" w:hAnsi="Times New Roman" w:cs="Times New Roman"/>
                <w:sz w:val="24"/>
                <w:szCs w:val="24"/>
              </w:rPr>
            </w:pPr>
            <w:r w:rsidRPr="00D8319D">
              <w:rPr>
                <w:rFonts w:ascii="Times New Roman" w:hAnsi="Times New Roman" w:cs="Times New Roman"/>
                <w:sz w:val="24"/>
                <w:szCs w:val="24"/>
              </w:rPr>
              <w:t>FLEXUSD holders; and</w:t>
            </w:r>
          </w:p>
          <w:p w:rsidR="00D8319D" w:rsidRPr="00D8319D" w:rsidRDefault="00D8319D" w:rsidP="00D8319D">
            <w:pPr>
              <w:numPr>
                <w:ilvl w:val="0"/>
                <w:numId w:val="3"/>
              </w:numPr>
              <w:spacing w:line="240" w:lineRule="auto"/>
              <w:ind w:hanging="365"/>
              <w:rPr>
                <w:rFonts w:ascii="Times New Roman" w:hAnsi="Times New Roman" w:cs="Times New Roman"/>
                <w:sz w:val="24"/>
                <w:szCs w:val="24"/>
              </w:rPr>
            </w:pPr>
            <w:proofErr w:type="spellStart"/>
            <w:r w:rsidRPr="00D8319D">
              <w:rPr>
                <w:rFonts w:ascii="Times New Roman" w:hAnsi="Times New Roman" w:cs="Times New Roman"/>
                <w:sz w:val="24"/>
                <w:szCs w:val="24"/>
              </w:rPr>
              <w:t>SmartBCH</w:t>
            </w:r>
            <w:proofErr w:type="spellEnd"/>
          </w:p>
        </w:tc>
      </w:tr>
      <w:tr w:rsidR="00D8319D" w:rsidRPr="00D8319D" w:rsidTr="0042266D">
        <w:trPr>
          <w:trHeight w:val="471"/>
        </w:trPr>
        <w:tc>
          <w:tcPr>
            <w:tcW w:w="2287"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35"/>
              <w:rPr>
                <w:rFonts w:ascii="Times New Roman" w:hAnsi="Times New Roman" w:cs="Times New Roman"/>
                <w:sz w:val="24"/>
                <w:szCs w:val="24"/>
              </w:rPr>
            </w:pPr>
            <w:r w:rsidRPr="00D8319D">
              <w:rPr>
                <w:rFonts w:ascii="Times New Roman" w:hAnsi="Times New Roman" w:cs="Times New Roman"/>
                <w:sz w:val="24"/>
                <w:szCs w:val="24"/>
              </w:rPr>
              <w:t>"Haircut" to</w:t>
            </w:r>
          </w:p>
        </w:tc>
        <w:tc>
          <w:tcPr>
            <w:tcW w:w="6614"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line="240" w:lineRule="auto"/>
              <w:ind w:left="53"/>
              <w:rPr>
                <w:rFonts w:ascii="Times New Roman" w:hAnsi="Times New Roman" w:cs="Times New Roman"/>
                <w:sz w:val="24"/>
                <w:szCs w:val="24"/>
              </w:rPr>
            </w:pPr>
            <w:r w:rsidRPr="00D8319D">
              <w:rPr>
                <w:rFonts w:ascii="Times New Roman" w:hAnsi="Times New Roman" w:cs="Times New Roman"/>
                <w:sz w:val="24"/>
                <w:szCs w:val="24"/>
              </w:rPr>
              <w:t>Need to determine what amount of "haircut" will be applied to</w:t>
            </w:r>
          </w:p>
        </w:tc>
      </w:tr>
    </w:tbl>
    <w:p w:rsidR="00D8319D" w:rsidRPr="00D8319D" w:rsidRDefault="00D8319D" w:rsidP="00D8319D">
      <w:pPr>
        <w:spacing w:after="0" w:line="259" w:lineRule="auto"/>
        <w:ind w:left="-1440" w:right="96"/>
        <w:rPr>
          <w:rFonts w:ascii="Times New Roman" w:hAnsi="Times New Roman" w:cs="Times New Roman"/>
          <w:sz w:val="24"/>
          <w:szCs w:val="24"/>
        </w:rPr>
      </w:pPr>
    </w:p>
    <w:tbl>
      <w:tblPr>
        <w:tblStyle w:val="TableGrid"/>
        <w:tblW w:w="8894" w:type="dxa"/>
        <w:tblInd w:w="34" w:type="dxa"/>
        <w:tblCellMar>
          <w:top w:w="138" w:type="dxa"/>
          <w:left w:w="62" w:type="dxa"/>
          <w:right w:w="101" w:type="dxa"/>
        </w:tblCellMar>
        <w:tblLook w:val="04A0" w:firstRow="1" w:lastRow="0" w:firstColumn="1" w:lastColumn="0" w:noHBand="0" w:noVBand="1"/>
      </w:tblPr>
      <w:tblGrid>
        <w:gridCol w:w="2280"/>
        <w:gridCol w:w="6614"/>
      </w:tblGrid>
      <w:tr w:rsidR="00D8319D" w:rsidRPr="00D8319D" w:rsidTr="00A03C23">
        <w:trPr>
          <w:trHeight w:val="3018"/>
        </w:trPr>
        <w:tc>
          <w:tcPr>
            <w:tcW w:w="2280"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91"/>
              <w:rPr>
                <w:rFonts w:ascii="Times New Roman" w:hAnsi="Times New Roman" w:cs="Times New Roman"/>
                <w:sz w:val="24"/>
                <w:szCs w:val="24"/>
              </w:rPr>
            </w:pPr>
            <w:r w:rsidRPr="00D8319D">
              <w:rPr>
                <w:rFonts w:ascii="Times New Roman" w:hAnsi="Times New Roman" w:cs="Times New Roman"/>
                <w:sz w:val="24"/>
                <w:szCs w:val="24"/>
              </w:rPr>
              <w:t>Creditor Balances</w:t>
            </w:r>
          </w:p>
        </w:tc>
        <w:tc>
          <w:tcPr>
            <w:tcW w:w="6614"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after="201" w:line="240" w:lineRule="auto"/>
              <w:ind w:left="72"/>
              <w:rPr>
                <w:rFonts w:ascii="Times New Roman" w:hAnsi="Times New Roman" w:cs="Times New Roman"/>
                <w:sz w:val="24"/>
                <w:szCs w:val="24"/>
              </w:rPr>
            </w:pPr>
            <w:proofErr w:type="gramStart"/>
            <w:r w:rsidRPr="00D8319D">
              <w:rPr>
                <w:rFonts w:ascii="Times New Roman" w:hAnsi="Times New Roman" w:cs="Times New Roman"/>
                <w:sz w:val="24"/>
                <w:szCs w:val="24"/>
              </w:rPr>
              <w:t>creditor</w:t>
            </w:r>
            <w:proofErr w:type="gramEnd"/>
            <w:r w:rsidRPr="00D8319D">
              <w:rPr>
                <w:rFonts w:ascii="Times New Roman" w:hAnsi="Times New Roman" w:cs="Times New Roman"/>
                <w:sz w:val="24"/>
                <w:szCs w:val="24"/>
              </w:rPr>
              <w:t xml:space="preserve"> balances.</w:t>
            </w:r>
          </w:p>
          <w:p w:rsidR="00D8319D" w:rsidRPr="00D8319D" w:rsidRDefault="00D8319D" w:rsidP="00D8319D">
            <w:pPr>
              <w:spacing w:after="262" w:line="216" w:lineRule="auto"/>
              <w:ind w:left="68" w:hanging="10"/>
              <w:jc w:val="both"/>
              <w:rPr>
                <w:rFonts w:ascii="Times New Roman" w:hAnsi="Times New Roman" w:cs="Times New Roman"/>
                <w:sz w:val="24"/>
                <w:szCs w:val="24"/>
              </w:rPr>
            </w:pPr>
            <w:r w:rsidRPr="00D8319D">
              <w:rPr>
                <w:rFonts w:ascii="Times New Roman" w:hAnsi="Times New Roman" w:cs="Times New Roman"/>
                <w:sz w:val="24"/>
                <w:szCs w:val="24"/>
              </w:rPr>
              <w:t xml:space="preserve">All creditors will be treated equally (Clients, </w:t>
            </w:r>
            <w:proofErr w:type="spellStart"/>
            <w:r w:rsidRPr="00D8319D">
              <w:rPr>
                <w:rFonts w:ascii="Times New Roman" w:hAnsi="Times New Roman" w:cs="Times New Roman"/>
                <w:sz w:val="24"/>
                <w:szCs w:val="24"/>
              </w:rPr>
              <w:t>FlexUSD</w:t>
            </w:r>
            <w:proofErr w:type="spellEnd"/>
            <w:r w:rsidRPr="00D8319D">
              <w:rPr>
                <w:rFonts w:ascii="Times New Roman" w:hAnsi="Times New Roman" w:cs="Times New Roman"/>
                <w:sz w:val="24"/>
                <w:szCs w:val="24"/>
              </w:rPr>
              <w:t xml:space="preserve">, </w:t>
            </w:r>
            <w:proofErr w:type="spellStart"/>
            <w:r w:rsidRPr="00D8319D">
              <w:rPr>
                <w:rFonts w:ascii="Times New Roman" w:hAnsi="Times New Roman" w:cs="Times New Roman"/>
                <w:sz w:val="24"/>
                <w:szCs w:val="24"/>
              </w:rPr>
              <w:t>SmartBCH</w:t>
            </w:r>
            <w:proofErr w:type="spellEnd"/>
            <w:r w:rsidRPr="00D8319D">
              <w:rPr>
                <w:rFonts w:ascii="Times New Roman" w:hAnsi="Times New Roman" w:cs="Times New Roman"/>
                <w:sz w:val="24"/>
                <w:szCs w:val="24"/>
              </w:rPr>
              <w:t xml:space="preserve"> and Creditors).</w:t>
            </w:r>
          </w:p>
          <w:p w:rsidR="00D8319D" w:rsidRPr="00D8319D" w:rsidRDefault="00D8319D" w:rsidP="00D8319D">
            <w:pPr>
              <w:spacing w:line="240" w:lineRule="auto"/>
              <w:ind w:left="53" w:right="14" w:firstLine="14"/>
              <w:jc w:val="both"/>
              <w:rPr>
                <w:rFonts w:ascii="Times New Roman" w:hAnsi="Times New Roman" w:cs="Times New Roman"/>
                <w:sz w:val="24"/>
                <w:szCs w:val="24"/>
              </w:rPr>
            </w:pPr>
            <w:r w:rsidRPr="00D8319D">
              <w:rPr>
                <w:rFonts w:ascii="Times New Roman" w:hAnsi="Times New Roman" w:cs="Times New Roman"/>
                <w:sz w:val="24"/>
                <w:szCs w:val="24"/>
              </w:rPr>
              <w:t>In order to determine the "haircut", the Platform will need to mandatorily "</w:t>
            </w:r>
            <w:proofErr w:type="spellStart"/>
            <w:r w:rsidRPr="00D8319D">
              <w:rPr>
                <w:rFonts w:ascii="Times New Roman" w:hAnsi="Times New Roman" w:cs="Times New Roman"/>
                <w:sz w:val="24"/>
                <w:szCs w:val="24"/>
              </w:rPr>
              <w:t>dollarise</w:t>
            </w:r>
            <w:proofErr w:type="spellEnd"/>
            <w:r w:rsidRPr="00D8319D">
              <w:rPr>
                <w:rFonts w:ascii="Times New Roman" w:hAnsi="Times New Roman" w:cs="Times New Roman"/>
                <w:sz w:val="24"/>
                <w:szCs w:val="24"/>
              </w:rPr>
              <w:t>" all existing crypto positions of all clients on the platform e.g. if a client has a BTC long position then that position will need to be sold so that the client has the equivalent value in USD.</w:t>
            </w:r>
          </w:p>
        </w:tc>
      </w:tr>
      <w:tr w:rsidR="00D8319D" w:rsidRPr="00D8319D" w:rsidTr="00A03C23">
        <w:trPr>
          <w:trHeight w:val="2497"/>
        </w:trPr>
        <w:tc>
          <w:tcPr>
            <w:tcW w:w="2280"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16" w:lineRule="auto"/>
              <w:ind w:left="63" w:hanging="5"/>
              <w:jc w:val="both"/>
              <w:rPr>
                <w:rFonts w:ascii="Times New Roman" w:hAnsi="Times New Roman" w:cs="Times New Roman"/>
                <w:sz w:val="24"/>
                <w:szCs w:val="24"/>
              </w:rPr>
            </w:pPr>
            <w:r w:rsidRPr="00D8319D">
              <w:rPr>
                <w:rFonts w:ascii="Times New Roman" w:hAnsi="Times New Roman" w:cs="Times New Roman"/>
                <w:sz w:val="24"/>
                <w:szCs w:val="24"/>
              </w:rPr>
              <w:t>Consideration in Lieu of any</w:t>
            </w:r>
          </w:p>
          <w:p w:rsidR="00D8319D" w:rsidRPr="00D8319D" w:rsidRDefault="00D8319D" w:rsidP="00D8319D">
            <w:pPr>
              <w:spacing w:line="240" w:lineRule="auto"/>
              <w:ind w:left="58"/>
              <w:rPr>
                <w:rFonts w:ascii="Times New Roman" w:hAnsi="Times New Roman" w:cs="Times New Roman"/>
                <w:sz w:val="24"/>
                <w:szCs w:val="24"/>
              </w:rPr>
            </w:pPr>
            <w:r w:rsidRPr="00D8319D">
              <w:rPr>
                <w:rFonts w:ascii="Times New Roman" w:hAnsi="Times New Roman" w:cs="Times New Roman"/>
                <w:sz w:val="24"/>
                <w:szCs w:val="24"/>
              </w:rPr>
              <w:t>"Haircut"</w:t>
            </w:r>
          </w:p>
        </w:tc>
        <w:tc>
          <w:tcPr>
            <w:tcW w:w="6614"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after="235" w:line="216" w:lineRule="auto"/>
              <w:ind w:left="48"/>
              <w:jc w:val="both"/>
              <w:rPr>
                <w:rFonts w:ascii="Times New Roman" w:hAnsi="Times New Roman" w:cs="Times New Roman"/>
                <w:sz w:val="24"/>
                <w:szCs w:val="24"/>
              </w:rPr>
            </w:pPr>
            <w:r w:rsidRPr="00D8319D">
              <w:rPr>
                <w:rFonts w:ascii="Times New Roman" w:hAnsi="Times New Roman" w:cs="Times New Roman"/>
                <w:sz w:val="24"/>
                <w:szCs w:val="24"/>
              </w:rPr>
              <w:t>Creditors will be receiving the following assets in lieu of the haircut applied to their balances:</w:t>
            </w:r>
          </w:p>
          <w:p w:rsidR="00D8319D" w:rsidRPr="00D8319D" w:rsidRDefault="00D8319D" w:rsidP="00D8319D">
            <w:pPr>
              <w:numPr>
                <w:ilvl w:val="0"/>
                <w:numId w:val="4"/>
              </w:numPr>
              <w:spacing w:after="225" w:line="216" w:lineRule="auto"/>
              <w:rPr>
                <w:rFonts w:ascii="Times New Roman" w:hAnsi="Times New Roman" w:cs="Times New Roman"/>
                <w:sz w:val="24"/>
                <w:szCs w:val="24"/>
              </w:rPr>
            </w:pPr>
            <w:r w:rsidRPr="00D8319D">
              <w:rPr>
                <w:rFonts w:ascii="Times New Roman" w:hAnsi="Times New Roman" w:cs="Times New Roman"/>
                <w:sz w:val="24"/>
                <w:szCs w:val="24"/>
              </w:rPr>
              <w:t>Pro-rata rights to sums recovered from Roger Ver (Recovery Value Tokens); and</w:t>
            </w:r>
          </w:p>
          <w:p w:rsidR="00D8319D" w:rsidRPr="00D8319D" w:rsidRDefault="00D8319D" w:rsidP="00D8319D">
            <w:pPr>
              <w:numPr>
                <w:ilvl w:val="0"/>
                <w:numId w:val="4"/>
              </w:numPr>
              <w:spacing w:line="240" w:lineRule="auto"/>
              <w:rPr>
                <w:rFonts w:ascii="Times New Roman" w:hAnsi="Times New Roman" w:cs="Times New Roman"/>
                <w:sz w:val="24"/>
                <w:szCs w:val="24"/>
              </w:rPr>
            </w:pPr>
            <w:r w:rsidRPr="00D8319D">
              <w:rPr>
                <w:rFonts w:ascii="Times New Roman" w:hAnsi="Times New Roman" w:cs="Times New Roman"/>
                <w:sz w:val="24"/>
                <w:szCs w:val="24"/>
              </w:rPr>
              <w:t xml:space="preserve">Pro-rata rights to equity in </w:t>
            </w:r>
            <w:proofErr w:type="spellStart"/>
            <w:r w:rsidRPr="00D8319D">
              <w:rPr>
                <w:rFonts w:ascii="Times New Roman" w:hAnsi="Times New Roman" w:cs="Times New Roman"/>
                <w:sz w:val="24"/>
                <w:szCs w:val="24"/>
              </w:rPr>
              <w:t>CoinFIex</w:t>
            </w:r>
            <w:proofErr w:type="spellEnd"/>
            <w:r w:rsidRPr="00D8319D">
              <w:rPr>
                <w:rFonts w:ascii="Times New Roman" w:hAnsi="Times New Roman" w:cs="Times New Roman"/>
                <w:sz w:val="24"/>
                <w:szCs w:val="24"/>
              </w:rPr>
              <w:t>.</w:t>
            </w:r>
          </w:p>
        </w:tc>
      </w:tr>
      <w:tr w:rsidR="00D8319D" w:rsidRPr="00D8319D" w:rsidTr="00A03C23">
        <w:trPr>
          <w:trHeight w:val="3246"/>
        </w:trPr>
        <w:tc>
          <w:tcPr>
            <w:tcW w:w="2280"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34" w:firstLine="10"/>
              <w:rPr>
                <w:rFonts w:ascii="Times New Roman" w:hAnsi="Times New Roman" w:cs="Times New Roman"/>
                <w:sz w:val="24"/>
                <w:szCs w:val="24"/>
              </w:rPr>
            </w:pPr>
            <w:r w:rsidRPr="00D8319D">
              <w:rPr>
                <w:rFonts w:ascii="Times New Roman" w:hAnsi="Times New Roman" w:cs="Times New Roman"/>
                <w:sz w:val="24"/>
                <w:szCs w:val="24"/>
              </w:rPr>
              <w:lastRenderedPageBreak/>
              <w:t>Recovery Value Tokens</w:t>
            </w:r>
          </w:p>
        </w:tc>
        <w:tc>
          <w:tcPr>
            <w:tcW w:w="6614"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after="221" w:line="216" w:lineRule="auto"/>
              <w:ind w:left="29" w:right="19" w:firstLine="5"/>
              <w:jc w:val="both"/>
              <w:rPr>
                <w:rFonts w:ascii="Times New Roman" w:hAnsi="Times New Roman" w:cs="Times New Roman"/>
                <w:sz w:val="24"/>
                <w:szCs w:val="24"/>
              </w:rPr>
            </w:pP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will establish a separate ring fenced SPV entity which will be assigned the rights to the Claim against Roger Ver for the $84m debt</w:t>
            </w:r>
          </w:p>
          <w:p w:rsidR="00D8319D" w:rsidRPr="00D8319D" w:rsidRDefault="00D8319D" w:rsidP="00D8319D">
            <w:pPr>
              <w:spacing w:after="251" w:line="216" w:lineRule="auto"/>
              <w:ind w:left="19" w:firstLine="14"/>
              <w:jc w:val="both"/>
              <w:rPr>
                <w:rFonts w:ascii="Times New Roman" w:hAnsi="Times New Roman" w:cs="Times New Roman"/>
                <w:sz w:val="24"/>
                <w:szCs w:val="24"/>
              </w:rPr>
            </w:pPr>
            <w:r w:rsidRPr="00D8319D">
              <w:rPr>
                <w:rFonts w:ascii="Times New Roman" w:hAnsi="Times New Roman" w:cs="Times New Roman"/>
                <w:sz w:val="24"/>
                <w:szCs w:val="24"/>
              </w:rPr>
              <w:t>Such SPV will then issue tokens (</w:t>
            </w:r>
            <w:proofErr w:type="spellStart"/>
            <w:r w:rsidRPr="00D8319D">
              <w:rPr>
                <w:rFonts w:ascii="Times New Roman" w:hAnsi="Times New Roman" w:cs="Times New Roman"/>
                <w:sz w:val="24"/>
                <w:szCs w:val="24"/>
              </w:rPr>
              <w:t>rvUSD</w:t>
            </w:r>
            <w:proofErr w:type="spellEnd"/>
            <w:r w:rsidRPr="00D8319D">
              <w:rPr>
                <w:rFonts w:ascii="Times New Roman" w:hAnsi="Times New Roman" w:cs="Times New Roman"/>
                <w:sz w:val="24"/>
                <w:szCs w:val="24"/>
              </w:rPr>
              <w:t>) to each creditor pro-rata to the amount of their individual "haircut".</w:t>
            </w:r>
          </w:p>
          <w:p w:rsidR="00D8319D" w:rsidRPr="00D8319D" w:rsidRDefault="00D8319D" w:rsidP="00D8319D">
            <w:pPr>
              <w:spacing w:line="240" w:lineRule="auto"/>
              <w:ind w:left="34"/>
              <w:jc w:val="both"/>
              <w:rPr>
                <w:rFonts w:ascii="Times New Roman" w:hAnsi="Times New Roman" w:cs="Times New Roman"/>
                <w:sz w:val="24"/>
                <w:szCs w:val="24"/>
              </w:rPr>
            </w:pPr>
            <w:proofErr w:type="spellStart"/>
            <w:r w:rsidRPr="00D8319D">
              <w:rPr>
                <w:rFonts w:ascii="Times New Roman" w:hAnsi="Times New Roman" w:cs="Times New Roman"/>
                <w:sz w:val="24"/>
                <w:szCs w:val="24"/>
              </w:rPr>
              <w:t>rvUSD</w:t>
            </w:r>
            <w:proofErr w:type="spellEnd"/>
            <w:r w:rsidRPr="00D8319D">
              <w:rPr>
                <w:rFonts w:ascii="Times New Roman" w:hAnsi="Times New Roman" w:cs="Times New Roman"/>
                <w:sz w:val="24"/>
                <w:szCs w:val="24"/>
              </w:rPr>
              <w:t xml:space="preserve"> holders will be able to redeem their tokens on the Platform upon successful recovery of liquid assets from Roger Ver.</w:t>
            </w:r>
          </w:p>
        </w:tc>
      </w:tr>
      <w:tr w:rsidR="00D8319D" w:rsidRPr="00D8319D" w:rsidTr="00A03C23">
        <w:trPr>
          <w:trHeight w:val="3870"/>
        </w:trPr>
        <w:tc>
          <w:tcPr>
            <w:tcW w:w="2280"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24"/>
              <w:rPr>
                <w:rFonts w:ascii="Times New Roman" w:hAnsi="Times New Roman" w:cs="Times New Roman"/>
                <w:sz w:val="24"/>
                <w:szCs w:val="24"/>
              </w:rPr>
            </w:pPr>
            <w:r w:rsidRPr="00D8319D">
              <w:rPr>
                <w:rFonts w:ascii="Times New Roman" w:hAnsi="Times New Roman" w:cs="Times New Roman"/>
                <w:sz w:val="24"/>
                <w:szCs w:val="24"/>
              </w:rPr>
              <w:t>Pro-Rata Rights to</w:t>
            </w:r>
          </w:p>
          <w:p w:rsidR="00D8319D" w:rsidRPr="00D8319D" w:rsidRDefault="00D8319D" w:rsidP="00D8319D">
            <w:pPr>
              <w:spacing w:line="240" w:lineRule="auto"/>
              <w:ind w:left="19"/>
              <w:rPr>
                <w:rFonts w:ascii="Times New Roman" w:hAnsi="Times New Roman" w:cs="Times New Roman"/>
                <w:sz w:val="24"/>
                <w:szCs w:val="24"/>
              </w:rPr>
            </w:pPr>
            <w:r w:rsidRPr="00D8319D">
              <w:rPr>
                <w:rFonts w:ascii="Times New Roman" w:hAnsi="Times New Roman" w:cs="Times New Roman"/>
                <w:sz w:val="24"/>
                <w:szCs w:val="24"/>
              </w:rPr>
              <w:t xml:space="preserve">Equity in </w:t>
            </w:r>
            <w:proofErr w:type="spellStart"/>
            <w:r w:rsidRPr="00D8319D">
              <w:rPr>
                <w:rFonts w:ascii="Times New Roman" w:hAnsi="Times New Roman" w:cs="Times New Roman"/>
                <w:sz w:val="24"/>
                <w:szCs w:val="24"/>
              </w:rPr>
              <w:t>CoinFLEX</w:t>
            </w:r>
            <w:proofErr w:type="spellEnd"/>
          </w:p>
        </w:tc>
        <w:tc>
          <w:tcPr>
            <w:tcW w:w="6614"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after="245" w:line="216" w:lineRule="auto"/>
              <w:ind w:left="24"/>
              <w:jc w:val="both"/>
              <w:rPr>
                <w:rFonts w:ascii="Times New Roman" w:hAnsi="Times New Roman" w:cs="Times New Roman"/>
                <w:sz w:val="24"/>
                <w:szCs w:val="24"/>
              </w:rPr>
            </w:pPr>
            <w:r w:rsidRPr="00D8319D">
              <w:rPr>
                <w:rFonts w:ascii="Times New Roman" w:hAnsi="Times New Roman" w:cs="Times New Roman"/>
                <w:sz w:val="24"/>
                <w:szCs w:val="24"/>
              </w:rPr>
              <w:t xml:space="preserve">Creditors will receive equity rights in </w:t>
            </w: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pro-rata to the amount of their individual "haircut".</w:t>
            </w:r>
          </w:p>
          <w:p w:rsidR="00D8319D" w:rsidRPr="00D8319D" w:rsidRDefault="00D8319D" w:rsidP="00D8319D">
            <w:pPr>
              <w:spacing w:after="228" w:line="216" w:lineRule="auto"/>
              <w:ind w:left="10" w:right="163" w:firstLine="19"/>
              <w:jc w:val="both"/>
              <w:rPr>
                <w:rFonts w:ascii="Times New Roman" w:hAnsi="Times New Roman" w:cs="Times New Roman"/>
                <w:sz w:val="24"/>
                <w:szCs w:val="24"/>
              </w:rPr>
            </w:pPr>
            <w:r w:rsidRPr="00D8319D">
              <w:rPr>
                <w:rFonts w:ascii="Times New Roman" w:hAnsi="Times New Roman" w:cs="Times New Roman"/>
                <w:sz w:val="24"/>
                <w:szCs w:val="24"/>
              </w:rPr>
              <w:t>It is still to be decided as to what equity the existing shareholders will retain following this re-</w:t>
            </w:r>
            <w:proofErr w:type="spellStart"/>
            <w:r w:rsidRPr="00D8319D">
              <w:rPr>
                <w:rFonts w:ascii="Times New Roman" w:hAnsi="Times New Roman" w:cs="Times New Roman"/>
                <w:sz w:val="24"/>
                <w:szCs w:val="24"/>
              </w:rPr>
              <w:t>organisation</w:t>
            </w:r>
            <w:proofErr w:type="spellEnd"/>
            <w:r w:rsidRPr="00D8319D">
              <w:rPr>
                <w:rFonts w:ascii="Times New Roman" w:hAnsi="Times New Roman" w:cs="Times New Roman"/>
                <w:sz w:val="24"/>
                <w:szCs w:val="24"/>
              </w:rPr>
              <w:t>. Existing shareholders will not be eligible for any recovered funds from the RV arbitration.</w:t>
            </w:r>
          </w:p>
          <w:p w:rsidR="00D8319D" w:rsidRPr="00D8319D" w:rsidRDefault="00D8319D" w:rsidP="00D8319D">
            <w:pPr>
              <w:spacing w:after="200" w:line="216" w:lineRule="auto"/>
              <w:ind w:left="15" w:hanging="10"/>
              <w:jc w:val="both"/>
              <w:rPr>
                <w:rFonts w:ascii="Times New Roman" w:hAnsi="Times New Roman" w:cs="Times New Roman"/>
                <w:sz w:val="24"/>
                <w:szCs w:val="24"/>
              </w:rPr>
            </w:pPr>
            <w:r w:rsidRPr="00D8319D">
              <w:rPr>
                <w:rFonts w:ascii="Times New Roman" w:hAnsi="Times New Roman" w:cs="Times New Roman"/>
                <w:sz w:val="24"/>
                <w:szCs w:val="24"/>
              </w:rPr>
              <w:t>An Employee Option Pool will be created which will be earned out over 3 years.</w:t>
            </w:r>
          </w:p>
          <w:p w:rsidR="00D8319D" w:rsidRPr="00D8319D" w:rsidRDefault="00D8319D" w:rsidP="00D8319D">
            <w:pPr>
              <w:spacing w:line="240" w:lineRule="auto"/>
              <w:ind w:left="14" w:right="5" w:firstLine="10"/>
              <w:jc w:val="both"/>
              <w:rPr>
                <w:rFonts w:ascii="Times New Roman" w:hAnsi="Times New Roman" w:cs="Times New Roman"/>
                <w:sz w:val="24"/>
                <w:szCs w:val="24"/>
              </w:rPr>
            </w:pPr>
            <w:r w:rsidRPr="00D8319D">
              <w:rPr>
                <w:rFonts w:ascii="Times New Roman" w:hAnsi="Times New Roman" w:cs="Times New Roman"/>
                <w:sz w:val="24"/>
                <w:szCs w:val="24"/>
              </w:rPr>
              <w:t>It is expected that large creditors will become shareholders directly on the cap table while the smaller account holders (i.e. less than $[5m]) will hold their equity rights via interests in a trust entity.</w:t>
            </w:r>
          </w:p>
        </w:tc>
      </w:tr>
      <w:tr w:rsidR="00D8319D" w:rsidRPr="00D8319D" w:rsidTr="00A03C23">
        <w:trPr>
          <w:trHeight w:val="1236"/>
        </w:trPr>
        <w:tc>
          <w:tcPr>
            <w:tcW w:w="2280"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rPr>
                <w:rFonts w:ascii="Times New Roman" w:hAnsi="Times New Roman" w:cs="Times New Roman"/>
                <w:sz w:val="24"/>
                <w:szCs w:val="24"/>
              </w:rPr>
            </w:pPr>
            <w:r w:rsidRPr="00D8319D">
              <w:rPr>
                <w:rFonts w:ascii="Times New Roman" w:hAnsi="Times New Roman" w:cs="Times New Roman"/>
                <w:sz w:val="24"/>
                <w:szCs w:val="24"/>
              </w:rPr>
              <w:t>FLEX Coins</w:t>
            </w:r>
          </w:p>
        </w:tc>
        <w:tc>
          <w:tcPr>
            <w:tcW w:w="6614"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after="230" w:line="216" w:lineRule="auto"/>
              <w:ind w:left="14"/>
              <w:jc w:val="both"/>
              <w:rPr>
                <w:rFonts w:ascii="Times New Roman" w:hAnsi="Times New Roman" w:cs="Times New Roman"/>
                <w:sz w:val="24"/>
                <w:szCs w:val="24"/>
              </w:rPr>
            </w:pP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currently holds approximately 25m in FLEX Coin - the native token issued by the Platform.</w:t>
            </w:r>
          </w:p>
          <w:p w:rsidR="00D8319D" w:rsidRPr="00D8319D" w:rsidRDefault="00D8319D" w:rsidP="00D8319D">
            <w:pPr>
              <w:spacing w:line="240" w:lineRule="auto"/>
              <w:rPr>
                <w:rFonts w:ascii="Times New Roman" w:hAnsi="Times New Roman" w:cs="Times New Roman"/>
                <w:sz w:val="24"/>
                <w:szCs w:val="24"/>
              </w:rPr>
            </w:pPr>
            <w:r w:rsidRPr="00D8319D">
              <w:rPr>
                <w:rFonts w:ascii="Times New Roman" w:hAnsi="Times New Roman" w:cs="Times New Roman"/>
                <w:sz w:val="24"/>
                <w:szCs w:val="24"/>
              </w:rPr>
              <w:t>An amount of this will be distributed to Creditors pro-rata to the</w:t>
            </w:r>
          </w:p>
        </w:tc>
      </w:tr>
    </w:tbl>
    <w:p w:rsidR="00D8319D" w:rsidRPr="00D8319D" w:rsidRDefault="00D8319D" w:rsidP="00D8319D">
      <w:pPr>
        <w:spacing w:after="0" w:line="259" w:lineRule="auto"/>
        <w:ind w:left="-1440" w:right="141"/>
        <w:rPr>
          <w:rFonts w:ascii="Times New Roman" w:hAnsi="Times New Roman" w:cs="Times New Roman"/>
          <w:sz w:val="24"/>
          <w:szCs w:val="24"/>
        </w:rPr>
      </w:pPr>
    </w:p>
    <w:tbl>
      <w:tblPr>
        <w:tblStyle w:val="TableGrid"/>
        <w:tblW w:w="8859" w:type="dxa"/>
        <w:tblInd w:w="24" w:type="dxa"/>
        <w:tblCellMar>
          <w:top w:w="137" w:type="dxa"/>
          <w:left w:w="88" w:type="dxa"/>
          <w:right w:w="109" w:type="dxa"/>
        </w:tblCellMar>
        <w:tblLook w:val="04A0" w:firstRow="1" w:lastRow="0" w:firstColumn="1" w:lastColumn="0" w:noHBand="0" w:noVBand="1"/>
      </w:tblPr>
      <w:tblGrid>
        <w:gridCol w:w="2273"/>
        <w:gridCol w:w="6586"/>
      </w:tblGrid>
      <w:tr w:rsidR="00D8319D" w:rsidRPr="00D8319D" w:rsidTr="00A03C23">
        <w:trPr>
          <w:trHeight w:val="735"/>
        </w:trPr>
        <w:tc>
          <w:tcPr>
            <w:tcW w:w="2273"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rPr>
                <w:rFonts w:ascii="Times New Roman" w:hAnsi="Times New Roman" w:cs="Times New Roman"/>
                <w:sz w:val="24"/>
                <w:szCs w:val="24"/>
              </w:rPr>
            </w:pPr>
          </w:p>
        </w:tc>
        <w:tc>
          <w:tcPr>
            <w:tcW w:w="6586"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29"/>
              <w:rPr>
                <w:rFonts w:ascii="Times New Roman" w:hAnsi="Times New Roman" w:cs="Times New Roman"/>
                <w:sz w:val="24"/>
                <w:szCs w:val="24"/>
              </w:rPr>
            </w:pPr>
            <w:r w:rsidRPr="00D8319D">
              <w:rPr>
                <w:rFonts w:ascii="Times New Roman" w:hAnsi="Times New Roman" w:cs="Times New Roman"/>
                <w:sz w:val="24"/>
                <w:szCs w:val="24"/>
              </w:rPr>
              <w:t>amount of their individual "haircut",</w:t>
            </w:r>
          </w:p>
        </w:tc>
      </w:tr>
      <w:tr w:rsidR="00D8319D" w:rsidRPr="00D8319D" w:rsidTr="00A03C23">
        <w:trPr>
          <w:trHeight w:val="1236"/>
        </w:trPr>
        <w:tc>
          <w:tcPr>
            <w:tcW w:w="2273"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22"/>
              <w:rPr>
                <w:rFonts w:ascii="Times New Roman" w:hAnsi="Times New Roman" w:cs="Times New Roman"/>
                <w:sz w:val="24"/>
                <w:szCs w:val="24"/>
              </w:rPr>
            </w:pPr>
            <w:r w:rsidRPr="00D8319D">
              <w:rPr>
                <w:rFonts w:ascii="Times New Roman" w:hAnsi="Times New Roman" w:cs="Times New Roman"/>
                <w:sz w:val="24"/>
                <w:szCs w:val="24"/>
              </w:rPr>
              <w:t>Amendment of</w:t>
            </w:r>
          </w:p>
          <w:p w:rsidR="00D8319D" w:rsidRPr="00D8319D" w:rsidRDefault="00D8319D" w:rsidP="00D8319D">
            <w:pPr>
              <w:spacing w:line="240" w:lineRule="auto"/>
              <w:ind w:left="27"/>
              <w:rPr>
                <w:rFonts w:ascii="Times New Roman" w:hAnsi="Times New Roman" w:cs="Times New Roman"/>
                <w:sz w:val="24"/>
                <w:szCs w:val="24"/>
              </w:rPr>
            </w:pPr>
            <w:r w:rsidRPr="00D8319D">
              <w:rPr>
                <w:rFonts w:ascii="Times New Roman" w:hAnsi="Times New Roman" w:cs="Times New Roman"/>
                <w:sz w:val="24"/>
                <w:szCs w:val="24"/>
              </w:rPr>
              <w:t>Corporate</w:t>
            </w:r>
          </w:p>
          <w:p w:rsidR="00D8319D" w:rsidRPr="00D8319D" w:rsidRDefault="00D8319D" w:rsidP="00D8319D">
            <w:pPr>
              <w:spacing w:line="240" w:lineRule="auto"/>
              <w:ind w:left="32"/>
              <w:rPr>
                <w:rFonts w:ascii="Times New Roman" w:hAnsi="Times New Roman" w:cs="Times New Roman"/>
                <w:sz w:val="24"/>
                <w:szCs w:val="24"/>
              </w:rPr>
            </w:pPr>
            <w:r w:rsidRPr="00D8319D">
              <w:rPr>
                <w:rFonts w:ascii="Times New Roman" w:hAnsi="Times New Roman" w:cs="Times New Roman"/>
                <w:sz w:val="24"/>
                <w:szCs w:val="24"/>
              </w:rPr>
              <w:t>Documents</w:t>
            </w:r>
          </w:p>
        </w:tc>
        <w:tc>
          <w:tcPr>
            <w:tcW w:w="6586"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line="240" w:lineRule="auto"/>
              <w:ind w:left="19" w:hanging="5"/>
              <w:jc w:val="both"/>
              <w:rPr>
                <w:rFonts w:ascii="Times New Roman" w:hAnsi="Times New Roman" w:cs="Times New Roman"/>
                <w:sz w:val="24"/>
                <w:szCs w:val="24"/>
              </w:rPr>
            </w:pPr>
            <w:r w:rsidRPr="00D8319D">
              <w:rPr>
                <w:rFonts w:ascii="Times New Roman" w:hAnsi="Times New Roman" w:cs="Times New Roman"/>
                <w:sz w:val="24"/>
                <w:szCs w:val="24"/>
              </w:rPr>
              <w:t>The Corporate Documents of Liquidity Technologies Ltd (Seychelles) as well as its current wholly owned parent entity Liquidity Technologies Holding Ltd (Cayman Islands) will need to be modified.</w:t>
            </w:r>
          </w:p>
        </w:tc>
      </w:tr>
      <w:tr w:rsidR="00D8319D" w:rsidRPr="00D8319D" w:rsidTr="00A03C23">
        <w:trPr>
          <w:trHeight w:val="1741"/>
        </w:trPr>
        <w:tc>
          <w:tcPr>
            <w:tcW w:w="2273"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13" w:hanging="5"/>
              <w:rPr>
                <w:rFonts w:ascii="Times New Roman" w:hAnsi="Times New Roman" w:cs="Times New Roman"/>
                <w:sz w:val="24"/>
                <w:szCs w:val="24"/>
              </w:rPr>
            </w:pPr>
            <w:r w:rsidRPr="00D8319D">
              <w:rPr>
                <w:rFonts w:ascii="Times New Roman" w:hAnsi="Times New Roman" w:cs="Times New Roman"/>
                <w:sz w:val="24"/>
                <w:szCs w:val="24"/>
              </w:rPr>
              <w:t>Approval of "</w:t>
            </w:r>
            <w:proofErr w:type="spellStart"/>
            <w:r w:rsidRPr="00D8319D">
              <w:rPr>
                <w:rFonts w:ascii="Times New Roman" w:hAnsi="Times New Roman" w:cs="Times New Roman"/>
                <w:sz w:val="24"/>
                <w:szCs w:val="24"/>
              </w:rPr>
              <w:t>ReOrganisation</w:t>
            </w:r>
            <w:proofErr w:type="spellEnd"/>
            <w:r w:rsidRPr="00D8319D">
              <w:rPr>
                <w:rFonts w:ascii="Times New Roman" w:hAnsi="Times New Roman" w:cs="Times New Roman"/>
                <w:sz w:val="24"/>
                <w:szCs w:val="24"/>
              </w:rPr>
              <w:t>"</w:t>
            </w:r>
          </w:p>
        </w:tc>
        <w:tc>
          <w:tcPr>
            <w:tcW w:w="6586"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after="177" w:line="216" w:lineRule="auto"/>
              <w:ind w:left="10" w:firstLine="10"/>
              <w:jc w:val="both"/>
              <w:rPr>
                <w:rFonts w:ascii="Times New Roman" w:hAnsi="Times New Roman" w:cs="Times New Roman"/>
                <w:sz w:val="24"/>
                <w:szCs w:val="24"/>
              </w:rPr>
            </w:pPr>
            <w:r w:rsidRPr="00D8319D">
              <w:rPr>
                <w:rFonts w:ascii="Times New Roman" w:hAnsi="Times New Roman" w:cs="Times New Roman"/>
                <w:sz w:val="24"/>
                <w:szCs w:val="24"/>
              </w:rPr>
              <w:t>Under the IBC, the proposed plan will need to be approved by 75% in value of the creditors at a meeting of creditors.</w:t>
            </w:r>
          </w:p>
          <w:p w:rsidR="00D8319D" w:rsidRPr="00D8319D" w:rsidRDefault="00D8319D" w:rsidP="00D8319D">
            <w:pPr>
              <w:spacing w:line="216" w:lineRule="auto"/>
              <w:ind w:firstLine="10"/>
              <w:jc w:val="both"/>
              <w:rPr>
                <w:rFonts w:ascii="Times New Roman" w:hAnsi="Times New Roman" w:cs="Times New Roman"/>
                <w:sz w:val="24"/>
                <w:szCs w:val="24"/>
              </w:rPr>
            </w:pPr>
            <w:r w:rsidRPr="00D8319D">
              <w:rPr>
                <w:rFonts w:ascii="Times New Roman" w:hAnsi="Times New Roman" w:cs="Times New Roman"/>
                <w:sz w:val="24"/>
                <w:szCs w:val="24"/>
              </w:rPr>
              <w:t xml:space="preserve">Once this approval is obtained, </w:t>
            </w:r>
            <w:proofErr w:type="spellStart"/>
            <w:r w:rsidRPr="00D8319D">
              <w:rPr>
                <w:rFonts w:ascii="Times New Roman" w:hAnsi="Times New Roman" w:cs="Times New Roman"/>
                <w:sz w:val="24"/>
                <w:szCs w:val="24"/>
              </w:rPr>
              <w:t>CoinFLEX</w:t>
            </w:r>
            <w:proofErr w:type="spellEnd"/>
            <w:r w:rsidRPr="00D8319D">
              <w:rPr>
                <w:rFonts w:ascii="Times New Roman" w:hAnsi="Times New Roman" w:cs="Times New Roman"/>
                <w:sz w:val="24"/>
                <w:szCs w:val="24"/>
              </w:rPr>
              <w:t xml:space="preserve"> can apply to the courts for final approval and affirmation to come out of this</w:t>
            </w:r>
          </w:p>
          <w:p w:rsidR="00D8319D" w:rsidRPr="00D8319D" w:rsidRDefault="00D8319D" w:rsidP="00D8319D">
            <w:pPr>
              <w:spacing w:line="240" w:lineRule="auto"/>
              <w:ind w:left="5"/>
              <w:rPr>
                <w:rFonts w:ascii="Times New Roman" w:hAnsi="Times New Roman" w:cs="Times New Roman"/>
                <w:sz w:val="24"/>
                <w:szCs w:val="24"/>
              </w:rPr>
            </w:pPr>
            <w:r w:rsidRPr="00D8319D">
              <w:rPr>
                <w:rFonts w:ascii="Times New Roman" w:hAnsi="Times New Roman" w:cs="Times New Roman"/>
                <w:sz w:val="24"/>
                <w:szCs w:val="24"/>
              </w:rPr>
              <w:t>"Administration".</w:t>
            </w:r>
          </w:p>
        </w:tc>
      </w:tr>
      <w:tr w:rsidR="00D8319D" w:rsidRPr="00D8319D" w:rsidTr="00A03C23">
        <w:trPr>
          <w:trHeight w:val="730"/>
        </w:trPr>
        <w:tc>
          <w:tcPr>
            <w:tcW w:w="2273" w:type="dxa"/>
            <w:tcBorders>
              <w:top w:val="single" w:sz="2" w:space="0" w:color="000000"/>
              <w:left w:val="single" w:sz="2" w:space="0" w:color="000000"/>
              <w:bottom w:val="single" w:sz="2" w:space="0" w:color="000000"/>
              <w:right w:val="single" w:sz="2" w:space="0" w:color="000000"/>
            </w:tcBorders>
          </w:tcPr>
          <w:p w:rsidR="00D8319D" w:rsidRPr="00D8319D" w:rsidRDefault="00D8319D" w:rsidP="00D8319D">
            <w:pPr>
              <w:spacing w:line="240" w:lineRule="auto"/>
              <w:ind w:left="3"/>
              <w:rPr>
                <w:rFonts w:ascii="Times New Roman" w:hAnsi="Times New Roman" w:cs="Times New Roman"/>
                <w:sz w:val="24"/>
                <w:szCs w:val="24"/>
              </w:rPr>
            </w:pPr>
            <w:r w:rsidRPr="00D8319D">
              <w:rPr>
                <w:rFonts w:ascii="Times New Roman" w:hAnsi="Times New Roman" w:cs="Times New Roman"/>
                <w:sz w:val="24"/>
                <w:szCs w:val="24"/>
              </w:rPr>
              <w:t>Other Solutions</w:t>
            </w:r>
          </w:p>
        </w:tc>
        <w:tc>
          <w:tcPr>
            <w:tcW w:w="6586" w:type="dxa"/>
            <w:tcBorders>
              <w:top w:val="single" w:sz="2" w:space="0" w:color="000000"/>
              <w:left w:val="single" w:sz="2" w:space="0" w:color="000000"/>
              <w:bottom w:val="single" w:sz="2" w:space="0" w:color="000000"/>
              <w:right w:val="single" w:sz="2" w:space="0" w:color="000000"/>
            </w:tcBorders>
            <w:vAlign w:val="center"/>
          </w:tcPr>
          <w:p w:rsidR="00D8319D" w:rsidRPr="00D8319D" w:rsidRDefault="00D8319D" w:rsidP="00D8319D">
            <w:pPr>
              <w:spacing w:line="240" w:lineRule="auto"/>
              <w:jc w:val="both"/>
              <w:rPr>
                <w:rFonts w:ascii="Times New Roman" w:hAnsi="Times New Roman" w:cs="Times New Roman"/>
                <w:sz w:val="24"/>
                <w:szCs w:val="24"/>
              </w:rPr>
            </w:pPr>
            <w:r w:rsidRPr="00D8319D">
              <w:rPr>
                <w:rFonts w:ascii="Times New Roman" w:hAnsi="Times New Roman" w:cs="Times New Roman"/>
                <w:sz w:val="24"/>
                <w:szCs w:val="24"/>
              </w:rPr>
              <w:t>The company may also pursue financing or acquisition paths during this restructuring</w:t>
            </w:r>
          </w:p>
        </w:tc>
      </w:tr>
    </w:tbl>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D8319D" w:rsidRPr="00D8319D">
        <w:rPr>
          <w:rFonts w:ascii="Times New Roman" w:hAnsi="Times New Roman" w:cs="Times New Roman"/>
          <w:sz w:val="24"/>
          <w:szCs w:val="24"/>
        </w:rPr>
        <w:t>The Applicant has also attached the Directors resolution approving the plan marked as Annex G.</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42266D" w:rsidP="0042266D">
      <w:pPr>
        <w:spacing w:after="0" w:line="360" w:lineRule="auto"/>
        <w:ind w:left="720"/>
        <w:contextualSpacing/>
        <w:jc w:val="both"/>
        <w:rPr>
          <w:rFonts w:ascii="Times New Roman" w:hAnsi="Times New Roman" w:cs="Times New Roman"/>
          <w:b/>
          <w:sz w:val="24"/>
          <w:szCs w:val="24"/>
        </w:rPr>
      </w:pPr>
      <w:r w:rsidRPr="00D8319D">
        <w:rPr>
          <w:rFonts w:ascii="Times New Roman" w:hAnsi="Times New Roman" w:cs="Times New Roman"/>
          <w:b/>
          <w:sz w:val="24"/>
          <w:szCs w:val="24"/>
        </w:rPr>
        <w:t>THE LAW</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8319D" w:rsidRPr="00D8319D">
        <w:rPr>
          <w:rFonts w:ascii="Times New Roman" w:hAnsi="Times New Roman" w:cs="Times New Roman"/>
          <w:sz w:val="24"/>
          <w:szCs w:val="24"/>
        </w:rPr>
        <w:t>Section 208 (2) of the International Business Companies Act provides that ‘If the directors of a company determine that it is in the best interest of the Company or creditors or members thereof, the directors of the company may approve a plan of arrangement under this subsection that contains</w:t>
      </w:r>
      <w:r>
        <w:rPr>
          <w:rFonts w:ascii="Times New Roman" w:hAnsi="Times New Roman" w:cs="Times New Roman"/>
          <w:sz w:val="24"/>
          <w:szCs w:val="24"/>
        </w:rPr>
        <w:t xml:space="preserve"> the details</w:t>
      </w:r>
      <w:r w:rsidR="00D8319D" w:rsidRPr="00D8319D">
        <w:rPr>
          <w:rFonts w:ascii="Times New Roman" w:hAnsi="Times New Roman" w:cs="Times New Roman"/>
          <w:sz w:val="24"/>
          <w:szCs w:val="24"/>
        </w:rPr>
        <w:t xml:space="preserve"> of the proposed arrangement, notwithstanding that the proposed</w:t>
      </w:r>
      <w:r>
        <w:rPr>
          <w:rFonts w:ascii="Times New Roman" w:hAnsi="Times New Roman" w:cs="Times New Roman"/>
          <w:sz w:val="24"/>
          <w:szCs w:val="24"/>
        </w:rPr>
        <w:t xml:space="preserve"> arrangement may be authorized </w:t>
      </w:r>
      <w:r w:rsidR="00D8319D" w:rsidRPr="00D8319D">
        <w:rPr>
          <w:rFonts w:ascii="Times New Roman" w:hAnsi="Times New Roman" w:cs="Times New Roman"/>
          <w:sz w:val="24"/>
          <w:szCs w:val="24"/>
        </w:rPr>
        <w:t>or permitted by any other prov</w:t>
      </w:r>
      <w:r>
        <w:rPr>
          <w:rFonts w:ascii="Times New Roman" w:hAnsi="Times New Roman" w:cs="Times New Roman"/>
          <w:sz w:val="24"/>
          <w:szCs w:val="24"/>
        </w:rPr>
        <w:t xml:space="preserve">ision of this Act or otherwise </w:t>
      </w:r>
      <w:r w:rsidR="00D8319D" w:rsidRPr="00D8319D">
        <w:rPr>
          <w:rFonts w:ascii="Times New Roman" w:hAnsi="Times New Roman" w:cs="Times New Roman"/>
          <w:sz w:val="24"/>
          <w:szCs w:val="24"/>
        </w:rPr>
        <w:t>permitted.</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8319D" w:rsidRPr="00D8319D">
        <w:rPr>
          <w:rFonts w:ascii="Times New Roman" w:hAnsi="Times New Roman" w:cs="Times New Roman"/>
          <w:sz w:val="24"/>
          <w:szCs w:val="24"/>
        </w:rPr>
        <w:t>Section 208(3) of the IBC Act provides that upon approval of the plan of arrangement by the directors, the company shall make application to the court for approval of the proposed arrangement.’</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Section </w:t>
      </w:r>
      <w:r w:rsidR="00D8319D" w:rsidRPr="00D8319D">
        <w:rPr>
          <w:rFonts w:ascii="Times New Roman" w:hAnsi="Times New Roman" w:cs="Times New Roman"/>
          <w:sz w:val="24"/>
          <w:szCs w:val="24"/>
        </w:rPr>
        <w:t>208 (4) of the same Act</w:t>
      </w:r>
      <w:r>
        <w:rPr>
          <w:rFonts w:ascii="Times New Roman" w:hAnsi="Times New Roman" w:cs="Times New Roman"/>
          <w:sz w:val="24"/>
          <w:szCs w:val="24"/>
        </w:rPr>
        <w:t xml:space="preserve"> provides that ‘the Court upon </w:t>
      </w:r>
      <w:r w:rsidR="00D8319D" w:rsidRPr="00D8319D">
        <w:rPr>
          <w:rFonts w:ascii="Times New Roman" w:hAnsi="Times New Roman" w:cs="Times New Roman"/>
          <w:sz w:val="24"/>
          <w:szCs w:val="24"/>
        </w:rPr>
        <w:t>Application made to it under subsection (3), make an interim or final order that is not subject to an Appeal unless a question of law is involved and in which case notice of Appeal shall be given within 21 days immediately following the date of the order, and in making of the order</w:t>
      </w:r>
      <w:r>
        <w:rPr>
          <w:rFonts w:ascii="Times New Roman" w:hAnsi="Times New Roman" w:cs="Times New Roman"/>
          <w:sz w:val="24"/>
          <w:szCs w:val="24"/>
        </w:rPr>
        <w:t xml:space="preserve"> the Court may:</w:t>
      </w:r>
    </w:p>
    <w:p w:rsidR="00D8319D" w:rsidRPr="00D8319D" w:rsidRDefault="00D8319D" w:rsidP="0042266D">
      <w:pPr>
        <w:spacing w:line="259" w:lineRule="auto"/>
        <w:contextualSpacing/>
        <w:rPr>
          <w:rFonts w:ascii="Times New Roman" w:hAnsi="Times New Roman" w:cs="Times New Roman"/>
          <w:sz w:val="24"/>
          <w:szCs w:val="24"/>
        </w:rPr>
      </w:pPr>
    </w:p>
    <w:p w:rsidR="00D8319D" w:rsidRPr="00D8319D" w:rsidRDefault="00D8319D" w:rsidP="0042266D">
      <w:pPr>
        <w:numPr>
          <w:ilvl w:val="0"/>
          <w:numId w:val="5"/>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 xml:space="preserve">determine what notice, if any, of the proposed arrangement is to be given to any </w:t>
      </w:r>
    </w:p>
    <w:p w:rsidR="00D8319D" w:rsidRPr="00D8319D" w:rsidRDefault="00D8319D" w:rsidP="0042266D">
      <w:pPr>
        <w:spacing w:after="0" w:line="360" w:lineRule="auto"/>
        <w:ind w:left="720"/>
        <w:jc w:val="both"/>
        <w:rPr>
          <w:rFonts w:ascii="Times New Roman" w:hAnsi="Times New Roman" w:cs="Times New Roman"/>
          <w:sz w:val="24"/>
          <w:szCs w:val="24"/>
        </w:rPr>
      </w:pPr>
      <w:r w:rsidRPr="00D8319D">
        <w:rPr>
          <w:rFonts w:ascii="Times New Roman" w:hAnsi="Times New Roman" w:cs="Times New Roman"/>
          <w:sz w:val="24"/>
          <w:szCs w:val="24"/>
        </w:rPr>
        <w:t xml:space="preserve">        </w:t>
      </w:r>
      <w:proofErr w:type="gramStart"/>
      <w:r w:rsidRPr="00D8319D">
        <w:rPr>
          <w:rFonts w:ascii="Times New Roman" w:hAnsi="Times New Roman" w:cs="Times New Roman"/>
          <w:sz w:val="24"/>
          <w:szCs w:val="24"/>
        </w:rPr>
        <w:t>person</w:t>
      </w:r>
      <w:proofErr w:type="gramEnd"/>
      <w:r w:rsidRPr="00D8319D">
        <w:rPr>
          <w:rFonts w:ascii="Times New Roman" w:hAnsi="Times New Roman" w:cs="Times New Roman"/>
          <w:sz w:val="24"/>
          <w:szCs w:val="24"/>
        </w:rPr>
        <w:t>;</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D8319D" w:rsidP="0042266D">
      <w:pPr>
        <w:numPr>
          <w:ilvl w:val="0"/>
          <w:numId w:val="5"/>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determine whether approval of the proposed arrangement by any person should be obtained and the manner of obtaining approval;</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D8319D" w:rsidP="0042266D">
      <w:pPr>
        <w:numPr>
          <w:ilvl w:val="0"/>
          <w:numId w:val="5"/>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determine whether any holders of shares or debt obligations or other securities in the company may dissent from the proposed arrangement and receive fair value of his shares, debt obligations or other securities under section 210</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D8319D" w:rsidP="0042266D">
      <w:pPr>
        <w:numPr>
          <w:ilvl w:val="0"/>
          <w:numId w:val="5"/>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conduct a hearing and permit any interested person to appear; and</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D8319D" w:rsidP="0042266D">
      <w:pPr>
        <w:numPr>
          <w:ilvl w:val="0"/>
          <w:numId w:val="5"/>
        </w:numPr>
        <w:spacing w:after="0" w:line="360" w:lineRule="auto"/>
        <w:contextualSpacing/>
        <w:jc w:val="both"/>
        <w:rPr>
          <w:rFonts w:ascii="Times New Roman" w:hAnsi="Times New Roman" w:cs="Times New Roman"/>
          <w:sz w:val="24"/>
          <w:szCs w:val="24"/>
        </w:rPr>
      </w:pPr>
      <w:proofErr w:type="gramStart"/>
      <w:r w:rsidRPr="00D8319D">
        <w:rPr>
          <w:rFonts w:ascii="Times New Roman" w:hAnsi="Times New Roman" w:cs="Times New Roman"/>
          <w:sz w:val="24"/>
          <w:szCs w:val="24"/>
        </w:rPr>
        <w:lastRenderedPageBreak/>
        <w:t>approve</w:t>
      </w:r>
      <w:proofErr w:type="gramEnd"/>
      <w:r w:rsidRPr="00D8319D">
        <w:rPr>
          <w:rFonts w:ascii="Times New Roman" w:hAnsi="Times New Roman" w:cs="Times New Roman"/>
          <w:sz w:val="24"/>
          <w:szCs w:val="24"/>
        </w:rPr>
        <w:t xml:space="preserve"> or reject the plan of arrangement as proposed or with such amendments as it may direct.</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8319D" w:rsidRPr="00D8319D">
        <w:rPr>
          <w:rFonts w:ascii="Times New Roman" w:hAnsi="Times New Roman" w:cs="Times New Roman"/>
          <w:sz w:val="24"/>
          <w:szCs w:val="24"/>
        </w:rPr>
        <w:t>Section 208(5) of the IBC Act provides that where the Court makes an order approving the plan of arrangement, the directors of the company, if they are still desirous of executing the plan, shall confirm the plan of arrangement as approved by the Court whether or not the Court has directed any amendments thereto.</w:t>
      </w:r>
    </w:p>
    <w:p w:rsidR="00D8319D" w:rsidRPr="00D8319D" w:rsidRDefault="00D8319D" w:rsidP="0042266D">
      <w:pPr>
        <w:spacing w:line="259" w:lineRule="auto"/>
        <w:contextualSpacing/>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D8319D" w:rsidRPr="00D8319D">
        <w:rPr>
          <w:rFonts w:ascii="Times New Roman" w:hAnsi="Times New Roman" w:cs="Times New Roman"/>
          <w:sz w:val="24"/>
          <w:szCs w:val="24"/>
        </w:rPr>
        <w:t xml:space="preserve">Section 208(6) of the IBC Act provides that </w:t>
      </w:r>
      <w:proofErr w:type="gramStart"/>
      <w:r w:rsidR="00D8319D" w:rsidRPr="00D8319D">
        <w:rPr>
          <w:rFonts w:ascii="Times New Roman" w:hAnsi="Times New Roman" w:cs="Times New Roman"/>
          <w:sz w:val="24"/>
          <w:szCs w:val="24"/>
        </w:rPr>
        <w:t>‘ the</w:t>
      </w:r>
      <w:proofErr w:type="gramEnd"/>
      <w:r w:rsidR="00D8319D" w:rsidRPr="00D8319D">
        <w:rPr>
          <w:rFonts w:ascii="Times New Roman" w:hAnsi="Times New Roman" w:cs="Times New Roman"/>
          <w:sz w:val="24"/>
          <w:szCs w:val="24"/>
        </w:rPr>
        <w:t xml:space="preserve"> Directors of the company, upon confirming the plan of arrangement shall-</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D8319D" w:rsidP="0042266D">
      <w:pPr>
        <w:numPr>
          <w:ilvl w:val="0"/>
          <w:numId w:val="6"/>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give notice to the persons  to whom the Order of the Court requires notice to be given and</w:t>
      </w:r>
    </w:p>
    <w:p w:rsidR="00D8319D" w:rsidRPr="00D8319D" w:rsidRDefault="00D8319D" w:rsidP="0042266D">
      <w:pPr>
        <w:spacing w:after="0" w:line="360" w:lineRule="auto"/>
        <w:ind w:left="1080"/>
        <w:contextualSpacing/>
        <w:jc w:val="both"/>
        <w:rPr>
          <w:rFonts w:ascii="Times New Roman" w:hAnsi="Times New Roman" w:cs="Times New Roman"/>
          <w:sz w:val="24"/>
          <w:szCs w:val="24"/>
        </w:rPr>
      </w:pPr>
    </w:p>
    <w:p w:rsidR="00D8319D" w:rsidRPr="00D8319D" w:rsidRDefault="00D8319D" w:rsidP="0042266D">
      <w:pPr>
        <w:numPr>
          <w:ilvl w:val="0"/>
          <w:numId w:val="6"/>
        </w:numPr>
        <w:spacing w:after="0" w:line="360" w:lineRule="auto"/>
        <w:contextualSpacing/>
        <w:jc w:val="both"/>
        <w:rPr>
          <w:rFonts w:ascii="Times New Roman" w:hAnsi="Times New Roman" w:cs="Times New Roman"/>
          <w:sz w:val="24"/>
          <w:szCs w:val="24"/>
        </w:rPr>
      </w:pPr>
      <w:proofErr w:type="gramStart"/>
      <w:r w:rsidRPr="00D8319D">
        <w:rPr>
          <w:rFonts w:ascii="Times New Roman" w:hAnsi="Times New Roman" w:cs="Times New Roman"/>
          <w:sz w:val="24"/>
          <w:szCs w:val="24"/>
        </w:rPr>
        <w:t>submit</w:t>
      </w:r>
      <w:proofErr w:type="gramEnd"/>
      <w:r w:rsidRPr="00D8319D">
        <w:rPr>
          <w:rFonts w:ascii="Times New Roman" w:hAnsi="Times New Roman" w:cs="Times New Roman"/>
          <w:sz w:val="24"/>
          <w:szCs w:val="24"/>
        </w:rPr>
        <w:t xml:space="preserve"> the plan of Approval to these person for such approval, if any, as the Order of the Court requires.</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42266D" w:rsidP="0042266D">
      <w:pPr>
        <w:spacing w:after="0" w:line="360" w:lineRule="auto"/>
        <w:ind w:left="555" w:hanging="555"/>
        <w:contextualSpacing/>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8319D" w:rsidRPr="00D8319D">
        <w:rPr>
          <w:rFonts w:ascii="Times New Roman" w:hAnsi="Times New Roman" w:cs="Times New Roman"/>
          <w:sz w:val="24"/>
          <w:szCs w:val="24"/>
        </w:rPr>
        <w:t xml:space="preserve">Section 208(7) of the IBC Act provides that </w:t>
      </w:r>
      <w:proofErr w:type="gramStart"/>
      <w:r w:rsidR="00D8319D" w:rsidRPr="00D8319D">
        <w:rPr>
          <w:rFonts w:ascii="Times New Roman" w:hAnsi="Times New Roman" w:cs="Times New Roman"/>
          <w:sz w:val="24"/>
          <w:szCs w:val="24"/>
        </w:rPr>
        <w:t>‘ after</w:t>
      </w:r>
      <w:proofErr w:type="gramEnd"/>
      <w:r w:rsidR="00D8319D" w:rsidRPr="00D8319D">
        <w:rPr>
          <w:rFonts w:ascii="Times New Roman" w:hAnsi="Times New Roman" w:cs="Times New Roman"/>
          <w:sz w:val="24"/>
          <w:szCs w:val="24"/>
        </w:rPr>
        <w:t xml:space="preserve"> the plan of arrangement has been approved by these person by whom the Order of the Court may require Approval, articles  of arrangement shall be executed by the company and shall contain-</w:t>
      </w:r>
    </w:p>
    <w:p w:rsidR="00D8319D" w:rsidRPr="00D8319D" w:rsidRDefault="00D8319D" w:rsidP="0042266D">
      <w:pPr>
        <w:spacing w:after="0" w:line="360" w:lineRule="auto"/>
        <w:ind w:left="720"/>
        <w:contextualSpacing/>
        <w:jc w:val="both"/>
        <w:rPr>
          <w:rFonts w:ascii="Times New Roman" w:hAnsi="Times New Roman" w:cs="Times New Roman"/>
          <w:sz w:val="24"/>
          <w:szCs w:val="24"/>
        </w:rPr>
      </w:pPr>
    </w:p>
    <w:p w:rsidR="00D8319D" w:rsidRPr="00D8319D" w:rsidRDefault="00D8319D" w:rsidP="0042266D">
      <w:pPr>
        <w:numPr>
          <w:ilvl w:val="0"/>
          <w:numId w:val="7"/>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The plan of arrangement</w:t>
      </w:r>
    </w:p>
    <w:p w:rsidR="00D8319D" w:rsidRPr="00D8319D" w:rsidRDefault="00D8319D" w:rsidP="0042266D">
      <w:pPr>
        <w:numPr>
          <w:ilvl w:val="0"/>
          <w:numId w:val="7"/>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The Order of the Court approving the plan of arrangement: and</w:t>
      </w:r>
    </w:p>
    <w:p w:rsidR="00D8319D" w:rsidRPr="00D8319D" w:rsidRDefault="00D8319D" w:rsidP="0042266D">
      <w:pPr>
        <w:numPr>
          <w:ilvl w:val="0"/>
          <w:numId w:val="7"/>
        </w:numPr>
        <w:spacing w:after="0" w:line="360" w:lineRule="auto"/>
        <w:contextualSpacing/>
        <w:jc w:val="both"/>
        <w:rPr>
          <w:rFonts w:ascii="Times New Roman" w:hAnsi="Times New Roman" w:cs="Times New Roman"/>
          <w:sz w:val="24"/>
          <w:szCs w:val="24"/>
        </w:rPr>
      </w:pPr>
      <w:r w:rsidRPr="00D8319D">
        <w:rPr>
          <w:rFonts w:ascii="Times New Roman" w:hAnsi="Times New Roman" w:cs="Times New Roman"/>
          <w:sz w:val="24"/>
          <w:szCs w:val="24"/>
        </w:rPr>
        <w:t>The manner in which the plan of arrangement was approved, if approval was  required  by the Order of the Court</w:t>
      </w:r>
    </w:p>
    <w:p w:rsidR="00D8319D" w:rsidRPr="00D8319D" w:rsidRDefault="00D8319D" w:rsidP="0042266D">
      <w:pPr>
        <w:spacing w:after="0" w:line="360" w:lineRule="auto"/>
        <w:jc w:val="both"/>
        <w:rPr>
          <w:rFonts w:ascii="Times New Roman" w:hAnsi="Times New Roman" w:cs="Times New Roman"/>
          <w:sz w:val="24"/>
          <w:szCs w:val="24"/>
        </w:rPr>
      </w:pPr>
    </w:p>
    <w:p w:rsidR="00D8319D" w:rsidRPr="00D8319D" w:rsidRDefault="0042266D" w:rsidP="0042266D">
      <w:pPr>
        <w:spacing w:after="0" w:line="360" w:lineRule="auto"/>
        <w:ind w:left="555" w:hanging="555"/>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8319D" w:rsidRPr="00D8319D">
        <w:rPr>
          <w:rFonts w:ascii="Times New Roman" w:hAnsi="Times New Roman" w:cs="Times New Roman"/>
          <w:sz w:val="24"/>
          <w:szCs w:val="24"/>
        </w:rPr>
        <w:t>At the hearing of the matter Counsel for the Applicant instead of moving the Court for a final order, moved the Court for an interim order for the Court to approve the Plan of arrangement.</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42266D" w:rsidP="0042266D">
      <w:pPr>
        <w:spacing w:after="0" w:line="360" w:lineRule="auto"/>
        <w:contextualSpacing/>
        <w:jc w:val="both"/>
        <w:rPr>
          <w:rFonts w:ascii="Times New Roman" w:hAnsi="Times New Roman" w:cs="Times New Roman"/>
          <w:b/>
          <w:sz w:val="24"/>
          <w:szCs w:val="24"/>
        </w:rPr>
      </w:pPr>
      <w:r w:rsidRPr="0042266D">
        <w:rPr>
          <w:rFonts w:ascii="Times New Roman" w:hAnsi="Times New Roman" w:cs="Times New Roman"/>
          <w:b/>
          <w:sz w:val="24"/>
          <w:szCs w:val="24"/>
        </w:rPr>
        <w:t>DETERMINATION</w:t>
      </w:r>
    </w:p>
    <w:p w:rsidR="00D8319D" w:rsidRPr="00D8319D" w:rsidRDefault="00D8319D" w:rsidP="0042266D">
      <w:pPr>
        <w:spacing w:after="0" w:line="360" w:lineRule="auto"/>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D8319D" w:rsidRPr="00D8319D">
        <w:rPr>
          <w:rFonts w:ascii="Times New Roman" w:hAnsi="Times New Roman" w:cs="Times New Roman"/>
          <w:sz w:val="24"/>
          <w:szCs w:val="24"/>
        </w:rPr>
        <w:t xml:space="preserve">Ex- facie the pleadings, the Affidavit and the documents attached to the Affidavit this Court is satisfied that an interim Order should be made approving the proposed arrangement subject to the final order of the Court for the reasons mentioned in the </w:t>
      </w:r>
      <w:r w:rsidR="00D8319D" w:rsidRPr="00D8319D">
        <w:rPr>
          <w:rFonts w:ascii="Times New Roman" w:hAnsi="Times New Roman" w:cs="Times New Roman"/>
          <w:sz w:val="24"/>
          <w:szCs w:val="24"/>
        </w:rPr>
        <w:lastRenderedPageBreak/>
        <w:t>proposed plan of arrangement reproduced at paragraph 5 of this ruling and the document containing the written resolution of the Director of the said company dated the 20</w:t>
      </w:r>
      <w:r w:rsidR="00D8319D" w:rsidRPr="00D8319D">
        <w:rPr>
          <w:rFonts w:ascii="Times New Roman" w:hAnsi="Times New Roman" w:cs="Times New Roman"/>
          <w:sz w:val="24"/>
          <w:szCs w:val="24"/>
          <w:vertAlign w:val="superscript"/>
        </w:rPr>
        <w:t>th</w:t>
      </w:r>
      <w:r w:rsidR="00D8319D" w:rsidRPr="00D8319D">
        <w:rPr>
          <w:rFonts w:ascii="Times New Roman" w:hAnsi="Times New Roman" w:cs="Times New Roman"/>
          <w:sz w:val="24"/>
          <w:szCs w:val="24"/>
        </w:rPr>
        <w:t xml:space="preserve"> July 2022.</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P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D8319D" w:rsidRPr="00D8319D">
        <w:rPr>
          <w:rFonts w:ascii="Times New Roman" w:hAnsi="Times New Roman" w:cs="Times New Roman"/>
          <w:sz w:val="24"/>
          <w:szCs w:val="24"/>
        </w:rPr>
        <w:t xml:space="preserve">The said reasons given is that since  a large individual customer ( Roger Ver) had failed to meet its financial obligations to the said company and in essence resulted in a hole in the balance sheet of the company resulting in the inability for </w:t>
      </w:r>
      <w:proofErr w:type="spellStart"/>
      <w:r w:rsidR="00D8319D" w:rsidRPr="00D8319D">
        <w:rPr>
          <w:rFonts w:ascii="Times New Roman" w:hAnsi="Times New Roman" w:cs="Times New Roman"/>
          <w:sz w:val="24"/>
          <w:szCs w:val="24"/>
        </w:rPr>
        <w:t>Coinflex</w:t>
      </w:r>
      <w:proofErr w:type="spellEnd"/>
      <w:r w:rsidR="00D8319D" w:rsidRPr="00D8319D">
        <w:rPr>
          <w:rFonts w:ascii="Times New Roman" w:hAnsi="Times New Roman" w:cs="Times New Roman"/>
          <w:sz w:val="24"/>
          <w:szCs w:val="24"/>
        </w:rPr>
        <w:t xml:space="preserve"> to meet the withdrawal requests of its clients and to pay liabilities  to other creditors and as such the said company has commenced arbitration procedures in Hong Kong against Roger Ver to recover the amount owed as per its obligation in the amount of 84 </w:t>
      </w:r>
      <w:r w:rsidRPr="00D8319D">
        <w:rPr>
          <w:rFonts w:ascii="Times New Roman" w:hAnsi="Times New Roman" w:cs="Times New Roman"/>
          <w:sz w:val="24"/>
          <w:szCs w:val="24"/>
        </w:rPr>
        <w:t>million</w:t>
      </w:r>
      <w:r w:rsidR="00D8319D" w:rsidRPr="00D8319D">
        <w:rPr>
          <w:rFonts w:ascii="Times New Roman" w:hAnsi="Times New Roman" w:cs="Times New Roman"/>
          <w:sz w:val="24"/>
          <w:szCs w:val="24"/>
        </w:rPr>
        <w:t xml:space="preserve"> USD.</w:t>
      </w:r>
    </w:p>
    <w:p w:rsidR="00D8319D" w:rsidRPr="00D8319D" w:rsidRDefault="00D8319D" w:rsidP="0042266D">
      <w:pPr>
        <w:spacing w:after="0" w:line="360" w:lineRule="auto"/>
        <w:contextualSpacing/>
        <w:jc w:val="both"/>
        <w:rPr>
          <w:rFonts w:ascii="Times New Roman" w:hAnsi="Times New Roman" w:cs="Times New Roman"/>
          <w:sz w:val="24"/>
          <w:szCs w:val="24"/>
        </w:rPr>
      </w:pPr>
    </w:p>
    <w:p w:rsidR="00D8319D" w:rsidRDefault="0042266D" w:rsidP="0042266D">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D8319D" w:rsidRPr="00D8319D">
        <w:rPr>
          <w:rFonts w:ascii="Times New Roman" w:hAnsi="Times New Roman" w:cs="Times New Roman"/>
          <w:sz w:val="24"/>
          <w:szCs w:val="24"/>
        </w:rPr>
        <w:t xml:space="preserve">The Plan of arrangement will allow the following creditor groups to be appointed to the board of </w:t>
      </w:r>
      <w:proofErr w:type="spellStart"/>
      <w:r w:rsidR="00D8319D" w:rsidRPr="00D8319D">
        <w:rPr>
          <w:rFonts w:ascii="Times New Roman" w:hAnsi="Times New Roman" w:cs="Times New Roman"/>
          <w:sz w:val="24"/>
          <w:szCs w:val="24"/>
        </w:rPr>
        <w:t>CoinFlex</w:t>
      </w:r>
      <w:proofErr w:type="spellEnd"/>
      <w:r w:rsidR="00D8319D" w:rsidRPr="00D8319D">
        <w:rPr>
          <w:rFonts w:ascii="Times New Roman" w:hAnsi="Times New Roman" w:cs="Times New Roman"/>
          <w:sz w:val="24"/>
          <w:szCs w:val="24"/>
        </w:rPr>
        <w:t xml:space="preserve"> namely users of funds on the platform, </w:t>
      </w:r>
      <w:proofErr w:type="spellStart"/>
      <w:r w:rsidR="00D8319D" w:rsidRPr="00D8319D">
        <w:rPr>
          <w:rFonts w:ascii="Times New Roman" w:hAnsi="Times New Roman" w:cs="Times New Roman"/>
          <w:sz w:val="24"/>
          <w:szCs w:val="24"/>
        </w:rPr>
        <w:t>FLEUXusd</w:t>
      </w:r>
      <w:proofErr w:type="spellEnd"/>
      <w:r w:rsidR="00D8319D" w:rsidRPr="00D8319D">
        <w:rPr>
          <w:rFonts w:ascii="Times New Roman" w:hAnsi="Times New Roman" w:cs="Times New Roman"/>
          <w:sz w:val="24"/>
          <w:szCs w:val="24"/>
        </w:rPr>
        <w:t xml:space="preserve"> holders and </w:t>
      </w:r>
      <w:proofErr w:type="spellStart"/>
      <w:r w:rsidR="00D8319D" w:rsidRPr="00D8319D">
        <w:rPr>
          <w:rFonts w:ascii="Times New Roman" w:hAnsi="Times New Roman" w:cs="Times New Roman"/>
          <w:sz w:val="24"/>
          <w:szCs w:val="24"/>
        </w:rPr>
        <w:t>SmartBCB</w:t>
      </w:r>
      <w:proofErr w:type="spellEnd"/>
      <w:r w:rsidR="00D8319D" w:rsidRPr="00D8319D">
        <w:rPr>
          <w:rFonts w:ascii="Times New Roman" w:hAnsi="Times New Roman" w:cs="Times New Roman"/>
          <w:sz w:val="24"/>
          <w:szCs w:val="24"/>
        </w:rPr>
        <w:t xml:space="preserve"> in order to allow them to benefit from the proceeds of the recovery of the amount owed by Roger Ver of which the details are as laid out in the plan of arrangement hereby reproduced at paragraph 5 of this Ruling.</w:t>
      </w:r>
    </w:p>
    <w:p w:rsidR="0042266D" w:rsidRPr="00D8319D" w:rsidRDefault="0042266D" w:rsidP="0042266D">
      <w:pPr>
        <w:spacing w:after="0" w:line="360" w:lineRule="auto"/>
        <w:ind w:left="720" w:hanging="720"/>
        <w:contextualSpacing/>
        <w:jc w:val="both"/>
        <w:rPr>
          <w:rFonts w:ascii="Times New Roman" w:hAnsi="Times New Roman" w:cs="Times New Roman"/>
          <w:sz w:val="24"/>
          <w:szCs w:val="24"/>
        </w:rPr>
      </w:pPr>
    </w:p>
    <w:p w:rsidR="00D8319D" w:rsidRPr="00D8319D" w:rsidRDefault="0042266D" w:rsidP="0042266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D8319D" w:rsidRPr="00D8319D">
        <w:rPr>
          <w:rFonts w:ascii="Times New Roman" w:hAnsi="Times New Roman" w:cs="Times New Roman"/>
          <w:sz w:val="24"/>
          <w:szCs w:val="24"/>
        </w:rPr>
        <w:t>Based on the above this Court shall make the following Orders;</w:t>
      </w:r>
    </w:p>
    <w:p w:rsidR="00D8319D" w:rsidRPr="00D8319D" w:rsidRDefault="00D8319D" w:rsidP="0042266D">
      <w:pPr>
        <w:spacing w:after="0" w:line="360" w:lineRule="auto"/>
        <w:jc w:val="both"/>
        <w:rPr>
          <w:rFonts w:ascii="Times New Roman" w:hAnsi="Times New Roman" w:cs="Times New Roman"/>
          <w:sz w:val="24"/>
          <w:szCs w:val="24"/>
        </w:rPr>
      </w:pPr>
    </w:p>
    <w:p w:rsidR="00D8319D" w:rsidRPr="0042266D" w:rsidRDefault="00D8319D" w:rsidP="0042266D">
      <w:pPr>
        <w:pStyle w:val="ListParagraph"/>
        <w:numPr>
          <w:ilvl w:val="0"/>
          <w:numId w:val="8"/>
        </w:numPr>
        <w:spacing w:after="0" w:line="360" w:lineRule="auto"/>
        <w:jc w:val="both"/>
        <w:rPr>
          <w:rFonts w:ascii="Times New Roman" w:hAnsi="Times New Roman" w:cs="Times New Roman"/>
          <w:sz w:val="24"/>
          <w:szCs w:val="24"/>
        </w:rPr>
      </w:pPr>
      <w:r w:rsidRPr="0042266D">
        <w:rPr>
          <w:rFonts w:ascii="Times New Roman" w:hAnsi="Times New Roman" w:cs="Times New Roman"/>
          <w:sz w:val="24"/>
          <w:szCs w:val="24"/>
        </w:rPr>
        <w:t>I accordingly grant an interim Order approving the proposed arrangement subject to the final Order of the Court which shall lapse after a period of 30 days from the date of the Order of this Court or unless extended by this Court or upon final Order of this Court after an Application to this Court has been made before the said Order lapses.</w:t>
      </w:r>
    </w:p>
    <w:p w:rsidR="00D8319D" w:rsidRPr="00D8319D" w:rsidRDefault="00D8319D" w:rsidP="0042266D">
      <w:pPr>
        <w:spacing w:after="0" w:line="360" w:lineRule="auto"/>
        <w:jc w:val="both"/>
        <w:rPr>
          <w:rFonts w:ascii="Times New Roman" w:hAnsi="Times New Roman" w:cs="Times New Roman"/>
          <w:sz w:val="24"/>
          <w:szCs w:val="24"/>
        </w:rPr>
      </w:pPr>
    </w:p>
    <w:p w:rsidR="00D8319D" w:rsidRDefault="00D8319D" w:rsidP="0042266D">
      <w:pPr>
        <w:pStyle w:val="ListParagraph"/>
        <w:numPr>
          <w:ilvl w:val="0"/>
          <w:numId w:val="8"/>
        </w:numPr>
        <w:spacing w:after="0" w:line="360" w:lineRule="auto"/>
        <w:jc w:val="both"/>
        <w:rPr>
          <w:rFonts w:ascii="Times New Roman" w:hAnsi="Times New Roman" w:cs="Times New Roman"/>
          <w:sz w:val="24"/>
          <w:szCs w:val="24"/>
        </w:rPr>
      </w:pPr>
      <w:proofErr w:type="gramStart"/>
      <w:r w:rsidRPr="0042266D">
        <w:rPr>
          <w:rFonts w:ascii="Times New Roman" w:hAnsi="Times New Roman" w:cs="Times New Roman"/>
          <w:sz w:val="24"/>
          <w:szCs w:val="24"/>
        </w:rPr>
        <w:t>that</w:t>
      </w:r>
      <w:proofErr w:type="gramEnd"/>
      <w:r w:rsidRPr="0042266D">
        <w:rPr>
          <w:rFonts w:ascii="Times New Roman" w:hAnsi="Times New Roman" w:cs="Times New Roman"/>
          <w:sz w:val="24"/>
          <w:szCs w:val="24"/>
        </w:rPr>
        <w:t xml:space="preserve"> after the Court has made the interim Order, the directors of the Company shall confirm the plan of arrangement as approved by the Court in its interim Order subject to a final Order of this Court of which such confirmation should be furnished to the Court upon</w:t>
      </w:r>
      <w:r w:rsidR="0042266D">
        <w:rPr>
          <w:rFonts w:ascii="Times New Roman" w:hAnsi="Times New Roman" w:cs="Times New Roman"/>
          <w:sz w:val="24"/>
          <w:szCs w:val="24"/>
        </w:rPr>
        <w:t xml:space="preserve"> </w:t>
      </w:r>
      <w:r w:rsidRPr="0042266D">
        <w:rPr>
          <w:rFonts w:ascii="Times New Roman" w:hAnsi="Times New Roman" w:cs="Times New Roman"/>
          <w:sz w:val="24"/>
          <w:szCs w:val="24"/>
        </w:rPr>
        <w:t>Application for a final Order to the Court.</w:t>
      </w:r>
    </w:p>
    <w:p w:rsidR="0042266D" w:rsidRPr="0042266D" w:rsidRDefault="0042266D" w:rsidP="0042266D">
      <w:pPr>
        <w:pStyle w:val="ListParagraph"/>
        <w:spacing w:after="0" w:line="360" w:lineRule="auto"/>
        <w:ind w:left="1080"/>
        <w:jc w:val="both"/>
        <w:rPr>
          <w:rFonts w:ascii="Times New Roman" w:hAnsi="Times New Roman" w:cs="Times New Roman"/>
          <w:sz w:val="24"/>
          <w:szCs w:val="24"/>
        </w:rPr>
      </w:pPr>
    </w:p>
    <w:p w:rsidR="00D8319D" w:rsidRDefault="00D8319D" w:rsidP="0042266D">
      <w:pPr>
        <w:pStyle w:val="ListParagraph"/>
        <w:numPr>
          <w:ilvl w:val="0"/>
          <w:numId w:val="8"/>
        </w:numPr>
        <w:spacing w:after="0" w:line="360" w:lineRule="auto"/>
        <w:jc w:val="both"/>
        <w:rPr>
          <w:rFonts w:ascii="Times New Roman" w:hAnsi="Times New Roman" w:cs="Times New Roman"/>
          <w:sz w:val="24"/>
          <w:szCs w:val="24"/>
        </w:rPr>
      </w:pPr>
      <w:proofErr w:type="gramStart"/>
      <w:r w:rsidRPr="0042266D">
        <w:rPr>
          <w:rFonts w:ascii="Times New Roman" w:hAnsi="Times New Roman" w:cs="Times New Roman"/>
          <w:sz w:val="24"/>
          <w:szCs w:val="24"/>
        </w:rPr>
        <w:t>that</w:t>
      </w:r>
      <w:proofErr w:type="gramEnd"/>
      <w:r w:rsidRPr="0042266D">
        <w:rPr>
          <w:rFonts w:ascii="Times New Roman" w:hAnsi="Times New Roman" w:cs="Times New Roman"/>
          <w:sz w:val="24"/>
          <w:szCs w:val="24"/>
        </w:rPr>
        <w:t xml:space="preserve"> after the directors have confirmed the plan of arrangement, I Order that the Applicant shall give notice of the proposed plan of arrangement to all its creditors and to all its shareholders along with a copy of the said Interim order made by this Court.</w:t>
      </w:r>
    </w:p>
    <w:p w:rsidR="0042266D" w:rsidRPr="0042266D" w:rsidRDefault="0042266D" w:rsidP="0042266D">
      <w:pPr>
        <w:pStyle w:val="ListParagraph"/>
        <w:spacing w:after="0" w:line="360" w:lineRule="auto"/>
        <w:ind w:left="1080"/>
        <w:jc w:val="both"/>
        <w:rPr>
          <w:rFonts w:ascii="Times New Roman" w:hAnsi="Times New Roman" w:cs="Times New Roman"/>
          <w:sz w:val="24"/>
          <w:szCs w:val="24"/>
        </w:rPr>
      </w:pPr>
    </w:p>
    <w:p w:rsidR="00D8319D" w:rsidRPr="0042266D" w:rsidRDefault="00D8319D" w:rsidP="0042266D">
      <w:pPr>
        <w:pStyle w:val="ListParagraph"/>
        <w:numPr>
          <w:ilvl w:val="0"/>
          <w:numId w:val="8"/>
        </w:numPr>
        <w:spacing w:after="0" w:line="360" w:lineRule="auto"/>
        <w:jc w:val="both"/>
        <w:rPr>
          <w:rFonts w:ascii="Times New Roman" w:hAnsi="Times New Roman" w:cs="Times New Roman"/>
          <w:sz w:val="24"/>
          <w:szCs w:val="24"/>
        </w:rPr>
      </w:pPr>
      <w:r w:rsidRPr="0042266D">
        <w:rPr>
          <w:rFonts w:ascii="Times New Roman" w:hAnsi="Times New Roman" w:cs="Times New Roman"/>
          <w:sz w:val="24"/>
          <w:szCs w:val="24"/>
        </w:rPr>
        <w:t>That the Approval of the proposed arrangement should be obtained from all the creditors of the Company in the form of a letter of approval and from all its shareholders in a shareholders’ resolution of which a complete list of shareholders of the company and its</w:t>
      </w:r>
      <w:r w:rsidR="0042266D">
        <w:rPr>
          <w:rFonts w:ascii="Times New Roman" w:hAnsi="Times New Roman" w:cs="Times New Roman"/>
          <w:sz w:val="24"/>
          <w:szCs w:val="24"/>
        </w:rPr>
        <w:t xml:space="preserve"> </w:t>
      </w:r>
      <w:r w:rsidRPr="0042266D">
        <w:rPr>
          <w:rFonts w:ascii="Times New Roman" w:hAnsi="Times New Roman" w:cs="Times New Roman"/>
          <w:sz w:val="24"/>
          <w:szCs w:val="24"/>
        </w:rPr>
        <w:t xml:space="preserve">creditors and </w:t>
      </w:r>
      <w:r w:rsidR="0042266D">
        <w:rPr>
          <w:rFonts w:ascii="Times New Roman" w:hAnsi="Times New Roman" w:cs="Times New Roman"/>
          <w:sz w:val="24"/>
          <w:szCs w:val="24"/>
        </w:rPr>
        <w:t xml:space="preserve">their approval </w:t>
      </w:r>
      <w:r w:rsidRPr="0042266D">
        <w:rPr>
          <w:rFonts w:ascii="Times New Roman" w:hAnsi="Times New Roman" w:cs="Times New Roman"/>
          <w:sz w:val="24"/>
          <w:szCs w:val="24"/>
        </w:rPr>
        <w:t>in such a manner should be furnished to the Court upon the application to the Court seeking a final Order of Approval of the proposed arrangement.</w:t>
      </w:r>
    </w:p>
    <w:p w:rsidR="00D8319D" w:rsidRPr="00D8319D" w:rsidRDefault="00D8319D" w:rsidP="0042266D">
      <w:pPr>
        <w:spacing w:after="0" w:line="360" w:lineRule="auto"/>
        <w:jc w:val="both"/>
        <w:rPr>
          <w:rFonts w:ascii="Times New Roman" w:hAnsi="Times New Roman" w:cs="Times New Roman"/>
          <w:sz w:val="24"/>
          <w:szCs w:val="24"/>
        </w:rPr>
      </w:pPr>
    </w:p>
    <w:p w:rsidR="00D8319D" w:rsidRPr="0042266D" w:rsidRDefault="00D8319D" w:rsidP="0042266D">
      <w:pPr>
        <w:pStyle w:val="ListParagraph"/>
        <w:numPr>
          <w:ilvl w:val="0"/>
          <w:numId w:val="8"/>
        </w:numPr>
        <w:spacing w:after="0" w:line="360" w:lineRule="auto"/>
        <w:jc w:val="both"/>
        <w:rPr>
          <w:rFonts w:ascii="Times New Roman" w:hAnsi="Times New Roman" w:cs="Times New Roman"/>
          <w:sz w:val="24"/>
          <w:szCs w:val="24"/>
        </w:rPr>
      </w:pPr>
      <w:r w:rsidRPr="0042266D">
        <w:rPr>
          <w:rFonts w:ascii="Times New Roman" w:hAnsi="Times New Roman" w:cs="Times New Roman"/>
          <w:sz w:val="24"/>
          <w:szCs w:val="24"/>
        </w:rPr>
        <w:t xml:space="preserve">All the shareholders and creditors may dissent from the proposed arrangement and receive </w:t>
      </w:r>
      <w:r w:rsidR="0042266D">
        <w:rPr>
          <w:rFonts w:ascii="Times New Roman" w:hAnsi="Times New Roman" w:cs="Times New Roman"/>
          <w:sz w:val="24"/>
          <w:szCs w:val="24"/>
        </w:rPr>
        <w:t>payment of the fair value</w:t>
      </w:r>
      <w:r w:rsidRPr="0042266D">
        <w:rPr>
          <w:rFonts w:ascii="Times New Roman" w:hAnsi="Times New Roman" w:cs="Times New Roman"/>
          <w:sz w:val="24"/>
          <w:szCs w:val="24"/>
        </w:rPr>
        <w:t xml:space="preserve"> of their respective shares, debts o</w:t>
      </w:r>
      <w:r w:rsidR="0042266D">
        <w:rPr>
          <w:rFonts w:ascii="Times New Roman" w:hAnsi="Times New Roman" w:cs="Times New Roman"/>
          <w:sz w:val="24"/>
          <w:szCs w:val="24"/>
        </w:rPr>
        <w:t xml:space="preserve">bligations or other securities </w:t>
      </w:r>
      <w:r w:rsidRPr="0042266D">
        <w:rPr>
          <w:rFonts w:ascii="Times New Roman" w:hAnsi="Times New Roman" w:cs="Times New Roman"/>
          <w:sz w:val="24"/>
          <w:szCs w:val="24"/>
        </w:rPr>
        <w:t>under section 210 of the International Business Companies Act.</w:t>
      </w:r>
    </w:p>
    <w:p w:rsidR="00D8319D" w:rsidRDefault="00D8319D" w:rsidP="00D8319D">
      <w:pPr>
        <w:spacing w:after="0" w:line="360" w:lineRule="auto"/>
        <w:ind w:left="720" w:hanging="720"/>
        <w:jc w:val="both"/>
        <w:rPr>
          <w:rFonts w:ascii="Times New Roman" w:eastAsia="Calibri" w:hAnsi="Times New Roman" w:cs="Times New Roman"/>
          <w:sz w:val="24"/>
          <w:szCs w:val="24"/>
        </w:rPr>
      </w:pPr>
    </w:p>
    <w:p w:rsidR="0042266D" w:rsidRPr="009336ED" w:rsidRDefault="0042266D" w:rsidP="00D8319D">
      <w:pPr>
        <w:spacing w:after="0" w:line="360" w:lineRule="auto"/>
        <w:ind w:left="720" w:hanging="720"/>
        <w:jc w:val="both"/>
        <w:rPr>
          <w:rFonts w:ascii="Times New Roman" w:eastAsia="Calibri" w:hAnsi="Times New Roman" w:cs="Times New Roman"/>
          <w:sz w:val="24"/>
          <w:szCs w:val="24"/>
        </w:rPr>
      </w:pPr>
    </w:p>
    <w:p w:rsidR="00D8319D" w:rsidRDefault="00D8319D" w:rsidP="00D8319D">
      <w:pPr>
        <w:pStyle w:val="JudgmentText"/>
        <w:numPr>
          <w:ilvl w:val="0"/>
          <w:numId w:val="0"/>
        </w:numPr>
        <w:tabs>
          <w:tab w:val="left" w:pos="720"/>
        </w:tabs>
        <w:spacing w:line="480" w:lineRule="auto"/>
        <w:ind w:left="720" w:hanging="720"/>
      </w:pPr>
      <w:r>
        <w:t>Signed, dated and delivered at Ile du Port on 17</w:t>
      </w:r>
      <w:r w:rsidRPr="00D8319D">
        <w:rPr>
          <w:vertAlign w:val="superscript"/>
        </w:rPr>
        <w:t>th</w:t>
      </w:r>
      <w:r>
        <w:t xml:space="preserve"> August 2022.</w:t>
      </w:r>
    </w:p>
    <w:p w:rsidR="00D8319D" w:rsidRDefault="00D8319D" w:rsidP="00D8319D">
      <w:pPr>
        <w:pStyle w:val="JudgmentText"/>
        <w:numPr>
          <w:ilvl w:val="0"/>
          <w:numId w:val="0"/>
        </w:numPr>
        <w:tabs>
          <w:tab w:val="left" w:pos="720"/>
        </w:tabs>
        <w:spacing w:line="480" w:lineRule="auto"/>
        <w:ind w:left="720" w:hanging="720"/>
      </w:pPr>
    </w:p>
    <w:p w:rsidR="00D8319D" w:rsidRDefault="00D8319D" w:rsidP="00D8319D">
      <w:pPr>
        <w:pStyle w:val="JudgmentText"/>
        <w:numPr>
          <w:ilvl w:val="0"/>
          <w:numId w:val="0"/>
        </w:numPr>
        <w:tabs>
          <w:tab w:val="left" w:pos="720"/>
        </w:tabs>
        <w:spacing w:line="480" w:lineRule="auto"/>
        <w:ind w:left="720" w:hanging="720"/>
      </w:pPr>
      <w:r>
        <w:t>___________________</w:t>
      </w:r>
    </w:p>
    <w:p w:rsidR="00D8319D" w:rsidRPr="007C1B4D" w:rsidRDefault="00D8319D" w:rsidP="00D8319D">
      <w:pPr>
        <w:pStyle w:val="JudgmentText"/>
        <w:numPr>
          <w:ilvl w:val="0"/>
          <w:numId w:val="0"/>
        </w:numPr>
        <w:tabs>
          <w:tab w:val="left" w:pos="720"/>
        </w:tabs>
        <w:spacing w:after="0"/>
      </w:pPr>
      <w:r>
        <w:t>D. Esparon</w:t>
      </w:r>
    </w:p>
    <w:p w:rsidR="00D8319D" w:rsidRPr="007C1B4D" w:rsidRDefault="00D8319D" w:rsidP="00D8319D">
      <w:pPr>
        <w:pStyle w:val="JudgmentText"/>
        <w:numPr>
          <w:ilvl w:val="0"/>
          <w:numId w:val="0"/>
        </w:numPr>
        <w:tabs>
          <w:tab w:val="left" w:pos="720"/>
        </w:tabs>
        <w:spacing w:after="0"/>
        <w:rPr>
          <w:b/>
        </w:rPr>
      </w:pPr>
      <w:r w:rsidRPr="007C1B4D">
        <w:rPr>
          <w:b/>
        </w:rPr>
        <w:t>Judge of the Supreme Court</w:t>
      </w:r>
    </w:p>
    <w:sectPr w:rsidR="00D8319D" w:rsidRPr="007C1B4D" w:rsidSect="0042266D">
      <w:pgSz w:w="11909" w:h="16834"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6002"/>
    <w:multiLevelType w:val="hybridMultilevel"/>
    <w:tmpl w:val="F548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7B6B"/>
    <w:multiLevelType w:val="hybridMultilevel"/>
    <w:tmpl w:val="170A3C80"/>
    <w:lvl w:ilvl="0" w:tplc="81B220A4">
      <w:start w:val="1"/>
      <w:numFmt w:val="lowerLetter"/>
      <w:lvlText w:val="%1."/>
      <w:lvlJc w:val="left"/>
      <w:pPr>
        <w:ind w:left="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76C316">
      <w:start w:val="1"/>
      <w:numFmt w:val="lowerLetter"/>
      <w:lvlText w:val="%2"/>
      <w:lvlJc w:val="left"/>
      <w:pPr>
        <w:ind w:left="1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3C4FDC">
      <w:start w:val="1"/>
      <w:numFmt w:val="lowerRoman"/>
      <w:lvlText w:val="%3"/>
      <w:lvlJc w:val="left"/>
      <w:pPr>
        <w:ind w:left="2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8AC2B8">
      <w:start w:val="1"/>
      <w:numFmt w:val="decimal"/>
      <w:lvlText w:val="%4"/>
      <w:lvlJc w:val="left"/>
      <w:pPr>
        <w:ind w:left="29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B66774">
      <w:start w:val="1"/>
      <w:numFmt w:val="lowerLetter"/>
      <w:lvlText w:val="%5"/>
      <w:lvlJc w:val="left"/>
      <w:pPr>
        <w:ind w:left="37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742CB2">
      <w:start w:val="1"/>
      <w:numFmt w:val="lowerRoman"/>
      <w:lvlText w:val="%6"/>
      <w:lvlJc w:val="left"/>
      <w:pPr>
        <w:ind w:left="4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0F825DC">
      <w:start w:val="1"/>
      <w:numFmt w:val="decimal"/>
      <w:lvlText w:val="%7"/>
      <w:lvlJc w:val="left"/>
      <w:pPr>
        <w:ind w:left="5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FF8DDD8">
      <w:start w:val="1"/>
      <w:numFmt w:val="lowerLetter"/>
      <w:lvlText w:val="%8"/>
      <w:lvlJc w:val="left"/>
      <w:pPr>
        <w:ind w:left="5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78062C">
      <w:start w:val="1"/>
      <w:numFmt w:val="lowerRoman"/>
      <w:lvlText w:val="%9"/>
      <w:lvlJc w:val="left"/>
      <w:pPr>
        <w:ind w:left="6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2F010F"/>
    <w:multiLevelType w:val="hybridMultilevel"/>
    <w:tmpl w:val="72AEE73C"/>
    <w:lvl w:ilvl="0" w:tplc="66E4D93E">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BE7AFE">
      <w:start w:val="1"/>
      <w:numFmt w:val="lowerLetter"/>
      <w:lvlText w:val="%2"/>
      <w:lvlJc w:val="left"/>
      <w:pPr>
        <w:ind w:left="1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00AA54">
      <w:start w:val="1"/>
      <w:numFmt w:val="lowerRoman"/>
      <w:lvlText w:val="%3"/>
      <w:lvlJc w:val="left"/>
      <w:pPr>
        <w:ind w:left="2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02212">
      <w:start w:val="1"/>
      <w:numFmt w:val="decimal"/>
      <w:lvlText w:val="%4"/>
      <w:lvlJc w:val="left"/>
      <w:pPr>
        <w:ind w:left="2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8B1E0">
      <w:start w:val="1"/>
      <w:numFmt w:val="lowerLetter"/>
      <w:lvlText w:val="%5"/>
      <w:lvlJc w:val="left"/>
      <w:pPr>
        <w:ind w:left="3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B68C98">
      <w:start w:val="1"/>
      <w:numFmt w:val="lowerRoman"/>
      <w:lvlText w:val="%6"/>
      <w:lvlJc w:val="left"/>
      <w:pPr>
        <w:ind w:left="4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78FE26">
      <w:start w:val="1"/>
      <w:numFmt w:val="decimal"/>
      <w:lvlText w:val="%7"/>
      <w:lvlJc w:val="left"/>
      <w:pPr>
        <w:ind w:left="5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F232CE">
      <w:start w:val="1"/>
      <w:numFmt w:val="lowerLetter"/>
      <w:lvlText w:val="%8"/>
      <w:lvlJc w:val="left"/>
      <w:pPr>
        <w:ind w:left="5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26115E">
      <w:start w:val="1"/>
      <w:numFmt w:val="lowerRoman"/>
      <w:lvlText w:val="%9"/>
      <w:lvlJc w:val="left"/>
      <w:pPr>
        <w:ind w:left="6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4A5918"/>
    <w:multiLevelType w:val="hybridMultilevel"/>
    <w:tmpl w:val="0C6A9EDA"/>
    <w:lvl w:ilvl="0" w:tplc="20A26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F46B5B"/>
    <w:multiLevelType w:val="hybridMultilevel"/>
    <w:tmpl w:val="17964FBE"/>
    <w:lvl w:ilvl="0" w:tplc="05BA3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6" w15:restartNumberingAfterBreak="0">
    <w:nsid w:val="31C51C6D"/>
    <w:multiLevelType w:val="hybridMultilevel"/>
    <w:tmpl w:val="CEF4F4CA"/>
    <w:lvl w:ilvl="0" w:tplc="A0CA07C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7E3A4C34"/>
    <w:multiLevelType w:val="hybridMultilevel"/>
    <w:tmpl w:val="0C183648"/>
    <w:lvl w:ilvl="0" w:tplc="48380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9D"/>
    <w:rsid w:val="003535CA"/>
    <w:rsid w:val="0042266D"/>
    <w:rsid w:val="00A46B68"/>
    <w:rsid w:val="00D8319D"/>
    <w:rsid w:val="00E8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C0043-56C4-465C-9793-DDCB98F4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D8319D"/>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numbering" w:customStyle="1" w:styleId="Judgments">
    <w:name w:val="Judgments"/>
    <w:uiPriority w:val="99"/>
    <w:rsid w:val="00D8319D"/>
    <w:pPr>
      <w:numPr>
        <w:numId w:val="1"/>
      </w:numPr>
    </w:pPr>
  </w:style>
  <w:style w:type="paragraph" w:styleId="ListParagraph">
    <w:name w:val="List Paragraph"/>
    <w:basedOn w:val="Normal"/>
    <w:uiPriority w:val="34"/>
    <w:qFormat/>
    <w:rsid w:val="00D8319D"/>
    <w:pPr>
      <w:ind w:left="720"/>
      <w:contextualSpacing/>
    </w:pPr>
  </w:style>
  <w:style w:type="paragraph" w:styleId="NoSpacing">
    <w:name w:val="No Spacing"/>
    <w:uiPriority w:val="1"/>
    <w:qFormat/>
    <w:rsid w:val="00D8319D"/>
    <w:pPr>
      <w:spacing w:after="0" w:line="240" w:lineRule="auto"/>
    </w:pPr>
  </w:style>
  <w:style w:type="table" w:customStyle="1" w:styleId="TableGrid">
    <w:name w:val="TableGrid"/>
    <w:rsid w:val="00D8319D"/>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2</cp:revision>
  <cp:lastPrinted>2022-08-17T07:25:00Z</cp:lastPrinted>
  <dcterms:created xsi:type="dcterms:W3CDTF">2022-08-17T07:01:00Z</dcterms:created>
  <dcterms:modified xsi:type="dcterms:W3CDTF">2022-08-17T10:51:00Z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