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271" w:rsidRPr="00F0095A" w:rsidRDefault="00D02271" w:rsidP="00D02271">
      <w:pPr>
        <w:tabs>
          <w:tab w:val="left" w:pos="4092"/>
        </w:tabs>
        <w:spacing w:after="0" w:line="240" w:lineRule="auto"/>
        <w:jc w:val="center"/>
        <w:rPr>
          <w:rFonts w:ascii="Times New Roman" w:hAnsi="Times New Roman"/>
          <w:b/>
          <w:sz w:val="24"/>
          <w:szCs w:val="24"/>
        </w:rPr>
      </w:pPr>
      <w:r w:rsidRPr="00F0095A">
        <w:rPr>
          <w:rFonts w:ascii="Times New Roman" w:hAnsi="Times New Roman"/>
          <w:b/>
          <w:sz w:val="24"/>
          <w:szCs w:val="24"/>
        </w:rPr>
        <w:t>SUPREME COURT OF SEYCHELLES</w:t>
      </w:r>
    </w:p>
    <w:p w:rsidR="00D02271" w:rsidRPr="00F0095A" w:rsidRDefault="00D02271" w:rsidP="00D02271">
      <w:pPr>
        <w:pBdr>
          <w:bottom w:val="single" w:sz="4" w:space="1" w:color="auto"/>
        </w:pBdr>
        <w:tabs>
          <w:tab w:val="left" w:pos="4092"/>
        </w:tabs>
        <w:spacing w:line="240" w:lineRule="auto"/>
        <w:jc w:val="center"/>
        <w:rPr>
          <w:rFonts w:ascii="Times New Roman" w:hAnsi="Times New Roman"/>
          <w:b/>
          <w:sz w:val="24"/>
          <w:szCs w:val="24"/>
        </w:rPr>
      </w:pPr>
    </w:p>
    <w:p w:rsidR="00D02271" w:rsidRPr="00F0095A" w:rsidRDefault="00D02271" w:rsidP="00D02271">
      <w:pPr>
        <w:spacing w:after="0" w:line="240" w:lineRule="auto"/>
        <w:ind w:left="5580"/>
        <w:rPr>
          <w:rFonts w:ascii="Times New Roman" w:hAnsi="Times New Roman"/>
          <w:b/>
          <w:sz w:val="24"/>
          <w:szCs w:val="24"/>
          <w:u w:val="single"/>
        </w:rPr>
      </w:pPr>
      <w:r w:rsidRPr="00F0095A">
        <w:rPr>
          <w:rFonts w:ascii="Times New Roman" w:hAnsi="Times New Roman"/>
          <w:b/>
          <w:sz w:val="24"/>
          <w:szCs w:val="24"/>
          <w:u w:val="single"/>
        </w:rPr>
        <w:t xml:space="preserve">Reportable </w:t>
      </w:r>
    </w:p>
    <w:p w:rsidR="00B66D95" w:rsidRPr="00200020" w:rsidRDefault="009042D0" w:rsidP="00B66D95">
      <w:pPr>
        <w:spacing w:after="0" w:line="240" w:lineRule="auto"/>
        <w:ind w:left="5580"/>
        <w:rPr>
          <w:rFonts w:ascii="Times New Roman" w:hAnsi="Times New Roman"/>
          <w:b/>
          <w:sz w:val="24"/>
          <w:szCs w:val="24"/>
        </w:rPr>
      </w:pPr>
      <w:r>
        <w:rPr>
          <w:rFonts w:ascii="Times New Roman" w:hAnsi="Times New Roman"/>
          <w:sz w:val="24"/>
          <w:szCs w:val="24"/>
        </w:rPr>
        <w:t>[2022</w:t>
      </w:r>
      <w:r w:rsidR="00B66D95">
        <w:rPr>
          <w:rFonts w:ascii="Times New Roman" w:hAnsi="Times New Roman"/>
          <w:sz w:val="24"/>
          <w:szCs w:val="24"/>
        </w:rPr>
        <w:t xml:space="preserve">] SCSC </w:t>
      </w:r>
      <w:r w:rsidR="00200020">
        <w:rPr>
          <w:rFonts w:ascii="Times New Roman" w:hAnsi="Times New Roman"/>
          <w:b/>
          <w:sz w:val="24"/>
          <w:szCs w:val="24"/>
        </w:rPr>
        <w:t>981</w:t>
      </w:r>
    </w:p>
    <w:p w:rsidR="00D02271" w:rsidRPr="00F0095A" w:rsidRDefault="00D02271" w:rsidP="00B66D95">
      <w:pPr>
        <w:spacing w:after="0" w:line="240" w:lineRule="auto"/>
        <w:ind w:left="5580"/>
        <w:rPr>
          <w:rFonts w:ascii="Times New Roman" w:hAnsi="Times New Roman"/>
          <w:sz w:val="24"/>
          <w:szCs w:val="24"/>
        </w:rPr>
      </w:pPr>
      <w:r w:rsidRPr="00F0095A">
        <w:rPr>
          <w:rFonts w:ascii="Times New Roman" w:hAnsi="Times New Roman"/>
          <w:sz w:val="24"/>
          <w:szCs w:val="24"/>
        </w:rPr>
        <w:t>CO</w:t>
      </w:r>
      <w:r w:rsidR="009C2F44">
        <w:rPr>
          <w:rFonts w:ascii="Times New Roman" w:hAnsi="Times New Roman"/>
          <w:sz w:val="24"/>
          <w:szCs w:val="24"/>
        </w:rPr>
        <w:t>114</w:t>
      </w:r>
      <w:r w:rsidRPr="00F0095A">
        <w:rPr>
          <w:rFonts w:ascii="Times New Roman" w:hAnsi="Times New Roman"/>
          <w:sz w:val="24"/>
          <w:szCs w:val="24"/>
        </w:rPr>
        <w:t>/20</w:t>
      </w:r>
      <w:r w:rsidR="00D90F0B">
        <w:rPr>
          <w:rFonts w:ascii="Times New Roman" w:hAnsi="Times New Roman"/>
          <w:sz w:val="24"/>
          <w:szCs w:val="24"/>
        </w:rPr>
        <w:t>21</w:t>
      </w:r>
    </w:p>
    <w:p w:rsidR="00D02271" w:rsidRPr="00F0095A" w:rsidRDefault="00D02271" w:rsidP="00D02271">
      <w:pPr>
        <w:spacing w:after="0" w:line="240" w:lineRule="auto"/>
        <w:ind w:left="5580"/>
        <w:rPr>
          <w:rFonts w:ascii="Times New Roman" w:hAnsi="Times New Roman"/>
          <w:sz w:val="24"/>
          <w:szCs w:val="24"/>
        </w:rPr>
      </w:pPr>
    </w:p>
    <w:p w:rsidR="00D02271" w:rsidRPr="009042D0" w:rsidRDefault="009042D0" w:rsidP="009042D0">
      <w:pPr>
        <w:tabs>
          <w:tab w:val="left" w:pos="540"/>
          <w:tab w:val="left" w:pos="4092"/>
        </w:tabs>
        <w:spacing w:after="0" w:line="240" w:lineRule="auto"/>
        <w:rPr>
          <w:rFonts w:ascii="Times New Roman" w:hAnsi="Times New Roman"/>
          <w:sz w:val="24"/>
          <w:szCs w:val="24"/>
        </w:rPr>
      </w:pPr>
      <w:r>
        <w:rPr>
          <w:rFonts w:ascii="Times New Roman" w:hAnsi="Times New Roman"/>
          <w:sz w:val="24"/>
          <w:szCs w:val="24"/>
        </w:rPr>
        <w:t>In the matter between</w:t>
      </w:r>
    </w:p>
    <w:p w:rsidR="00D02271" w:rsidRPr="00DE0EFD" w:rsidRDefault="00DE0EFD" w:rsidP="00D02271">
      <w:pPr>
        <w:tabs>
          <w:tab w:val="left" w:pos="4092"/>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02271" w:rsidRPr="00D02271" w:rsidRDefault="00D02271" w:rsidP="00D02271">
      <w:pPr>
        <w:tabs>
          <w:tab w:val="left" w:pos="4092"/>
        </w:tabs>
        <w:spacing w:after="0" w:line="240" w:lineRule="auto"/>
        <w:rPr>
          <w:rFonts w:ascii="Times New Roman" w:hAnsi="Times New Roman" w:cs="Times New Roman"/>
          <w:sz w:val="24"/>
          <w:szCs w:val="24"/>
        </w:rPr>
      </w:pPr>
    </w:p>
    <w:p w:rsidR="00D02271" w:rsidRDefault="001F6571" w:rsidP="00D02271">
      <w:pPr>
        <w:tabs>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ANTI-CORRUPTION COMMISSION</w:t>
      </w:r>
      <w:bookmarkStart w:id="0" w:name="_GoBack"/>
      <w:bookmarkEnd w:id="0"/>
      <w:r w:rsidR="009042D0">
        <w:rPr>
          <w:rFonts w:ascii="Times New Roman" w:hAnsi="Times New Roman" w:cs="Times New Roman"/>
          <w:b/>
          <w:sz w:val="24"/>
          <w:szCs w:val="24"/>
        </w:rPr>
        <w:tab/>
      </w:r>
      <w:r w:rsidR="009042D0">
        <w:rPr>
          <w:rFonts w:ascii="Times New Roman" w:hAnsi="Times New Roman" w:cs="Times New Roman"/>
          <w:b/>
          <w:sz w:val="24"/>
          <w:szCs w:val="24"/>
        </w:rPr>
        <w:tab/>
      </w:r>
      <w:r w:rsidR="009042D0">
        <w:rPr>
          <w:rFonts w:ascii="Times New Roman" w:hAnsi="Times New Roman" w:cs="Times New Roman"/>
          <w:b/>
          <w:sz w:val="24"/>
          <w:szCs w:val="24"/>
        </w:rPr>
        <w:tab/>
      </w:r>
      <w:r w:rsidR="009042D0">
        <w:rPr>
          <w:rFonts w:ascii="Times New Roman" w:hAnsi="Times New Roman" w:cs="Times New Roman"/>
          <w:b/>
          <w:sz w:val="24"/>
          <w:szCs w:val="24"/>
        </w:rPr>
        <w:tab/>
      </w:r>
    </w:p>
    <w:p w:rsidR="00D02271" w:rsidRDefault="009042D0" w:rsidP="00D02271">
      <w:pPr>
        <w:tabs>
          <w:tab w:val="left" w:pos="4092"/>
        </w:tabs>
        <w:spacing w:after="0" w:line="240" w:lineRule="auto"/>
        <w:rPr>
          <w:rFonts w:ascii="Times New Roman" w:hAnsi="Times New Roman" w:cs="Times New Roman"/>
          <w:b/>
          <w:sz w:val="24"/>
          <w:szCs w:val="24"/>
        </w:rPr>
      </w:pPr>
      <w:r>
        <w:rPr>
          <w:rFonts w:ascii="Times New Roman" w:hAnsi="Times New Roman" w:cs="Times New Roman"/>
          <w:i/>
          <w:sz w:val="24"/>
          <w:szCs w:val="24"/>
        </w:rPr>
        <w:t xml:space="preserve">(rep. by </w:t>
      </w:r>
      <w:r w:rsidR="009C2F44">
        <w:rPr>
          <w:rFonts w:ascii="Times New Roman" w:hAnsi="Times New Roman" w:cs="Times New Roman"/>
          <w:i/>
          <w:sz w:val="24"/>
          <w:szCs w:val="24"/>
        </w:rPr>
        <w:t xml:space="preserve">Mr </w:t>
      </w:r>
      <w:proofErr w:type="spellStart"/>
      <w:r w:rsidR="009C2F44">
        <w:rPr>
          <w:rFonts w:ascii="Times New Roman" w:hAnsi="Times New Roman" w:cs="Times New Roman"/>
          <w:i/>
          <w:sz w:val="24"/>
          <w:szCs w:val="24"/>
        </w:rPr>
        <w:t>Skeely</w:t>
      </w:r>
      <w:proofErr w:type="spellEnd"/>
      <w:r w:rsidR="00D02271" w:rsidRPr="00D02271">
        <w:rPr>
          <w:rFonts w:ascii="Times New Roman" w:hAnsi="Times New Roman" w:cs="Times New Roman"/>
          <w:i/>
          <w:sz w:val="24"/>
          <w:szCs w:val="24"/>
        </w:rPr>
        <w:t>)</w:t>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p>
    <w:p w:rsidR="00D02271" w:rsidRDefault="00D02271" w:rsidP="00D02271">
      <w:pPr>
        <w:tabs>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D02271" w:rsidRDefault="00D02271" w:rsidP="00D02271">
      <w:pPr>
        <w:tabs>
          <w:tab w:val="left" w:pos="4092"/>
        </w:tabs>
        <w:spacing w:after="0" w:line="240" w:lineRule="auto"/>
        <w:rPr>
          <w:rFonts w:ascii="Times New Roman" w:hAnsi="Times New Roman" w:cs="Times New Roman"/>
          <w:b/>
          <w:sz w:val="24"/>
          <w:szCs w:val="24"/>
        </w:rPr>
      </w:pPr>
    </w:p>
    <w:p w:rsidR="00D02271" w:rsidRPr="00D02271" w:rsidRDefault="00D02271" w:rsidP="00D02271">
      <w:pPr>
        <w:tabs>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D02271">
        <w:rPr>
          <w:rFonts w:ascii="Times New Roman" w:hAnsi="Times New Roman" w:cs="Times New Roman"/>
          <w:sz w:val="24"/>
          <w:szCs w:val="24"/>
        </w:rPr>
        <w:t>nd</w:t>
      </w:r>
    </w:p>
    <w:p w:rsidR="00D02271" w:rsidRDefault="00D02271" w:rsidP="00D02271">
      <w:pPr>
        <w:tabs>
          <w:tab w:val="left" w:pos="4092"/>
        </w:tabs>
        <w:spacing w:after="0" w:line="240" w:lineRule="auto"/>
        <w:rPr>
          <w:rFonts w:ascii="Times New Roman" w:hAnsi="Times New Roman" w:cs="Times New Roman"/>
          <w:b/>
          <w:sz w:val="24"/>
          <w:szCs w:val="24"/>
        </w:rPr>
      </w:pPr>
    </w:p>
    <w:p w:rsidR="00D02271" w:rsidRDefault="00DA62EA" w:rsidP="00D02271">
      <w:pPr>
        <w:tabs>
          <w:tab w:val="left" w:pos="4092"/>
        </w:tabs>
        <w:spacing w:after="0" w:line="240" w:lineRule="auto"/>
        <w:rPr>
          <w:rFonts w:ascii="Times New Roman" w:hAnsi="Times New Roman" w:cs="Times New Roman"/>
          <w:b/>
          <w:sz w:val="24"/>
          <w:szCs w:val="24"/>
        </w:rPr>
      </w:pPr>
      <w:r>
        <w:rPr>
          <w:rFonts w:ascii="Times New Roman" w:hAnsi="Times New Roman" w:cs="Times New Roman"/>
          <w:b/>
          <w:sz w:val="24"/>
          <w:szCs w:val="24"/>
        </w:rPr>
        <w:t>MUKESH VALABHJI</w:t>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r w:rsidR="00D02271">
        <w:rPr>
          <w:rFonts w:ascii="Times New Roman" w:hAnsi="Times New Roman" w:cs="Times New Roman"/>
          <w:b/>
          <w:sz w:val="24"/>
          <w:szCs w:val="24"/>
        </w:rPr>
        <w:tab/>
      </w:r>
      <w:r>
        <w:rPr>
          <w:rFonts w:ascii="Times New Roman" w:hAnsi="Times New Roman" w:cs="Times New Roman"/>
          <w:b/>
          <w:sz w:val="24"/>
          <w:szCs w:val="24"/>
        </w:rPr>
        <w:t>1</w:t>
      </w:r>
      <w:r w:rsidRPr="00DA62EA">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009C2F44">
        <w:rPr>
          <w:rFonts w:ascii="Times New Roman" w:hAnsi="Times New Roman" w:cs="Times New Roman"/>
          <w:b/>
          <w:sz w:val="24"/>
          <w:szCs w:val="24"/>
        </w:rPr>
        <w:t>Accused</w:t>
      </w:r>
    </w:p>
    <w:p w:rsidR="002E0A09" w:rsidRDefault="00D90F0B" w:rsidP="00D02271">
      <w:pPr>
        <w:tabs>
          <w:tab w:val="left" w:pos="4092"/>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(rep. by </w:t>
      </w:r>
      <w:r w:rsidR="009C2F44">
        <w:rPr>
          <w:rFonts w:ascii="Times New Roman" w:hAnsi="Times New Roman" w:cs="Times New Roman"/>
          <w:i/>
          <w:sz w:val="24"/>
          <w:szCs w:val="24"/>
        </w:rPr>
        <w:t xml:space="preserve">Mr </w:t>
      </w:r>
      <w:proofErr w:type="spellStart"/>
      <w:r w:rsidR="009C2F44">
        <w:rPr>
          <w:rFonts w:ascii="Times New Roman" w:hAnsi="Times New Roman" w:cs="Times New Roman"/>
          <w:i/>
          <w:sz w:val="24"/>
          <w:szCs w:val="24"/>
        </w:rPr>
        <w:t>Bonte</w:t>
      </w:r>
      <w:proofErr w:type="spellEnd"/>
      <w:r w:rsidR="00D02271" w:rsidRPr="00D02271">
        <w:rPr>
          <w:rFonts w:ascii="Times New Roman" w:hAnsi="Times New Roman" w:cs="Times New Roman"/>
          <w:i/>
          <w:sz w:val="24"/>
          <w:szCs w:val="24"/>
        </w:rPr>
        <w:t>)</w:t>
      </w:r>
    </w:p>
    <w:p w:rsidR="00DA62EA" w:rsidRDefault="00DA62EA" w:rsidP="00D02271">
      <w:pPr>
        <w:tabs>
          <w:tab w:val="left" w:pos="4092"/>
        </w:tabs>
        <w:spacing w:after="0" w:line="240" w:lineRule="auto"/>
      </w:pPr>
    </w:p>
    <w:p w:rsidR="002E0A09" w:rsidRPr="00DA62EA" w:rsidRDefault="00DA62EA" w:rsidP="002E0A09">
      <w:pPr>
        <w:tabs>
          <w:tab w:val="left" w:pos="540"/>
          <w:tab w:val="left" w:pos="4092"/>
          <w:tab w:val="left" w:pos="5580"/>
        </w:tabs>
        <w:spacing w:after="0" w:line="240" w:lineRule="auto"/>
        <w:rPr>
          <w:rFonts w:ascii="Times New Roman" w:hAnsi="Times New Roman" w:cs="Times New Roman"/>
          <w:sz w:val="24"/>
          <w:szCs w:val="24"/>
        </w:rPr>
      </w:pPr>
      <w:r w:rsidRPr="00DA62EA">
        <w:rPr>
          <w:rFonts w:ascii="Times New Roman" w:hAnsi="Times New Roman" w:cs="Times New Roman"/>
          <w:b/>
          <w:sz w:val="24"/>
          <w:szCs w:val="24"/>
        </w:rPr>
        <w:t xml:space="preserve"> LAURA VALABHJI</w:t>
      </w:r>
      <w:r>
        <w:rPr>
          <w:rFonts w:ascii="Times New Roman" w:hAnsi="Times New Roman" w:cs="Times New Roman"/>
          <w:b/>
          <w:sz w:val="24"/>
          <w:szCs w:val="24"/>
        </w:rPr>
        <w:t xml:space="preserve">                                                           2</w:t>
      </w:r>
      <w:r w:rsidRPr="00DA62EA">
        <w:rPr>
          <w:rFonts w:ascii="Times New Roman" w:hAnsi="Times New Roman" w:cs="Times New Roman"/>
          <w:b/>
          <w:sz w:val="24"/>
          <w:szCs w:val="24"/>
          <w:vertAlign w:val="superscript"/>
        </w:rPr>
        <w:t>nd</w:t>
      </w:r>
      <w:r>
        <w:rPr>
          <w:rFonts w:ascii="Times New Roman" w:hAnsi="Times New Roman" w:cs="Times New Roman"/>
          <w:b/>
          <w:sz w:val="24"/>
          <w:szCs w:val="24"/>
        </w:rPr>
        <w:t xml:space="preserve"> Accused</w:t>
      </w:r>
    </w:p>
    <w:p w:rsidR="00DA62EA" w:rsidRPr="00DA62EA" w:rsidRDefault="00DA62EA" w:rsidP="002E0A09">
      <w:pPr>
        <w:tabs>
          <w:tab w:val="left" w:pos="540"/>
          <w:tab w:val="left" w:pos="4092"/>
          <w:tab w:val="left" w:pos="5580"/>
        </w:tabs>
        <w:spacing w:after="0" w:line="240" w:lineRule="auto"/>
        <w:rPr>
          <w:rFonts w:ascii="Times New Roman" w:hAnsi="Times New Roman" w:cs="Times New Roman"/>
          <w:i/>
          <w:sz w:val="24"/>
          <w:szCs w:val="24"/>
        </w:rPr>
      </w:pPr>
      <w:proofErr w:type="gramStart"/>
      <w:r w:rsidRPr="00DA62EA">
        <w:rPr>
          <w:rFonts w:ascii="Times New Roman" w:hAnsi="Times New Roman" w:cs="Times New Roman"/>
          <w:i/>
          <w:sz w:val="24"/>
          <w:szCs w:val="24"/>
        </w:rPr>
        <w:t>( in</w:t>
      </w:r>
      <w:proofErr w:type="gramEnd"/>
      <w:r w:rsidRPr="00DA62EA">
        <w:rPr>
          <w:rFonts w:ascii="Times New Roman" w:hAnsi="Times New Roman" w:cs="Times New Roman"/>
          <w:i/>
          <w:sz w:val="24"/>
          <w:szCs w:val="24"/>
        </w:rPr>
        <w:t xml:space="preserve"> person</w:t>
      </w:r>
      <w:r>
        <w:rPr>
          <w:rFonts w:ascii="Times New Roman" w:hAnsi="Times New Roman" w:cs="Times New Roman"/>
          <w:i/>
          <w:sz w:val="24"/>
          <w:szCs w:val="24"/>
        </w:rPr>
        <w:t xml:space="preserve"> </w:t>
      </w:r>
      <w:r w:rsidRPr="00DA62EA">
        <w:rPr>
          <w:rFonts w:ascii="Times New Roman" w:hAnsi="Times New Roman" w:cs="Times New Roman"/>
          <w:i/>
          <w:sz w:val="24"/>
          <w:szCs w:val="24"/>
        </w:rPr>
        <w:t>)</w:t>
      </w:r>
    </w:p>
    <w:p w:rsidR="002E0A09" w:rsidRPr="00DA62EA" w:rsidRDefault="002E0A09" w:rsidP="002E0A09">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2E0A09" w:rsidRDefault="002E0A09" w:rsidP="002E0A09">
      <w:pPr>
        <w:spacing w:before="120" w:after="0" w:line="240" w:lineRule="auto"/>
        <w:ind w:left="1886" w:hanging="1886"/>
        <w:rPr>
          <w:rFonts w:ascii="Times New Roman" w:hAnsi="Times New Roman" w:cs="Times New Roman"/>
          <w:sz w:val="24"/>
          <w:szCs w:val="24"/>
        </w:rPr>
      </w:pPr>
      <w:r>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Republic</w:t>
      </w:r>
      <w:r w:rsidR="009C2F44">
        <w:rPr>
          <w:rFonts w:ascii="Times New Roman" w:hAnsi="Times New Roman" w:cs="Times New Roman"/>
          <w:i/>
          <w:sz w:val="24"/>
          <w:szCs w:val="24"/>
        </w:rPr>
        <w:t xml:space="preserve"> v </w:t>
      </w:r>
      <w:proofErr w:type="spellStart"/>
      <w:r w:rsidR="009C2F44">
        <w:rPr>
          <w:rFonts w:ascii="Times New Roman" w:hAnsi="Times New Roman" w:cs="Times New Roman"/>
          <w:i/>
          <w:sz w:val="24"/>
          <w:szCs w:val="24"/>
        </w:rPr>
        <w:t>Valabhji</w:t>
      </w:r>
      <w:proofErr w:type="spellEnd"/>
      <w:r w:rsidR="009C2F44">
        <w:rPr>
          <w:rFonts w:ascii="Times New Roman" w:hAnsi="Times New Roman" w:cs="Times New Roman"/>
          <w:i/>
          <w:sz w:val="24"/>
          <w:szCs w:val="24"/>
        </w:rPr>
        <w:t xml:space="preserve"> &amp; </w:t>
      </w:r>
      <w:proofErr w:type="spellStart"/>
      <w:r w:rsidR="009C2F44">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w:t>
      </w:r>
      <w:r w:rsidR="00DE0EFD">
        <w:rPr>
          <w:rFonts w:ascii="Times New Roman" w:hAnsi="Times New Roman" w:cs="Times New Roman"/>
          <w:sz w:val="24"/>
          <w:szCs w:val="24"/>
        </w:rPr>
        <w:t>C</w:t>
      </w:r>
      <w:r w:rsidR="009C2F44">
        <w:rPr>
          <w:rFonts w:ascii="Times New Roman" w:hAnsi="Times New Roman" w:cs="Times New Roman"/>
          <w:sz w:val="24"/>
          <w:szCs w:val="24"/>
        </w:rPr>
        <w:t>O114</w:t>
      </w:r>
      <w:r w:rsidR="009042D0">
        <w:rPr>
          <w:rFonts w:ascii="Times New Roman" w:hAnsi="Times New Roman" w:cs="Times New Roman"/>
          <w:sz w:val="24"/>
          <w:szCs w:val="24"/>
        </w:rPr>
        <w:t>/2</w:t>
      </w:r>
      <w:r w:rsidR="009C2F44">
        <w:rPr>
          <w:rFonts w:ascii="Times New Roman" w:hAnsi="Times New Roman" w:cs="Times New Roman"/>
          <w:sz w:val="24"/>
          <w:szCs w:val="24"/>
        </w:rPr>
        <w:t>1</w:t>
      </w:r>
      <w:r w:rsidR="00D02271">
        <w:rPr>
          <w:rFonts w:ascii="Times New Roman" w:hAnsi="Times New Roman" w:cs="Times New Roman"/>
          <w:sz w:val="24"/>
          <w:szCs w:val="24"/>
        </w:rPr>
        <w:t>] [202</w:t>
      </w:r>
      <w:r w:rsidR="009C2F44">
        <w:rPr>
          <w:rFonts w:ascii="Times New Roman" w:hAnsi="Times New Roman" w:cs="Times New Roman"/>
          <w:sz w:val="24"/>
          <w:szCs w:val="24"/>
        </w:rPr>
        <w:t>2</w:t>
      </w:r>
      <w:r w:rsidR="009042D0">
        <w:rPr>
          <w:rFonts w:ascii="Times New Roman" w:hAnsi="Times New Roman" w:cs="Times New Roman"/>
          <w:sz w:val="24"/>
          <w:szCs w:val="24"/>
        </w:rPr>
        <w:t xml:space="preserve">] SCSC </w:t>
      </w:r>
      <w:r w:rsidR="00200020">
        <w:rPr>
          <w:rFonts w:ascii="Times New Roman" w:hAnsi="Times New Roman" w:cs="Times New Roman"/>
          <w:b/>
          <w:sz w:val="24"/>
          <w:szCs w:val="24"/>
        </w:rPr>
        <w:t>981</w:t>
      </w:r>
      <w:r w:rsidR="00D90F0B">
        <w:rPr>
          <w:rFonts w:ascii="Times New Roman" w:hAnsi="Times New Roman" w:cs="Times New Roman"/>
          <w:sz w:val="24"/>
          <w:szCs w:val="24"/>
        </w:rPr>
        <w:t xml:space="preserve">  </w:t>
      </w:r>
      <w:r w:rsidR="009C2F44">
        <w:rPr>
          <w:rFonts w:ascii="Times New Roman" w:hAnsi="Times New Roman" w:cs="Times New Roman"/>
          <w:sz w:val="24"/>
          <w:szCs w:val="24"/>
        </w:rPr>
        <w:t xml:space="preserve">   </w:t>
      </w:r>
      <w:r w:rsidR="00D90F0B">
        <w:rPr>
          <w:rFonts w:ascii="Times New Roman" w:hAnsi="Times New Roman" w:cs="Times New Roman"/>
          <w:sz w:val="24"/>
          <w:szCs w:val="24"/>
        </w:rPr>
        <w:t xml:space="preserve">   </w:t>
      </w:r>
      <w:r w:rsidR="00E335E7">
        <w:rPr>
          <w:rFonts w:ascii="Times New Roman" w:hAnsi="Times New Roman" w:cs="Times New Roman"/>
          <w:sz w:val="24"/>
          <w:szCs w:val="24"/>
        </w:rPr>
        <w:t xml:space="preserve"> </w:t>
      </w:r>
    </w:p>
    <w:p w:rsidR="00DE0EFD" w:rsidRDefault="002E0A09" w:rsidP="00D02271">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 xml:space="preserve">Before: </w:t>
      </w:r>
      <w:r>
        <w:rPr>
          <w:rFonts w:ascii="Times New Roman" w:hAnsi="Times New Roman" w:cs="Times New Roman"/>
          <w:b/>
          <w:sz w:val="24"/>
          <w:szCs w:val="24"/>
        </w:rPr>
        <w:tab/>
      </w:r>
      <w:proofErr w:type="spellStart"/>
      <w:r w:rsidR="009042D0">
        <w:rPr>
          <w:rFonts w:ascii="Times New Roman" w:hAnsi="Times New Roman" w:cs="Times New Roman"/>
          <w:sz w:val="24"/>
          <w:szCs w:val="24"/>
        </w:rPr>
        <w:t>Govinden</w:t>
      </w:r>
      <w:proofErr w:type="spellEnd"/>
      <w:r w:rsidR="009042D0">
        <w:rPr>
          <w:rFonts w:ascii="Times New Roman" w:hAnsi="Times New Roman" w:cs="Times New Roman"/>
          <w:sz w:val="24"/>
          <w:szCs w:val="24"/>
        </w:rPr>
        <w:t xml:space="preserve"> C</w:t>
      </w:r>
      <w:r>
        <w:rPr>
          <w:rFonts w:ascii="Times New Roman" w:hAnsi="Times New Roman" w:cs="Times New Roman"/>
          <w:sz w:val="24"/>
          <w:szCs w:val="24"/>
        </w:rPr>
        <w:t xml:space="preserve">J </w:t>
      </w:r>
    </w:p>
    <w:p w:rsidR="00DA62EA" w:rsidRPr="00DA62EA" w:rsidRDefault="009C2F44" w:rsidP="002E0A09">
      <w:pPr>
        <w:tabs>
          <w:tab w:val="left" w:pos="720"/>
          <w:tab w:val="left" w:pos="1440"/>
          <w:tab w:val="left" w:pos="2160"/>
        </w:tabs>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sidR="00DA62EA">
        <w:rPr>
          <w:rFonts w:ascii="Times New Roman" w:hAnsi="Times New Roman" w:cs="Times New Roman"/>
          <w:b/>
          <w:sz w:val="24"/>
          <w:szCs w:val="24"/>
        </w:rPr>
        <w:t xml:space="preserve">               </w:t>
      </w:r>
      <w:r w:rsidR="00DA62EA" w:rsidRPr="00DA62EA">
        <w:rPr>
          <w:rFonts w:ascii="Times New Roman" w:hAnsi="Times New Roman" w:cs="Times New Roman"/>
          <w:sz w:val="24"/>
          <w:szCs w:val="24"/>
        </w:rPr>
        <w:t>Legal fees can be disbursed from both the private accounts of the 1</w:t>
      </w:r>
      <w:r w:rsidR="00DA62EA" w:rsidRPr="00DA62EA">
        <w:rPr>
          <w:rFonts w:ascii="Times New Roman" w:hAnsi="Times New Roman" w:cs="Times New Roman"/>
          <w:sz w:val="24"/>
          <w:szCs w:val="24"/>
          <w:vertAlign w:val="superscript"/>
        </w:rPr>
        <w:t>st</w:t>
      </w:r>
      <w:r w:rsidR="00DA62EA" w:rsidRPr="00DA62EA">
        <w:rPr>
          <w:rFonts w:ascii="Times New Roman" w:hAnsi="Times New Roman" w:cs="Times New Roman"/>
          <w:sz w:val="24"/>
          <w:szCs w:val="24"/>
        </w:rPr>
        <w:t xml:space="preserve"> and 2</w:t>
      </w:r>
      <w:r w:rsidR="00DA62EA" w:rsidRPr="00DA62EA">
        <w:rPr>
          <w:rFonts w:ascii="Times New Roman" w:hAnsi="Times New Roman" w:cs="Times New Roman"/>
          <w:sz w:val="24"/>
          <w:szCs w:val="24"/>
          <w:vertAlign w:val="superscript"/>
        </w:rPr>
        <w:t>nd</w:t>
      </w:r>
      <w:r w:rsidR="00DA62EA" w:rsidRPr="00DA62EA">
        <w:rPr>
          <w:rFonts w:ascii="Times New Roman" w:hAnsi="Times New Roman" w:cs="Times New Roman"/>
          <w:sz w:val="24"/>
          <w:szCs w:val="24"/>
        </w:rPr>
        <w:t xml:space="preserve"> accused and company’s account in which they hold beneficial interests, provided conditions are met. Legal invoices presented for payment has to be sufficientl</w:t>
      </w:r>
      <w:r w:rsidR="00DA62EA">
        <w:rPr>
          <w:rFonts w:ascii="Times New Roman" w:hAnsi="Times New Roman" w:cs="Times New Roman"/>
          <w:sz w:val="24"/>
          <w:szCs w:val="24"/>
        </w:rPr>
        <w:t>y particularised.</w:t>
      </w:r>
    </w:p>
    <w:p w:rsidR="002E0A09" w:rsidRDefault="00DA62EA" w:rsidP="00DA62EA">
      <w:pPr>
        <w:tabs>
          <w:tab w:val="left" w:pos="720"/>
          <w:tab w:val="left" w:pos="1440"/>
          <w:tab w:val="left" w:pos="216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2E0A09">
        <w:rPr>
          <w:rFonts w:ascii="Times New Roman" w:hAnsi="Times New Roman" w:cs="Times New Roman"/>
          <w:b/>
          <w:sz w:val="24"/>
          <w:szCs w:val="24"/>
        </w:rPr>
        <w:t xml:space="preserve">Heard: </w:t>
      </w:r>
      <w:r w:rsidR="00AE710F">
        <w:rPr>
          <w:rFonts w:ascii="Times New Roman" w:hAnsi="Times New Roman" w:cs="Times New Roman"/>
          <w:sz w:val="24"/>
          <w:szCs w:val="24"/>
        </w:rPr>
        <w:tab/>
        <w:t xml:space="preserve">         4</w:t>
      </w:r>
      <w:r w:rsidR="00AE710F">
        <w:rPr>
          <w:rFonts w:ascii="Times New Roman" w:hAnsi="Times New Roman" w:cs="Times New Roman"/>
          <w:sz w:val="24"/>
          <w:szCs w:val="24"/>
          <w:vertAlign w:val="superscript"/>
        </w:rPr>
        <w:t xml:space="preserve"> </w:t>
      </w:r>
      <w:r w:rsidR="00AE710F">
        <w:rPr>
          <w:rFonts w:ascii="Times New Roman" w:hAnsi="Times New Roman" w:cs="Times New Roman"/>
          <w:sz w:val="24"/>
          <w:szCs w:val="24"/>
        </w:rPr>
        <w:t>November 2022</w:t>
      </w:r>
    </w:p>
    <w:p w:rsidR="002E0A09" w:rsidRDefault="00D02271" w:rsidP="002E0A09">
      <w:pPr>
        <w:pBdr>
          <w:bottom w:val="single" w:sz="4" w:space="1" w:color="auto"/>
        </w:pBd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Delivered:</w:t>
      </w:r>
      <w:r>
        <w:rPr>
          <w:rFonts w:ascii="Times New Roman" w:hAnsi="Times New Roman" w:cs="Times New Roman"/>
          <w:b/>
          <w:sz w:val="24"/>
          <w:szCs w:val="24"/>
        </w:rPr>
        <w:tab/>
      </w:r>
      <w:r w:rsidR="009C2F44" w:rsidRPr="009C2F44">
        <w:rPr>
          <w:rFonts w:ascii="Times New Roman" w:hAnsi="Times New Roman" w:cs="Times New Roman"/>
          <w:sz w:val="24"/>
          <w:szCs w:val="24"/>
        </w:rPr>
        <w:t>10</w:t>
      </w:r>
      <w:r w:rsidR="00F34248" w:rsidRPr="00F34248">
        <w:rPr>
          <w:rFonts w:ascii="Times New Roman" w:hAnsi="Times New Roman" w:cs="Times New Roman"/>
          <w:sz w:val="24"/>
          <w:szCs w:val="24"/>
        </w:rPr>
        <w:t xml:space="preserve"> November 2022</w:t>
      </w:r>
    </w:p>
    <w:p w:rsidR="00B66D95" w:rsidRPr="00D02271" w:rsidRDefault="00B66D95" w:rsidP="002E0A09">
      <w:pPr>
        <w:pBdr>
          <w:bottom w:val="single" w:sz="4" w:space="1" w:color="auto"/>
        </w:pBdr>
        <w:spacing w:after="0" w:line="240" w:lineRule="auto"/>
        <w:ind w:left="1890" w:hanging="1890"/>
        <w:rPr>
          <w:rFonts w:ascii="Times New Roman" w:hAnsi="Times New Roman" w:cs="Times New Roman"/>
          <w:sz w:val="24"/>
          <w:szCs w:val="24"/>
        </w:rPr>
      </w:pPr>
    </w:p>
    <w:p w:rsidR="009C2F44" w:rsidRDefault="009C2F44" w:rsidP="002E0A09">
      <w:pPr>
        <w:pBdr>
          <w:top w:val="single" w:sz="4" w:space="1" w:color="auto"/>
          <w:bottom w:val="single" w:sz="4" w:space="1" w:color="auto"/>
        </w:pBdr>
        <w:tabs>
          <w:tab w:val="left" w:pos="2892"/>
        </w:tabs>
        <w:spacing w:after="0" w:line="276" w:lineRule="auto"/>
        <w:jc w:val="center"/>
      </w:pPr>
      <w:bookmarkStart w:id="1" w:name="Dropdown8"/>
    </w:p>
    <w:p w:rsidR="002E0A09" w:rsidRDefault="002E0A09" w:rsidP="002E0A09">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fldChar w:fldCharType="begin">
          <w:ffData>
            <w:name w:val="Dropdown8"/>
            <w:enabled/>
            <w:calcOnExit w:val="0"/>
            <w:ddList>
              <w:result w:val="1"/>
              <w:listEntry w:val="ORDER"/>
              <w:listEntry w:val="RULING"/>
              <w:listEntry w:val="JUDGMENT BY CONSENT"/>
            </w:ddList>
          </w:ffData>
        </w:fldChar>
      </w:r>
      <w:r>
        <w:rPr>
          <w:rFonts w:ascii="Times New Roman" w:hAnsi="Times New Roman" w:cs="Times New Roman"/>
          <w:b/>
          <w:sz w:val="24"/>
          <w:szCs w:val="24"/>
        </w:rPr>
        <w:instrText xml:space="preserve"> FORMDROPDOWN </w:instrText>
      </w:r>
      <w:r w:rsidR="001F6571">
        <w:fldChar w:fldCharType="separate"/>
      </w:r>
      <w:r>
        <w:fldChar w:fldCharType="end"/>
      </w:r>
      <w:bookmarkEnd w:id="1"/>
      <w:r>
        <w:rPr>
          <w:rFonts w:ascii="Times New Roman" w:hAnsi="Times New Roman" w:cs="Times New Roman"/>
          <w:b/>
          <w:sz w:val="24"/>
          <w:szCs w:val="24"/>
        </w:rPr>
        <w:t xml:space="preserve"> </w:t>
      </w:r>
    </w:p>
    <w:p w:rsidR="002E0A09" w:rsidRDefault="002E0A09" w:rsidP="002E0A09">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2E0A09" w:rsidRDefault="002E0A09" w:rsidP="002E0A09">
      <w:pPr>
        <w:rPr>
          <w:rFonts w:ascii="Times New Roman" w:hAnsi="Times New Roman" w:cs="Times New Roman"/>
          <w:sz w:val="24"/>
          <w:szCs w:val="24"/>
        </w:rPr>
      </w:pPr>
    </w:p>
    <w:p w:rsidR="002E0A09" w:rsidRDefault="00737258" w:rsidP="002E0A09">
      <w:pPr>
        <w:pStyle w:val="JudgmentText"/>
        <w:numPr>
          <w:ilvl w:val="0"/>
          <w:numId w:val="0"/>
        </w:numPr>
        <w:tabs>
          <w:tab w:val="left" w:pos="720"/>
        </w:tabs>
        <w:spacing w:line="480" w:lineRule="auto"/>
        <w:ind w:left="720" w:hanging="720"/>
        <w:rPr>
          <w:b/>
        </w:rPr>
      </w:pPr>
      <w:r>
        <w:rPr>
          <w:b/>
        </w:rPr>
        <w:t>GOVINDEN CJ</w:t>
      </w:r>
    </w:p>
    <w:p w:rsidR="009C2F44" w:rsidRDefault="009C2F44" w:rsidP="00D4482E">
      <w:pPr>
        <w:pStyle w:val="JudgmentText"/>
        <w:numPr>
          <w:ilvl w:val="0"/>
          <w:numId w:val="0"/>
        </w:numPr>
        <w:tabs>
          <w:tab w:val="left" w:pos="720"/>
        </w:tabs>
      </w:pPr>
      <w:r>
        <w:t xml:space="preserve">I have read the letter of Ms Samantha </w:t>
      </w:r>
      <w:proofErr w:type="spellStart"/>
      <w:r>
        <w:t>Aglae</w:t>
      </w:r>
      <w:proofErr w:type="spellEnd"/>
      <w:r>
        <w:t xml:space="preserve"> Attorney of the 2</w:t>
      </w:r>
      <w:r w:rsidRPr="009C2F44">
        <w:rPr>
          <w:vertAlign w:val="superscript"/>
        </w:rPr>
        <w:t>nd</w:t>
      </w:r>
      <w:r>
        <w:t xml:space="preserve"> Accused entitled “RE PAYMENT OF LEGAL FEES FOR MUKESH VALABHJI AND LAURA VALABHJI” and its attachment dated the 21</w:t>
      </w:r>
      <w:r w:rsidRPr="009C2F44">
        <w:rPr>
          <w:vertAlign w:val="superscript"/>
        </w:rPr>
        <w:t>st</w:t>
      </w:r>
      <w:r>
        <w:t xml:space="preserve"> October 2022.  I have also read the letter bearing the same reference from </w:t>
      </w:r>
      <w:r w:rsidR="00FC311A">
        <w:t>the Commissioner of the Anti-Corruption Commission of Seychelles and its attachments</w:t>
      </w:r>
      <w:r w:rsidR="008070B8">
        <w:t>,</w:t>
      </w:r>
      <w:r w:rsidR="00FC311A">
        <w:t xml:space="preserve"> dated the 3</w:t>
      </w:r>
      <w:r w:rsidR="00FC311A" w:rsidRPr="00FC311A">
        <w:rPr>
          <w:vertAlign w:val="superscript"/>
        </w:rPr>
        <w:t>rd</w:t>
      </w:r>
      <w:r w:rsidR="00FC311A">
        <w:t xml:space="preserve"> November 2022 and that of Mr France </w:t>
      </w:r>
      <w:proofErr w:type="spellStart"/>
      <w:r w:rsidR="00FC311A">
        <w:t>Bonte</w:t>
      </w:r>
      <w:proofErr w:type="spellEnd"/>
      <w:r w:rsidR="00FC311A">
        <w:t xml:space="preserve"> bearing the same title dated the 3</w:t>
      </w:r>
      <w:r w:rsidR="00FC311A" w:rsidRPr="00FC311A">
        <w:rPr>
          <w:vertAlign w:val="superscript"/>
        </w:rPr>
        <w:t>rd</w:t>
      </w:r>
      <w:r w:rsidR="00FC311A">
        <w:t xml:space="preserve"> November 2022.  </w:t>
      </w:r>
    </w:p>
    <w:p w:rsidR="009C2F44" w:rsidRDefault="00FC311A" w:rsidP="00D4482E">
      <w:pPr>
        <w:pStyle w:val="JudgmentText"/>
        <w:numPr>
          <w:ilvl w:val="0"/>
          <w:numId w:val="0"/>
        </w:numPr>
        <w:tabs>
          <w:tab w:val="left" w:pos="720"/>
        </w:tabs>
      </w:pPr>
      <w:r>
        <w:lastRenderedPageBreak/>
        <w:t xml:space="preserve">I have also carefully scrutinized the submissions of all counsels in this case on the subject matter of payment of legal fees of Mr and Mrs </w:t>
      </w:r>
      <w:proofErr w:type="spellStart"/>
      <w:r>
        <w:t>Valabhji</w:t>
      </w:r>
      <w:proofErr w:type="spellEnd"/>
      <w:r>
        <w:t xml:space="preserve">.  </w:t>
      </w:r>
    </w:p>
    <w:p w:rsidR="009C2F44" w:rsidRDefault="00FC311A" w:rsidP="00D4482E">
      <w:pPr>
        <w:pStyle w:val="JudgmentText"/>
        <w:numPr>
          <w:ilvl w:val="0"/>
          <w:numId w:val="0"/>
        </w:numPr>
        <w:tabs>
          <w:tab w:val="left" w:pos="720"/>
        </w:tabs>
      </w:pPr>
      <w:r>
        <w:t>The Court proceeded to hear the matter in issue based on the exchange of letters, given that there is apparently no contention on the facts in issue and also based upon the agreement of parties.</w:t>
      </w:r>
    </w:p>
    <w:p w:rsidR="00FC311A" w:rsidRDefault="00FC311A" w:rsidP="00D4482E">
      <w:pPr>
        <w:pStyle w:val="JudgmentText"/>
        <w:numPr>
          <w:ilvl w:val="0"/>
          <w:numId w:val="0"/>
        </w:numPr>
        <w:tabs>
          <w:tab w:val="left" w:pos="720"/>
        </w:tabs>
      </w:pPr>
      <w:r>
        <w:t xml:space="preserve">Having considered all the facts and circumstances of the case and the specific issues that has arisen with regards to the issues of payment of the fees of the accused </w:t>
      </w:r>
      <w:r w:rsidR="008070B8">
        <w:t>of</w:t>
      </w:r>
      <w:r>
        <w:t xml:space="preserve"> both the 1</w:t>
      </w:r>
      <w:r w:rsidRPr="00FC311A">
        <w:rPr>
          <w:vertAlign w:val="superscript"/>
        </w:rPr>
        <w:t>st</w:t>
      </w:r>
      <w:r>
        <w:t xml:space="preserve"> Accused</w:t>
      </w:r>
      <w:r w:rsidR="008070B8">
        <w:t xml:space="preserve"> and the 2</w:t>
      </w:r>
      <w:r w:rsidR="008070B8" w:rsidRPr="008070B8">
        <w:rPr>
          <w:vertAlign w:val="superscript"/>
        </w:rPr>
        <w:t>nd</w:t>
      </w:r>
      <w:r w:rsidR="008070B8">
        <w:t xml:space="preserve"> Accused</w:t>
      </w:r>
      <w:r>
        <w:t xml:space="preserve"> in this case and the </w:t>
      </w:r>
      <w:r w:rsidR="008070B8">
        <w:t>1</w:t>
      </w:r>
      <w:r w:rsidR="008070B8" w:rsidRPr="008070B8">
        <w:rPr>
          <w:vertAlign w:val="superscript"/>
        </w:rPr>
        <w:t>st</w:t>
      </w:r>
      <w:r w:rsidR="008070B8">
        <w:t xml:space="preserve"> and </w:t>
      </w:r>
      <w:r>
        <w:t>2</w:t>
      </w:r>
      <w:r w:rsidR="008070B8" w:rsidRPr="008070B8">
        <w:rPr>
          <w:vertAlign w:val="superscript"/>
        </w:rPr>
        <w:t>nd</w:t>
      </w:r>
      <w:r w:rsidR="008070B8">
        <w:t xml:space="preserve"> </w:t>
      </w:r>
      <w:r>
        <w:t xml:space="preserve">Accused in CR04 of 2021.  For the purpose of </w:t>
      </w:r>
      <w:r w:rsidR="008070B8">
        <w:t>which</w:t>
      </w:r>
      <w:r>
        <w:t xml:space="preserve"> I will refer to them as the 1</w:t>
      </w:r>
      <w:r w:rsidRPr="00FC311A">
        <w:rPr>
          <w:vertAlign w:val="superscript"/>
        </w:rPr>
        <w:t>st</w:t>
      </w:r>
      <w:r>
        <w:t xml:space="preserve"> and 2</w:t>
      </w:r>
      <w:r w:rsidRPr="00FC311A">
        <w:rPr>
          <w:vertAlign w:val="superscript"/>
        </w:rPr>
        <w:t>nd</w:t>
      </w:r>
      <w:r>
        <w:t xml:space="preserve"> Accused </w:t>
      </w:r>
      <w:r w:rsidR="008070B8">
        <w:t>in</w:t>
      </w:r>
      <w:r>
        <w:t xml:space="preserve"> this ruling.  The Court considers that the only issue that is left for determination is a narrow one namely whether or not the 1</w:t>
      </w:r>
      <w:r w:rsidRPr="00FC311A">
        <w:rPr>
          <w:vertAlign w:val="superscript"/>
        </w:rPr>
        <w:t>st</w:t>
      </w:r>
      <w:r>
        <w:t xml:space="preserve"> and 2</w:t>
      </w:r>
      <w:r w:rsidRPr="00FC311A">
        <w:rPr>
          <w:vertAlign w:val="superscript"/>
        </w:rPr>
        <w:t>nd</w:t>
      </w:r>
      <w:r>
        <w:t xml:space="preserve"> Accused can present invoices for payment of their legal fees to a legal entity and what form the invoices should be presented.  It is to be noted that there </w:t>
      </w:r>
      <w:proofErr w:type="gramStart"/>
      <w:r>
        <w:t>is</w:t>
      </w:r>
      <w:proofErr w:type="gramEnd"/>
      <w:r>
        <w:t xml:space="preserve"> no contentions with regards to presentation of bills and invoices for payment from accounts held in the names of the 2 persons.  Though apparently no such requests </w:t>
      </w:r>
      <w:proofErr w:type="gramStart"/>
      <w:r>
        <w:t>has</w:t>
      </w:r>
      <w:proofErr w:type="gramEnd"/>
      <w:r>
        <w:t xml:space="preserve"> apparently been made so far with respect to their local personal accounts.  </w:t>
      </w:r>
    </w:p>
    <w:p w:rsidR="008070B8" w:rsidRDefault="00FC311A" w:rsidP="00D4482E">
      <w:pPr>
        <w:pStyle w:val="JudgmentText"/>
        <w:numPr>
          <w:ilvl w:val="0"/>
          <w:numId w:val="0"/>
        </w:numPr>
        <w:tabs>
          <w:tab w:val="left" w:pos="720"/>
        </w:tabs>
      </w:pPr>
      <w:r>
        <w:t xml:space="preserve">According to the facts presented before me and admitted before the court there is one </w:t>
      </w:r>
      <w:r w:rsidR="008070B8">
        <w:t xml:space="preserve">new payment </w:t>
      </w:r>
      <w:r>
        <w:t>particular legal entity that is a subject matter of contention</w:t>
      </w:r>
      <w:r w:rsidR="008070B8">
        <w:t>,</w:t>
      </w:r>
      <w:r>
        <w:t xml:space="preserve"> that is the </w:t>
      </w:r>
      <w:proofErr w:type="spellStart"/>
      <w:r>
        <w:t>Felicite</w:t>
      </w:r>
      <w:proofErr w:type="spellEnd"/>
      <w:r>
        <w:t xml:space="preserve"> Island Development Ltd.  </w:t>
      </w:r>
    </w:p>
    <w:p w:rsidR="00FC311A" w:rsidRDefault="00FC311A" w:rsidP="00D4482E">
      <w:pPr>
        <w:pStyle w:val="JudgmentText"/>
        <w:numPr>
          <w:ilvl w:val="0"/>
          <w:numId w:val="0"/>
        </w:numPr>
        <w:tabs>
          <w:tab w:val="left" w:pos="720"/>
        </w:tabs>
      </w:pPr>
      <w:r>
        <w:t xml:space="preserve">The ACCS has issued a number of section </w:t>
      </w:r>
      <w:r w:rsidR="00D314E3">
        <w:t xml:space="preserve">60(1) orders against the account of local entities and companies in which the accused has financial interest and private individual accounts held in their names.  The notices are issues under section 60(1) of the Anti-Corruption Act.  It allows the ACCS to act as the “administrator” of the account of the entities and the individuals.  Under section 60(6) of the Act, a person aggrieved with the directive of the commissioner under section 60(1) may </w:t>
      </w:r>
      <w:r w:rsidR="008070B8">
        <w:t xml:space="preserve">however </w:t>
      </w:r>
      <w:r w:rsidR="00D314E3">
        <w:t>apply to the Supreme Court for an order to reverse or vary the directive.  On hearing of the application and the reply of the Anti-Corruption Commission of Seychelles this court can either confirm the notice or otherwise reverse or vary the directive in the notice.  Hence a section 60(1) notice with regards to a bank account can be varied by the Supreme Court in respect of the restriction of disbursement of any expense including that of legal fees of a person whose account is subject to the restriction.</w:t>
      </w:r>
    </w:p>
    <w:p w:rsidR="00D314E3" w:rsidRDefault="00D314E3" w:rsidP="00D4482E">
      <w:pPr>
        <w:pStyle w:val="JudgmentText"/>
        <w:numPr>
          <w:ilvl w:val="0"/>
          <w:numId w:val="0"/>
        </w:numPr>
        <w:tabs>
          <w:tab w:val="left" w:pos="720"/>
        </w:tabs>
      </w:pPr>
      <w:r>
        <w:t>On the other hand</w:t>
      </w:r>
      <w:r w:rsidR="00D4482E">
        <w:t>,</w:t>
      </w:r>
      <w:r>
        <w:t xml:space="preserve"> Article 19(2)(d) of the Constitution provides, inter</w:t>
      </w:r>
      <w:r w:rsidR="00AE710F">
        <w:t>-</w:t>
      </w:r>
      <w:r>
        <w:t xml:space="preserve">alia, that a person has a right to be defended before the court in person or, at the person’s own expense by a legal practitioner of the person’s own choice.  </w:t>
      </w:r>
    </w:p>
    <w:p w:rsidR="00D314E3" w:rsidRDefault="00D314E3" w:rsidP="00D4482E">
      <w:pPr>
        <w:pStyle w:val="JudgmentText"/>
        <w:numPr>
          <w:ilvl w:val="0"/>
          <w:numId w:val="0"/>
        </w:numPr>
        <w:tabs>
          <w:tab w:val="left" w:pos="720"/>
        </w:tabs>
      </w:pPr>
      <w:r>
        <w:t xml:space="preserve">It is important to understand what is meant by the terms </w:t>
      </w:r>
      <w:r w:rsidR="008070B8">
        <w:t>“</w:t>
      </w:r>
      <w:r w:rsidRPr="008070B8">
        <w:rPr>
          <w:i/>
        </w:rPr>
        <w:t>at his own expense here</w:t>
      </w:r>
      <w:r w:rsidR="008070B8">
        <w:t>”</w:t>
      </w:r>
      <w:r>
        <w:t>.  T</w:t>
      </w:r>
      <w:r w:rsidR="008070B8">
        <w:t>o t</w:t>
      </w:r>
      <w:r>
        <w:t xml:space="preserve">his court </w:t>
      </w:r>
      <w:r w:rsidR="008070B8">
        <w:t xml:space="preserve">this </w:t>
      </w:r>
      <w:r>
        <w:t>simply means at the person’s own cost. He or she will have to use their own resources and means in order to finance the legal practi</w:t>
      </w:r>
      <w:r w:rsidR="00C86BC5">
        <w:t>ti</w:t>
      </w:r>
      <w:r>
        <w:t>oner</w:t>
      </w:r>
      <w:r w:rsidR="00630D5C">
        <w:t xml:space="preserve"> of their own choosing.  </w:t>
      </w:r>
      <w:r w:rsidR="00C86BC5">
        <w:t>Now, somebody’s financial resources and means maybe in many forms.  They can be in many places also.  They can be one’s moveable and immovable properties.  Once moveable property may on the other hand be found in one’s private account or in one investments such as shares and debentures in companies and other similar entities.</w:t>
      </w:r>
    </w:p>
    <w:p w:rsidR="00C86BC5" w:rsidRDefault="00C86BC5" w:rsidP="00D4482E">
      <w:pPr>
        <w:pStyle w:val="JudgmentText"/>
        <w:numPr>
          <w:ilvl w:val="0"/>
          <w:numId w:val="0"/>
        </w:numPr>
        <w:tabs>
          <w:tab w:val="left" w:pos="720"/>
        </w:tabs>
      </w:pPr>
      <w:r>
        <w:t>When one read these firmly established legal principles together it is clear to me that the choice of whom becomes one’s legal practitioner is that of the accused and the accused alone.  The cost and expenditure of the same legal practitioner would also be that of the accused and the accused alone.  If this is their choice.  Therefore</w:t>
      </w:r>
      <w:r w:rsidR="00D4482E">
        <w:t>,</w:t>
      </w:r>
      <w:r>
        <w:t xml:space="preserve"> when it comes to payment of legal fees from accounts that has been subject matter of a section 60(1) order</w:t>
      </w:r>
      <w:r w:rsidR="008070B8">
        <w:t>,</w:t>
      </w:r>
      <w:r>
        <w:t xml:space="preserve"> the ACCS obligation is to allow for payment of all expenses that is bona fide demanded for legal services rendered by an attorney at law or legal practitioner of the accused choice. The invoices and bills of the legal practitioner has to be sufficiently particularised so as to allow the ACC</w:t>
      </w:r>
      <w:r w:rsidR="008070B8">
        <w:t>S</w:t>
      </w:r>
      <w:r>
        <w:t xml:space="preserve"> to know who is the attorney at law who is demanding payment and for what services are the payments being requested for. </w:t>
      </w:r>
    </w:p>
    <w:p w:rsidR="00123C82" w:rsidRDefault="00123C82" w:rsidP="00D4482E">
      <w:pPr>
        <w:pStyle w:val="JudgmentText"/>
        <w:numPr>
          <w:ilvl w:val="0"/>
          <w:numId w:val="0"/>
        </w:numPr>
        <w:tabs>
          <w:tab w:val="left" w:pos="720"/>
        </w:tabs>
      </w:pPr>
      <w:r>
        <w:t xml:space="preserve">In the event that the ACCS refuses to vary the section 60(1) restrictions in order to allow for the settlement of the legal bills the Supreme Court can be asked by the accused to adjudicate on the refusal to vary.  This applies to both private accounts or corporate accounts or accounts of legal entities in which the accused has interest.  </w:t>
      </w:r>
    </w:p>
    <w:p w:rsidR="00123C82" w:rsidRDefault="00123C82" w:rsidP="00D4482E">
      <w:pPr>
        <w:pStyle w:val="JudgmentText"/>
        <w:numPr>
          <w:ilvl w:val="0"/>
          <w:numId w:val="0"/>
        </w:numPr>
        <w:tabs>
          <w:tab w:val="left" w:pos="720"/>
        </w:tabs>
      </w:pPr>
      <w:r>
        <w:t xml:space="preserve">In this case it appears that there </w:t>
      </w:r>
      <w:r w:rsidR="009516BA">
        <w:t>have</w:t>
      </w:r>
      <w:r>
        <w:t xml:space="preserve"> been divergent views with regards to the payment of attorney’s fees between the ACCS and the 1</w:t>
      </w:r>
      <w:r w:rsidRPr="00123C82">
        <w:rPr>
          <w:vertAlign w:val="superscript"/>
        </w:rPr>
        <w:t>st</w:t>
      </w:r>
      <w:r>
        <w:t xml:space="preserve"> and 2</w:t>
      </w:r>
      <w:r w:rsidRPr="00123C82">
        <w:rPr>
          <w:vertAlign w:val="superscript"/>
        </w:rPr>
        <w:t>nd</w:t>
      </w:r>
      <w:r>
        <w:t xml:space="preserve"> accused.  However, unfortunately no attempts have been made by the Accused up to now to apply to the court for variation </w:t>
      </w:r>
      <w:r w:rsidR="00EE1CD4">
        <w:t xml:space="preserve">of the relevant section 60(1) order, something that could have settled this matter. Instead they chose to approach the subject matter by way of a letter to the Chief Justice in chambers which obviously is not the most appropriate procedure.  </w:t>
      </w:r>
    </w:p>
    <w:p w:rsidR="00EE1CD4" w:rsidRDefault="00EE1CD4" w:rsidP="00D4482E">
      <w:pPr>
        <w:pStyle w:val="JudgmentText"/>
        <w:numPr>
          <w:ilvl w:val="0"/>
          <w:numId w:val="0"/>
        </w:numPr>
        <w:tabs>
          <w:tab w:val="left" w:pos="720"/>
        </w:tabs>
      </w:pPr>
      <w:r>
        <w:t xml:space="preserve">According to Mrs </w:t>
      </w:r>
      <w:proofErr w:type="spellStart"/>
      <w:r>
        <w:t>Valabhji</w:t>
      </w:r>
      <w:proofErr w:type="spellEnd"/>
      <w:r>
        <w:t xml:space="preserve"> in her submission Ms Samantha </w:t>
      </w:r>
      <w:proofErr w:type="spellStart"/>
      <w:r>
        <w:t>Aglae</w:t>
      </w:r>
      <w:proofErr w:type="spellEnd"/>
      <w:r>
        <w:t xml:space="preserve"> intentionally wrote a letter to the Chief Justice instead of applying for variation under section 60(6) of the ACCS’s decision because they wanted to establish the foundation in order to file a constitutional petition against the ACCs for failure to comply with their rights to counsel.  The court finds this highly irregular and amounts to an overt intention to circumvent the law and it also amounts to a failure to exhaust the available remedies provided in law.</w:t>
      </w:r>
    </w:p>
    <w:p w:rsidR="00EE1CD4" w:rsidRDefault="00EE1CD4" w:rsidP="00D4482E">
      <w:pPr>
        <w:pStyle w:val="JudgmentText"/>
        <w:numPr>
          <w:ilvl w:val="0"/>
          <w:numId w:val="0"/>
        </w:numPr>
        <w:tabs>
          <w:tab w:val="left" w:pos="720"/>
        </w:tabs>
      </w:pPr>
      <w:r>
        <w:t xml:space="preserve">The main bones of contention in this matter </w:t>
      </w:r>
      <w:r w:rsidR="00F8263A">
        <w:t>appears first with the regards to the form that a bill or invoice should be present</w:t>
      </w:r>
      <w:r w:rsidR="008070B8">
        <w:t>ed</w:t>
      </w:r>
      <w:r w:rsidR="00F8263A">
        <w:t xml:space="preserve"> and </w:t>
      </w:r>
      <w:r w:rsidR="008070B8">
        <w:t xml:space="preserve">in </w:t>
      </w:r>
      <w:r w:rsidR="00F8263A">
        <w:t xml:space="preserve">the sufficiency of particularisation of those documents presented by a legal firm of the accused and attorney at law. </w:t>
      </w:r>
    </w:p>
    <w:p w:rsidR="00F8263A" w:rsidRDefault="00F8263A" w:rsidP="00D4482E">
      <w:pPr>
        <w:pStyle w:val="JudgmentText"/>
        <w:numPr>
          <w:ilvl w:val="0"/>
          <w:numId w:val="0"/>
        </w:numPr>
        <w:tabs>
          <w:tab w:val="left" w:pos="720"/>
        </w:tabs>
      </w:pPr>
      <w:r>
        <w:t>Secondly</w:t>
      </w:r>
      <w:r w:rsidR="008070B8">
        <w:t>,</w:t>
      </w:r>
      <w:r>
        <w:t xml:space="preserve"> the legality of the accused presenting legal bills and invoices for payment to companies and legal entities</w:t>
      </w:r>
      <w:r w:rsidR="008070B8">
        <w:t>.  I</w:t>
      </w:r>
      <w:r>
        <w:t>t is the contention of the ACCS that these invoices should be paid from the private accounts of the accused when it comes to the second issue and with regards to the f</w:t>
      </w:r>
      <w:r w:rsidR="008070B8">
        <w:t>irst</w:t>
      </w:r>
      <w:r>
        <w:t xml:space="preserve"> that the invoices are insufficiently particularized.  </w:t>
      </w:r>
    </w:p>
    <w:p w:rsidR="00F8263A" w:rsidRDefault="00F8263A" w:rsidP="00D4482E">
      <w:pPr>
        <w:pStyle w:val="JudgmentText"/>
        <w:numPr>
          <w:ilvl w:val="0"/>
          <w:numId w:val="0"/>
        </w:numPr>
        <w:tabs>
          <w:tab w:val="left" w:pos="720"/>
        </w:tabs>
      </w:pPr>
      <w:r>
        <w:t>Having considered the law and the facts and circumstances involved in this matter this court determines as follows on these points.</w:t>
      </w:r>
    </w:p>
    <w:p w:rsidR="00F8263A" w:rsidRDefault="00F8263A" w:rsidP="00F8263A">
      <w:pPr>
        <w:pStyle w:val="JudgmentText"/>
        <w:numPr>
          <w:ilvl w:val="0"/>
          <w:numId w:val="5"/>
        </w:numPr>
        <w:tabs>
          <w:tab w:val="left" w:pos="720"/>
        </w:tabs>
      </w:pPr>
      <w:r>
        <w:t>As regards to the position by the ACCS in respect of the payment of the legal bills and invoices by companies the court will not agree with its position.  The accused would be entitle</w:t>
      </w:r>
      <w:r w:rsidR="00D4482E">
        <w:t>d</w:t>
      </w:r>
      <w:r>
        <w:t xml:space="preserve"> to pay a legal bill or invoice from monies in an account of a legal entity or company in which they hold financial interest and subject to the limits of those interest and the applicability of the provisions of statutes including the Companies Act.  This is subject to the following </w:t>
      </w:r>
      <w:proofErr w:type="gramStart"/>
      <w:r>
        <w:t>conditions</w:t>
      </w:r>
      <w:r w:rsidR="00D4482E">
        <w:t>:-</w:t>
      </w:r>
      <w:proofErr w:type="gramEnd"/>
    </w:p>
    <w:p w:rsidR="00F8263A" w:rsidRDefault="00F8263A" w:rsidP="008070B8">
      <w:pPr>
        <w:pStyle w:val="JudgmentText"/>
        <w:numPr>
          <w:ilvl w:val="0"/>
          <w:numId w:val="6"/>
        </w:numPr>
        <w:tabs>
          <w:tab w:val="left" w:pos="720"/>
        </w:tabs>
      </w:pPr>
      <w:r>
        <w:t>The accused must demonstrate that they have proprietar</w:t>
      </w:r>
      <w:r w:rsidR="008070B8">
        <w:t xml:space="preserve">y interest in the legal entity </w:t>
      </w:r>
      <w:r>
        <w:t xml:space="preserve">or company against which account the bill is presented for payment.  If the ACCS has section </w:t>
      </w:r>
      <w:r w:rsidR="001A6768">
        <w:t>6</w:t>
      </w:r>
      <w:r w:rsidR="008070B8">
        <w:t>0(</w:t>
      </w:r>
      <w:r w:rsidR="001A6768">
        <w:t>1</w:t>
      </w:r>
      <w:r w:rsidR="008070B8">
        <w:t>)</w:t>
      </w:r>
      <w:r w:rsidR="001A6768">
        <w:t xml:space="preserve"> notice issued against the account of that entity a prima facie case of such an interest will be established.  </w:t>
      </w:r>
    </w:p>
    <w:p w:rsidR="008A193A" w:rsidRDefault="008A193A" w:rsidP="00F8263A">
      <w:pPr>
        <w:pStyle w:val="JudgmentText"/>
        <w:numPr>
          <w:ilvl w:val="0"/>
          <w:numId w:val="6"/>
        </w:numPr>
        <w:tabs>
          <w:tab w:val="left" w:pos="720"/>
        </w:tabs>
      </w:pPr>
      <w:r>
        <w:t>The bill or invoice presented must be with regards to a bona fide legal service to be rendered in the case of a retainer fee or having been rendered by the legal practitioner or legal firm.</w:t>
      </w:r>
    </w:p>
    <w:p w:rsidR="008A193A" w:rsidRDefault="008A193A" w:rsidP="00F8263A">
      <w:pPr>
        <w:pStyle w:val="JudgmentText"/>
        <w:numPr>
          <w:ilvl w:val="0"/>
          <w:numId w:val="6"/>
        </w:numPr>
        <w:tabs>
          <w:tab w:val="left" w:pos="720"/>
        </w:tabs>
      </w:pPr>
      <w:r>
        <w:t>That there is compliance with the provisions of the Companies Act, with regards to the decision to settle the payment by the legal entity or company.</w:t>
      </w:r>
    </w:p>
    <w:p w:rsidR="008A193A" w:rsidRDefault="008A193A" w:rsidP="00F8263A">
      <w:pPr>
        <w:pStyle w:val="JudgmentText"/>
        <w:numPr>
          <w:ilvl w:val="0"/>
          <w:numId w:val="6"/>
        </w:numPr>
        <w:tabs>
          <w:tab w:val="left" w:pos="720"/>
        </w:tabs>
      </w:pPr>
      <w:r>
        <w:t>If the funds acquired from the legal entity or company belongs to the 1</w:t>
      </w:r>
      <w:r w:rsidRPr="008A193A">
        <w:rPr>
          <w:vertAlign w:val="superscript"/>
        </w:rPr>
        <w:t>st</w:t>
      </w:r>
      <w:r>
        <w:t xml:space="preserve"> Accused alone he would be entitled to decide as to whether he is going to share it with the 2</w:t>
      </w:r>
      <w:r w:rsidRPr="008A193A">
        <w:rPr>
          <w:vertAlign w:val="superscript"/>
        </w:rPr>
        <w:t>nd</w:t>
      </w:r>
      <w:r>
        <w:t xml:space="preserve"> Accused and vice versa.</w:t>
      </w:r>
    </w:p>
    <w:p w:rsidR="008A193A" w:rsidRDefault="008A193A" w:rsidP="00D4482E">
      <w:pPr>
        <w:pStyle w:val="JudgmentText"/>
        <w:numPr>
          <w:ilvl w:val="0"/>
          <w:numId w:val="0"/>
        </w:numPr>
      </w:pPr>
      <w:r>
        <w:t xml:space="preserve">In the event that those conditions are met the bills and invoices should be payable.  </w:t>
      </w:r>
      <w:r w:rsidR="00173476">
        <w:t>Therefore</w:t>
      </w:r>
      <w:r w:rsidR="00D4482E">
        <w:t>,</w:t>
      </w:r>
      <w:r w:rsidR="00173476">
        <w:t xml:space="preserve"> I find that payments can be made from any account whether that of the private accounts of the 1</w:t>
      </w:r>
      <w:r w:rsidR="00173476" w:rsidRPr="00173476">
        <w:rPr>
          <w:vertAlign w:val="superscript"/>
        </w:rPr>
        <w:t>st</w:t>
      </w:r>
      <w:r w:rsidR="00173476">
        <w:t xml:space="preserve"> and 2</w:t>
      </w:r>
      <w:r w:rsidR="00173476" w:rsidRPr="00173476">
        <w:rPr>
          <w:vertAlign w:val="superscript"/>
        </w:rPr>
        <w:t>nd</w:t>
      </w:r>
      <w:r w:rsidR="00173476">
        <w:t xml:space="preserve"> Accused or that of an entity or company in which any or both of them has interest</w:t>
      </w:r>
      <w:r w:rsidR="009371EC">
        <w:t>,</w:t>
      </w:r>
      <w:r w:rsidR="00173476">
        <w:t xml:space="preserve"> subject to the above.  In the event of disagreements, the 1</w:t>
      </w:r>
      <w:r w:rsidR="00173476" w:rsidRPr="00173476">
        <w:rPr>
          <w:vertAlign w:val="superscript"/>
        </w:rPr>
        <w:t>st</w:t>
      </w:r>
      <w:r w:rsidR="00173476">
        <w:t xml:space="preserve"> and 2</w:t>
      </w:r>
      <w:r w:rsidR="00173476" w:rsidRPr="00173476">
        <w:rPr>
          <w:vertAlign w:val="superscript"/>
        </w:rPr>
        <w:t>nd</w:t>
      </w:r>
      <w:r w:rsidR="00173476">
        <w:t xml:space="preserve"> Accused may apply for variation in pursuance to section 60(6) of the Anti-Corruption Act.  </w:t>
      </w:r>
    </w:p>
    <w:p w:rsidR="00173476" w:rsidRDefault="00173476" w:rsidP="00D4482E">
      <w:pPr>
        <w:pStyle w:val="JudgmentText"/>
        <w:numPr>
          <w:ilvl w:val="0"/>
          <w:numId w:val="0"/>
        </w:numPr>
        <w:spacing w:after="0"/>
      </w:pPr>
      <w:r>
        <w:t>As regards to the form of a legal invoice or bill</w:t>
      </w:r>
      <w:r w:rsidR="009371EC">
        <w:t>,</w:t>
      </w:r>
      <w:r>
        <w:t xml:space="preserve"> the ACCS is right to determine that this has to be particularised in greater details so as to satisfy each of the genuineness of the claim.  The name of the legal firm or attorney at law has to be indicated.  The period for which the claim is being made has also to be indicated.  The legal services rendered or to be rendered has to be sufficiently particularised.  Those are questions of facts that has to be decided on a case to case basis.  Any disagreement here can also be the subject matter of a section 60(6) application by the aggravated parties.  </w:t>
      </w:r>
    </w:p>
    <w:p w:rsidR="00173476" w:rsidRDefault="00173476" w:rsidP="00173476">
      <w:pPr>
        <w:pStyle w:val="JudgmentText"/>
        <w:numPr>
          <w:ilvl w:val="0"/>
          <w:numId w:val="0"/>
        </w:numPr>
        <w:tabs>
          <w:tab w:val="left" w:pos="720"/>
        </w:tabs>
        <w:spacing w:after="0"/>
        <w:ind w:left="720" w:hanging="720"/>
      </w:pPr>
    </w:p>
    <w:p w:rsidR="00173476" w:rsidRDefault="00173476" w:rsidP="00173476">
      <w:pPr>
        <w:pStyle w:val="JudgmentText"/>
        <w:numPr>
          <w:ilvl w:val="0"/>
          <w:numId w:val="0"/>
        </w:numPr>
        <w:tabs>
          <w:tab w:val="left" w:pos="720"/>
        </w:tabs>
        <w:spacing w:after="0"/>
        <w:ind w:left="720" w:hanging="720"/>
      </w:pPr>
      <w:r>
        <w:t>This is the decision of the court.</w:t>
      </w:r>
    </w:p>
    <w:p w:rsidR="00D4482E" w:rsidRDefault="00D4482E" w:rsidP="00173476">
      <w:pPr>
        <w:pStyle w:val="JudgmentText"/>
        <w:numPr>
          <w:ilvl w:val="0"/>
          <w:numId w:val="0"/>
        </w:numPr>
        <w:tabs>
          <w:tab w:val="left" w:pos="720"/>
        </w:tabs>
        <w:spacing w:after="0"/>
        <w:ind w:left="720" w:hanging="720"/>
      </w:pPr>
    </w:p>
    <w:p w:rsidR="00D4482E" w:rsidRDefault="00D4482E" w:rsidP="00173476">
      <w:pPr>
        <w:pStyle w:val="JudgmentText"/>
        <w:numPr>
          <w:ilvl w:val="0"/>
          <w:numId w:val="0"/>
        </w:numPr>
        <w:tabs>
          <w:tab w:val="left" w:pos="720"/>
        </w:tabs>
        <w:spacing w:after="0"/>
        <w:ind w:left="720" w:hanging="720"/>
      </w:pPr>
    </w:p>
    <w:p w:rsidR="002E0A09" w:rsidRDefault="002E0A09" w:rsidP="002E0A09">
      <w:pPr>
        <w:keepNext/>
        <w:rPr>
          <w:rFonts w:ascii="Times New Roman" w:hAnsi="Times New Roman" w:cs="Times New Roman"/>
          <w:sz w:val="24"/>
          <w:szCs w:val="24"/>
        </w:rPr>
      </w:pPr>
      <w:r>
        <w:rPr>
          <w:rFonts w:ascii="Times New Roman" w:hAnsi="Times New Roman" w:cs="Times New Roman"/>
          <w:sz w:val="24"/>
          <w:szCs w:val="24"/>
        </w:rPr>
        <w:t xml:space="preserve">Signed, dated and delivered at Ile du Port on </w:t>
      </w:r>
      <w:r w:rsidR="00113465">
        <w:rPr>
          <w:rFonts w:ascii="Times New Roman" w:hAnsi="Times New Roman" w:cs="Times New Roman"/>
          <w:sz w:val="24"/>
          <w:szCs w:val="24"/>
        </w:rPr>
        <w:t xml:space="preserve">    </w:t>
      </w:r>
      <w:r w:rsidR="009371EC">
        <w:rPr>
          <w:rFonts w:ascii="Times New Roman" w:hAnsi="Times New Roman" w:cs="Times New Roman"/>
          <w:sz w:val="24"/>
          <w:szCs w:val="24"/>
        </w:rPr>
        <w:t xml:space="preserve">  </w:t>
      </w:r>
      <w:r w:rsidR="00113465">
        <w:rPr>
          <w:rFonts w:ascii="Times New Roman" w:hAnsi="Times New Roman" w:cs="Times New Roman"/>
          <w:sz w:val="24"/>
          <w:szCs w:val="24"/>
        </w:rPr>
        <w:t xml:space="preserve">   day of                             2022</w:t>
      </w:r>
      <w:r w:rsidR="00D02271">
        <w:rPr>
          <w:rFonts w:ascii="Times New Roman" w:hAnsi="Times New Roman" w:cs="Times New Roman"/>
          <w:sz w:val="24"/>
          <w:szCs w:val="24"/>
        </w:rPr>
        <w:t>.</w:t>
      </w:r>
    </w:p>
    <w:p w:rsidR="002E0A09" w:rsidRDefault="002E0A09" w:rsidP="002E0A09">
      <w:pPr>
        <w:keepNext/>
        <w:rPr>
          <w:rFonts w:ascii="Times New Roman" w:hAnsi="Times New Roman" w:cs="Times New Roman"/>
          <w:sz w:val="24"/>
          <w:szCs w:val="24"/>
        </w:rPr>
      </w:pPr>
    </w:p>
    <w:p w:rsidR="009371EC" w:rsidRDefault="009371EC" w:rsidP="002E0A09">
      <w:pPr>
        <w:keepNext/>
        <w:rPr>
          <w:rFonts w:ascii="Times New Roman" w:hAnsi="Times New Roman" w:cs="Times New Roman"/>
          <w:sz w:val="24"/>
          <w:szCs w:val="24"/>
        </w:rPr>
      </w:pPr>
    </w:p>
    <w:p w:rsidR="002E0A09" w:rsidRDefault="002E0A09" w:rsidP="002E0A09">
      <w:pPr>
        <w:keepNext/>
        <w:rPr>
          <w:rFonts w:ascii="Times New Roman" w:hAnsi="Times New Roman" w:cs="Times New Roman"/>
          <w:sz w:val="24"/>
          <w:szCs w:val="24"/>
        </w:rPr>
      </w:pPr>
      <w:r>
        <w:rPr>
          <w:rFonts w:ascii="Times New Roman" w:hAnsi="Times New Roman" w:cs="Times New Roman"/>
          <w:sz w:val="24"/>
          <w:szCs w:val="24"/>
        </w:rPr>
        <w:t>____________</w:t>
      </w:r>
    </w:p>
    <w:p w:rsidR="002E0A09" w:rsidRDefault="00113465" w:rsidP="002E0A09">
      <w:pPr>
        <w:keepNext/>
        <w:rPr>
          <w:rFonts w:ascii="Times New Roman" w:hAnsi="Times New Roman" w:cs="Times New Roman"/>
          <w:sz w:val="24"/>
          <w:szCs w:val="24"/>
        </w:rPr>
      </w:pPr>
      <w:proofErr w:type="spellStart"/>
      <w:r>
        <w:rPr>
          <w:rFonts w:ascii="Times New Roman" w:hAnsi="Times New Roman" w:cs="Times New Roman"/>
          <w:sz w:val="24"/>
          <w:szCs w:val="24"/>
        </w:rPr>
        <w:t>Govinden</w:t>
      </w:r>
      <w:proofErr w:type="spellEnd"/>
      <w:r w:rsidR="002E0A09">
        <w:rPr>
          <w:rFonts w:ascii="Times New Roman" w:hAnsi="Times New Roman" w:cs="Times New Roman"/>
          <w:sz w:val="24"/>
          <w:szCs w:val="24"/>
        </w:rPr>
        <w:t xml:space="preserve"> </w:t>
      </w:r>
      <w:r>
        <w:rPr>
          <w:rFonts w:ascii="Times New Roman" w:hAnsi="Times New Roman" w:cs="Times New Roman"/>
          <w:sz w:val="24"/>
          <w:szCs w:val="24"/>
        </w:rPr>
        <w:t>C</w:t>
      </w:r>
      <w:r w:rsidR="002E0A09">
        <w:rPr>
          <w:rFonts w:ascii="Times New Roman" w:hAnsi="Times New Roman" w:cs="Times New Roman"/>
          <w:sz w:val="24"/>
          <w:szCs w:val="24"/>
        </w:rPr>
        <w:t>J</w:t>
      </w:r>
    </w:p>
    <w:p w:rsidR="001D3F63" w:rsidRDefault="001F6571"/>
    <w:sectPr w:rsidR="001D3F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DC" w:rsidRDefault="00AF6ADC" w:rsidP="00816CE4">
      <w:pPr>
        <w:spacing w:after="0" w:line="240" w:lineRule="auto"/>
      </w:pPr>
      <w:r>
        <w:separator/>
      </w:r>
    </w:p>
  </w:endnote>
  <w:endnote w:type="continuationSeparator" w:id="0">
    <w:p w:rsidR="00AF6ADC" w:rsidRDefault="00AF6ADC" w:rsidP="0081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223159"/>
      <w:docPartObj>
        <w:docPartGallery w:val="Page Numbers (Bottom of Page)"/>
        <w:docPartUnique/>
      </w:docPartObj>
    </w:sdtPr>
    <w:sdtEndPr>
      <w:rPr>
        <w:noProof/>
      </w:rPr>
    </w:sdtEndPr>
    <w:sdtContent>
      <w:p w:rsidR="00816CE4" w:rsidRDefault="00816CE4">
        <w:pPr>
          <w:pStyle w:val="Footer"/>
          <w:jc w:val="center"/>
        </w:pPr>
        <w:r>
          <w:fldChar w:fldCharType="begin"/>
        </w:r>
        <w:r>
          <w:instrText xml:space="preserve"> PAGE   \* MERGEFORMAT </w:instrText>
        </w:r>
        <w:r>
          <w:fldChar w:fldCharType="separate"/>
        </w:r>
        <w:r w:rsidR="001F6571">
          <w:rPr>
            <w:noProof/>
          </w:rPr>
          <w:t>1</w:t>
        </w:r>
        <w:r>
          <w:rPr>
            <w:noProof/>
          </w:rPr>
          <w:fldChar w:fldCharType="end"/>
        </w:r>
      </w:p>
    </w:sdtContent>
  </w:sdt>
  <w:p w:rsidR="00816CE4" w:rsidRDefault="00816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DC" w:rsidRDefault="00AF6ADC" w:rsidP="00816CE4">
      <w:pPr>
        <w:spacing w:after="0" w:line="240" w:lineRule="auto"/>
      </w:pPr>
      <w:r>
        <w:separator/>
      </w:r>
    </w:p>
  </w:footnote>
  <w:footnote w:type="continuationSeparator" w:id="0">
    <w:p w:rsidR="00AF6ADC" w:rsidRDefault="00AF6ADC" w:rsidP="00816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542D2"/>
    <w:multiLevelType w:val="multilevel"/>
    <w:tmpl w:val="1CC89892"/>
    <w:numStyleLink w:val="Judgments"/>
  </w:abstractNum>
  <w:abstractNum w:abstractNumId="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cs="Times New Roman" w:hint="default"/>
        <w:sz w:val="24"/>
      </w:rPr>
    </w:lvl>
    <w:lvl w:ilvl="1">
      <w:start w:val="1"/>
      <w:numFmt w:val="lowerLetter"/>
      <w:lvlText w:val="%2."/>
      <w:lvlJc w:val="left"/>
      <w:pPr>
        <w:ind w:left="1440" w:hanging="720"/>
      </w:pPr>
    </w:lvl>
    <w:lvl w:ilvl="2">
      <w:start w:val="1"/>
      <w:numFmt w:val="lowerRoman"/>
      <w:lvlText w:val="%3."/>
      <w:lvlJc w:val="right"/>
      <w:pPr>
        <w:ind w:left="2160" w:hanging="720"/>
      </w:pPr>
    </w:lvl>
    <w:lvl w:ilvl="3">
      <w:start w:val="1"/>
      <w:numFmt w:val="decimal"/>
      <w:lvlText w:val="%4."/>
      <w:lvlJc w:val="left"/>
      <w:pPr>
        <w:ind w:left="2880" w:hanging="720"/>
      </w:pPr>
    </w:lvl>
    <w:lvl w:ilvl="4">
      <w:start w:val="1"/>
      <w:numFmt w:val="lowerLetter"/>
      <w:lvlText w:val="%5."/>
      <w:lvlJc w:val="left"/>
      <w:pPr>
        <w:ind w:left="3600" w:hanging="720"/>
      </w:pPr>
    </w:lvl>
    <w:lvl w:ilvl="5">
      <w:start w:val="1"/>
      <w:numFmt w:val="lowerRoman"/>
      <w:lvlText w:val="%6."/>
      <w:lvlJc w:val="righ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right"/>
      <w:pPr>
        <w:ind w:left="6480" w:hanging="720"/>
      </w:pPr>
    </w:lvl>
  </w:abstractNum>
  <w:abstractNum w:abstractNumId="2" w15:restartNumberingAfterBreak="0">
    <w:nsid w:val="33F87CE2"/>
    <w:multiLevelType w:val="hybridMultilevel"/>
    <w:tmpl w:val="8B12D6AA"/>
    <w:lvl w:ilvl="0" w:tplc="2B5A8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A91CE5"/>
    <w:multiLevelType w:val="hybridMultilevel"/>
    <w:tmpl w:val="730AE02C"/>
    <w:lvl w:ilvl="0" w:tplc="BB624EB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6B6747E"/>
    <w:multiLevelType w:val="hybridMultilevel"/>
    <w:tmpl w:val="95322796"/>
    <w:lvl w:ilvl="0" w:tplc="8D5805D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lvl w:ilvl="0">
        <w:start w:val="1"/>
        <w:numFmt w:val="decimal"/>
        <w:pStyle w:val="JudgmentText"/>
        <w:lvlText w:val="[%1]"/>
        <w:lvlJc w:val="left"/>
        <w:pPr>
          <w:ind w:left="720" w:hanging="720"/>
        </w:pPr>
        <w:rPr>
          <w:rFonts w:ascii="Times New Roman" w:hAnsi="Times New Roman" w:cs="Times New Roman" w:hint="default"/>
          <w:sz w:val="24"/>
        </w:rPr>
      </w:lvl>
    </w:lvlOverride>
    <w:lvlOverride w:ilvl="1">
      <w:lvl w:ilvl="1">
        <w:start w:val="1"/>
        <w:numFmt w:val="lowerLetter"/>
        <w:lvlText w:val="%2."/>
        <w:lvlJc w:val="left"/>
        <w:pPr>
          <w:ind w:left="1440" w:hanging="720"/>
        </w:pPr>
      </w:lvl>
    </w:lvlOverride>
    <w:lvlOverride w:ilvl="2">
      <w:lvl w:ilvl="2">
        <w:start w:val="1"/>
        <w:numFmt w:val="lowerRoman"/>
        <w:lvlText w:val="%3."/>
        <w:lvlJc w:val="right"/>
        <w:pPr>
          <w:ind w:left="2160" w:hanging="720"/>
        </w:pPr>
      </w:lvl>
    </w:lvlOverride>
    <w:lvlOverride w:ilvl="3">
      <w:lvl w:ilvl="3">
        <w:start w:val="1"/>
        <w:numFmt w:val="decimal"/>
        <w:lvlText w:val="%4."/>
        <w:lvlJc w:val="left"/>
        <w:pPr>
          <w:ind w:left="2880" w:hanging="720"/>
        </w:pPr>
      </w:lvl>
    </w:lvlOverride>
    <w:lvlOverride w:ilvl="4">
      <w:lvl w:ilvl="4">
        <w:start w:val="1"/>
        <w:numFmt w:val="lowerLetter"/>
        <w:lvlText w:val="%5."/>
        <w:lvlJc w:val="left"/>
        <w:pPr>
          <w:ind w:left="3600" w:hanging="720"/>
        </w:pPr>
      </w:lvl>
    </w:lvlOverride>
    <w:lvlOverride w:ilvl="5">
      <w:lvl w:ilvl="5">
        <w:start w:val="1"/>
        <w:numFmt w:val="lowerRoman"/>
        <w:lvlText w:val="%6."/>
        <w:lvlJc w:val="right"/>
        <w:pPr>
          <w:ind w:left="4320" w:hanging="720"/>
        </w:pPr>
      </w:lvl>
    </w:lvlOverride>
    <w:lvlOverride w:ilvl="6">
      <w:lvl w:ilvl="6">
        <w:start w:val="1"/>
        <w:numFmt w:val="decimal"/>
        <w:lvlText w:val="%7."/>
        <w:lvlJc w:val="left"/>
        <w:pPr>
          <w:ind w:left="5040" w:hanging="720"/>
        </w:pPr>
      </w:lvl>
    </w:lvlOverride>
    <w:lvlOverride w:ilvl="7">
      <w:lvl w:ilvl="7">
        <w:start w:val="1"/>
        <w:numFmt w:val="lowerLetter"/>
        <w:lvlText w:val="%8."/>
        <w:lvlJc w:val="left"/>
        <w:pPr>
          <w:ind w:left="5760" w:hanging="720"/>
        </w:pPr>
      </w:lvl>
    </w:lvlOverride>
    <w:lvlOverride w:ilvl="8">
      <w:lvl w:ilvl="8">
        <w:start w:val="1"/>
        <w:numFmt w:val="lowerRoman"/>
        <w:lvlText w:val="%9."/>
        <w:lvlJc w:val="right"/>
        <w:pPr>
          <w:ind w:left="6480" w:hanging="720"/>
        </w:p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09"/>
    <w:rsid w:val="0001113E"/>
    <w:rsid w:val="00023260"/>
    <w:rsid w:val="00054CE4"/>
    <w:rsid w:val="00113465"/>
    <w:rsid w:val="00123C82"/>
    <w:rsid w:val="0013544A"/>
    <w:rsid w:val="00173476"/>
    <w:rsid w:val="001A6768"/>
    <w:rsid w:val="001F38B0"/>
    <w:rsid w:val="001F6571"/>
    <w:rsid w:val="00200020"/>
    <w:rsid w:val="00225EC9"/>
    <w:rsid w:val="002509BA"/>
    <w:rsid w:val="002E0A09"/>
    <w:rsid w:val="003A71C4"/>
    <w:rsid w:val="003D595B"/>
    <w:rsid w:val="004B0D80"/>
    <w:rsid w:val="004B10B5"/>
    <w:rsid w:val="005375C6"/>
    <w:rsid w:val="005523D7"/>
    <w:rsid w:val="00570974"/>
    <w:rsid w:val="005C694D"/>
    <w:rsid w:val="005D56C6"/>
    <w:rsid w:val="006131E2"/>
    <w:rsid w:val="00630D5C"/>
    <w:rsid w:val="006A34A2"/>
    <w:rsid w:val="007076E3"/>
    <w:rsid w:val="00737258"/>
    <w:rsid w:val="007625B1"/>
    <w:rsid w:val="0078508A"/>
    <w:rsid w:val="007C15BF"/>
    <w:rsid w:val="00801F6B"/>
    <w:rsid w:val="008070B8"/>
    <w:rsid w:val="00816CE4"/>
    <w:rsid w:val="0084085C"/>
    <w:rsid w:val="008860E4"/>
    <w:rsid w:val="008A193A"/>
    <w:rsid w:val="008F201B"/>
    <w:rsid w:val="009042D0"/>
    <w:rsid w:val="009371EC"/>
    <w:rsid w:val="009516BA"/>
    <w:rsid w:val="009C2F44"/>
    <w:rsid w:val="00A73262"/>
    <w:rsid w:val="00A80A7A"/>
    <w:rsid w:val="00AC4BA3"/>
    <w:rsid w:val="00AE1282"/>
    <w:rsid w:val="00AE710F"/>
    <w:rsid w:val="00AF6ADC"/>
    <w:rsid w:val="00B66D95"/>
    <w:rsid w:val="00BB4444"/>
    <w:rsid w:val="00BB55CA"/>
    <w:rsid w:val="00BF0CCF"/>
    <w:rsid w:val="00C86BC5"/>
    <w:rsid w:val="00D01AA1"/>
    <w:rsid w:val="00D02271"/>
    <w:rsid w:val="00D13B5F"/>
    <w:rsid w:val="00D314E3"/>
    <w:rsid w:val="00D4482E"/>
    <w:rsid w:val="00D60B16"/>
    <w:rsid w:val="00D90F0B"/>
    <w:rsid w:val="00DA62EA"/>
    <w:rsid w:val="00DA73EC"/>
    <w:rsid w:val="00DE0EFD"/>
    <w:rsid w:val="00E31CF7"/>
    <w:rsid w:val="00E335E7"/>
    <w:rsid w:val="00E60BAA"/>
    <w:rsid w:val="00EB0219"/>
    <w:rsid w:val="00ED744C"/>
    <w:rsid w:val="00EE1CD4"/>
    <w:rsid w:val="00F34248"/>
    <w:rsid w:val="00F8263A"/>
    <w:rsid w:val="00FC311A"/>
    <w:rsid w:val="00FD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1695"/>
  <w15:chartTrackingRefBased/>
  <w15:docId w15:val="{3C63B9F6-8C0A-49CF-B43B-9E38ADA8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09"/>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Text">
    <w:name w:val="Judgment Text"/>
    <w:basedOn w:val="ListParagraph"/>
    <w:qFormat/>
    <w:rsid w:val="002E0A09"/>
    <w:pPr>
      <w:numPr>
        <w:numId w:val="1"/>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character" w:customStyle="1" w:styleId="PartynamesChar">
    <w:name w:val="Party names Char"/>
    <w:basedOn w:val="DefaultParagraphFont"/>
    <w:link w:val="Partynames"/>
    <w:locked/>
    <w:rsid w:val="002E0A09"/>
    <w:rPr>
      <w:rFonts w:ascii="Times New Roman" w:hAnsi="Times New Roman" w:cs="Times New Roman"/>
      <w:b/>
      <w:sz w:val="24"/>
      <w:szCs w:val="24"/>
      <w:lang w:val="en-GB"/>
    </w:rPr>
  </w:style>
  <w:style w:type="paragraph" w:customStyle="1" w:styleId="Partynames">
    <w:name w:val="Party names"/>
    <w:basedOn w:val="Normal"/>
    <w:link w:val="PartynamesChar"/>
    <w:qFormat/>
    <w:rsid w:val="002E0A09"/>
    <w:pPr>
      <w:tabs>
        <w:tab w:val="left" w:pos="540"/>
        <w:tab w:val="left" w:pos="5580"/>
      </w:tabs>
      <w:spacing w:before="240" w:after="0" w:line="240" w:lineRule="auto"/>
    </w:pPr>
    <w:rPr>
      <w:rFonts w:ascii="Times New Roman" w:hAnsi="Times New Roman" w:cs="Times New Roman"/>
      <w:b/>
      <w:sz w:val="24"/>
      <w:szCs w:val="24"/>
    </w:rPr>
  </w:style>
  <w:style w:type="character" w:customStyle="1" w:styleId="AttorneysnamesChar">
    <w:name w:val="Attorneys names Char"/>
    <w:basedOn w:val="DefaultParagraphFont"/>
    <w:link w:val="Attorneysnames"/>
    <w:locked/>
    <w:rsid w:val="002E0A09"/>
    <w:rPr>
      <w:rFonts w:ascii="Times New Roman" w:hAnsi="Times New Roman" w:cs="Times New Roman"/>
      <w:i/>
      <w:sz w:val="24"/>
      <w:szCs w:val="24"/>
      <w:lang w:val="en-GB"/>
    </w:rPr>
  </w:style>
  <w:style w:type="paragraph" w:customStyle="1" w:styleId="Attorneysnames">
    <w:name w:val="Attorneys names"/>
    <w:basedOn w:val="Normal"/>
    <w:link w:val="AttorneysnamesChar"/>
    <w:qFormat/>
    <w:rsid w:val="002E0A09"/>
    <w:pPr>
      <w:tabs>
        <w:tab w:val="left" w:pos="540"/>
        <w:tab w:val="left" w:pos="4092"/>
        <w:tab w:val="left" w:pos="5580"/>
      </w:tabs>
      <w:spacing w:after="0" w:line="240" w:lineRule="auto"/>
    </w:pPr>
    <w:rPr>
      <w:rFonts w:ascii="Times New Roman" w:hAnsi="Times New Roman" w:cs="Times New Roman"/>
      <w:i/>
      <w:sz w:val="24"/>
      <w:szCs w:val="24"/>
    </w:rPr>
  </w:style>
  <w:style w:type="numbering" w:customStyle="1" w:styleId="Judgments">
    <w:name w:val="Judgments"/>
    <w:uiPriority w:val="99"/>
    <w:rsid w:val="002E0A09"/>
    <w:pPr>
      <w:numPr>
        <w:numId w:val="3"/>
      </w:numPr>
    </w:pPr>
  </w:style>
  <w:style w:type="paragraph" w:styleId="ListParagraph">
    <w:name w:val="List Paragraph"/>
    <w:basedOn w:val="Normal"/>
    <w:uiPriority w:val="34"/>
    <w:qFormat/>
    <w:rsid w:val="002E0A09"/>
    <w:pPr>
      <w:ind w:left="720"/>
      <w:contextualSpacing/>
    </w:pPr>
  </w:style>
  <w:style w:type="paragraph" w:styleId="Header">
    <w:name w:val="header"/>
    <w:basedOn w:val="Normal"/>
    <w:link w:val="HeaderChar"/>
    <w:uiPriority w:val="99"/>
    <w:unhideWhenUsed/>
    <w:rsid w:val="00816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CE4"/>
    <w:rPr>
      <w:lang w:val="en-GB"/>
    </w:rPr>
  </w:style>
  <w:style w:type="paragraph" w:styleId="Footer">
    <w:name w:val="footer"/>
    <w:basedOn w:val="Normal"/>
    <w:link w:val="FooterChar"/>
    <w:uiPriority w:val="99"/>
    <w:unhideWhenUsed/>
    <w:rsid w:val="00816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CE4"/>
    <w:rPr>
      <w:lang w:val="en-GB"/>
    </w:rPr>
  </w:style>
  <w:style w:type="paragraph" w:styleId="BalloonText">
    <w:name w:val="Balloon Text"/>
    <w:basedOn w:val="Normal"/>
    <w:link w:val="BalloonTextChar"/>
    <w:uiPriority w:val="99"/>
    <w:semiHidden/>
    <w:unhideWhenUsed/>
    <w:rsid w:val="00DA7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EC"/>
    <w:rPr>
      <w:rFonts w:ascii="Segoe UI" w:hAnsi="Segoe UI" w:cs="Segoe UI"/>
      <w:sz w:val="18"/>
      <w:szCs w:val="18"/>
      <w:lang w:val="en-GB"/>
    </w:rPr>
  </w:style>
  <w:style w:type="table" w:styleId="TableGrid">
    <w:name w:val="Table Grid"/>
    <w:basedOn w:val="TableNormal"/>
    <w:uiPriority w:val="39"/>
    <w:rsid w:val="009C2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2F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4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BCE2-8985-4F74-9D24-9FD6E0EA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rosa barbe</cp:lastModifiedBy>
  <cp:revision>3</cp:revision>
  <cp:lastPrinted>2020-02-11T09:55:00Z</cp:lastPrinted>
  <dcterms:created xsi:type="dcterms:W3CDTF">2022-11-16T04:28:00Z</dcterms:created>
  <dcterms:modified xsi:type="dcterms:W3CDTF">2022-11-16T09:29:00Z</dcterms:modified>
</cp:coreProperties>
</file>