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BA148" w14:textId="77777777" w:rsidR="001D33D2" w:rsidRPr="004A2599" w:rsidRDefault="001D33D2" w:rsidP="00214DB4">
      <w:pPr>
        <w:tabs>
          <w:tab w:val="left" w:pos="4092"/>
        </w:tabs>
        <w:jc w:val="center"/>
        <w:rPr>
          <w:b/>
        </w:rPr>
      </w:pPr>
      <w:r w:rsidRPr="004A2599">
        <w:rPr>
          <w:b/>
        </w:rPr>
        <w:t>SUPREME</w:t>
      </w:r>
      <w:r>
        <w:rPr>
          <w:b/>
        </w:rPr>
        <w:t xml:space="preserve"> </w:t>
      </w:r>
      <w:r w:rsidRPr="004A2599">
        <w:rPr>
          <w:b/>
        </w:rPr>
        <w:t>COURT OF SEYCHELLES</w:t>
      </w:r>
      <w:r w:rsidR="00214DB4">
        <w:rPr>
          <w:b/>
        </w:rPr>
        <w:t xml:space="preserve"> </w:t>
      </w:r>
    </w:p>
    <w:p w14:paraId="6E670B57" w14:textId="77777777" w:rsidR="009539C2" w:rsidRPr="004A2599" w:rsidRDefault="009539C2" w:rsidP="00214DB4">
      <w:pPr>
        <w:pBdr>
          <w:bottom w:val="single" w:sz="4" w:space="1" w:color="auto"/>
        </w:pBdr>
        <w:tabs>
          <w:tab w:val="left" w:pos="4092"/>
        </w:tabs>
        <w:jc w:val="center"/>
        <w:rPr>
          <w:b/>
        </w:rPr>
      </w:pPr>
    </w:p>
    <w:p w14:paraId="022AEDB0" w14:textId="364A893C" w:rsidR="00ED0BFC" w:rsidRPr="00380619" w:rsidRDefault="00602D24" w:rsidP="005D38D9">
      <w:pPr>
        <w:ind w:left="7020" w:firstLine="180"/>
        <w:rPr>
          <w:b/>
          <w:u w:val="single"/>
        </w:rPr>
      </w:pPr>
      <w:r>
        <w:rPr>
          <w:b/>
          <w:u w:val="single"/>
        </w:rPr>
        <w:t>Reportable</w:t>
      </w:r>
    </w:p>
    <w:p w14:paraId="43ED2DC3" w14:textId="77777777" w:rsidR="002E2AE3" w:rsidRPr="004A2599" w:rsidRDefault="00BC73B1" w:rsidP="005D38D9">
      <w:pPr>
        <w:ind w:left="6840" w:firstLine="360"/>
      </w:pPr>
      <w:r>
        <w:t>[</w:t>
      </w:r>
      <w:r w:rsidR="004819AF">
        <w:t>2023</w:t>
      </w:r>
      <w:r>
        <w:t>] SCSC …</w:t>
      </w:r>
    </w:p>
    <w:p w14:paraId="3AE03723" w14:textId="06643E9A" w:rsidR="002E2AE3" w:rsidRPr="004A2599" w:rsidRDefault="00AC6E73" w:rsidP="005D38D9">
      <w:pPr>
        <w:ind w:left="6660" w:firstLine="540"/>
      </w:pPr>
      <w:r>
        <w:t>CA02</w:t>
      </w:r>
      <w:r w:rsidR="002E2AE3" w:rsidRPr="004A2599">
        <w:t>/20</w:t>
      </w:r>
      <w:r>
        <w:t>23</w:t>
      </w:r>
    </w:p>
    <w:p w14:paraId="46B005C4" w14:textId="77777777" w:rsidR="006A68E2" w:rsidRPr="004A2599" w:rsidRDefault="006A68E2" w:rsidP="00214DB4">
      <w:pPr>
        <w:ind w:left="5580"/>
      </w:pPr>
    </w:p>
    <w:p w14:paraId="69DA180D" w14:textId="77777777" w:rsidR="002D4EB8" w:rsidRPr="004A2599" w:rsidRDefault="002D4EB8" w:rsidP="00214DB4">
      <w:pPr>
        <w:tabs>
          <w:tab w:val="left" w:pos="540"/>
          <w:tab w:val="left" w:pos="4092"/>
        </w:tabs>
      </w:pPr>
      <w:r w:rsidRPr="004A2599">
        <w:t>In the matter between:</w:t>
      </w:r>
    </w:p>
    <w:p w14:paraId="6ED9A17B" w14:textId="3A4C2CF3" w:rsidR="002E2AE3" w:rsidRDefault="00AC6E73" w:rsidP="00214DB4">
      <w:pPr>
        <w:pStyle w:val="Partynames"/>
      </w:pPr>
      <w:r>
        <w:t>Tony Lablache</w:t>
      </w:r>
      <w:r w:rsidR="005D38D9">
        <w:tab/>
      </w:r>
      <w:r w:rsidR="005D38D9">
        <w:tab/>
      </w:r>
      <w:r w:rsidR="005D38D9">
        <w:tab/>
      </w:r>
      <w:r w:rsidR="005D38D9">
        <w:tab/>
        <w:t>1</w:t>
      </w:r>
      <w:r w:rsidR="005D38D9" w:rsidRPr="005D38D9">
        <w:rPr>
          <w:vertAlign w:val="superscript"/>
        </w:rPr>
        <w:t>st</w:t>
      </w:r>
      <w:r w:rsidR="005D38D9">
        <w:t xml:space="preserve"> </w:t>
      </w:r>
      <w:r>
        <w:t>App</w:t>
      </w:r>
      <w:r w:rsidR="005D38D9">
        <w:t>ellant</w:t>
      </w:r>
    </w:p>
    <w:p w14:paraId="5D40831A" w14:textId="1E1661CF" w:rsidR="005D38D9" w:rsidRPr="005D38D9" w:rsidRDefault="005D38D9" w:rsidP="005D38D9">
      <w:pPr>
        <w:pStyle w:val="Attorneysnames"/>
      </w:pPr>
      <w:r w:rsidRPr="005D38D9">
        <w:t>(</w:t>
      </w:r>
      <w:proofErr w:type="gramStart"/>
      <w:r w:rsidRPr="005D38D9">
        <w:t>rep</w:t>
      </w:r>
      <w:proofErr w:type="gramEnd"/>
      <w:r w:rsidRPr="005D38D9">
        <w:t>. by Mr. Frank Elizabeth)</w:t>
      </w:r>
    </w:p>
    <w:p w14:paraId="75E3CC87" w14:textId="604B7E34" w:rsidR="005D38D9" w:rsidRDefault="005D38D9" w:rsidP="00214DB4">
      <w:pPr>
        <w:pStyle w:val="Partynames"/>
      </w:pPr>
      <w:r>
        <w:t xml:space="preserve">And </w:t>
      </w:r>
    </w:p>
    <w:p w14:paraId="0488CAEB" w14:textId="77777777" w:rsidR="005D38D9" w:rsidRDefault="005D38D9" w:rsidP="00214DB4">
      <w:pPr>
        <w:pStyle w:val="Attorneysnames"/>
        <w:rPr>
          <w:b/>
          <w:i w:val="0"/>
        </w:rPr>
      </w:pPr>
    </w:p>
    <w:p w14:paraId="2E14E811" w14:textId="68D18C55" w:rsidR="00AC6E73" w:rsidRPr="00AC6E73" w:rsidRDefault="00AC6E73" w:rsidP="00214DB4">
      <w:pPr>
        <w:pStyle w:val="Attorneysnames"/>
        <w:rPr>
          <w:b/>
          <w:i w:val="0"/>
        </w:rPr>
      </w:pPr>
      <w:proofErr w:type="spellStart"/>
      <w:r>
        <w:rPr>
          <w:b/>
          <w:i w:val="0"/>
        </w:rPr>
        <w:t>Philina</w:t>
      </w:r>
      <w:proofErr w:type="spellEnd"/>
      <w:r>
        <w:rPr>
          <w:b/>
          <w:i w:val="0"/>
        </w:rPr>
        <w:t xml:space="preserve"> Lablache</w:t>
      </w:r>
      <w:r w:rsidR="005D38D9">
        <w:rPr>
          <w:b/>
          <w:i w:val="0"/>
        </w:rPr>
        <w:tab/>
      </w:r>
      <w:r w:rsidR="005D38D9">
        <w:rPr>
          <w:b/>
          <w:i w:val="0"/>
        </w:rPr>
        <w:tab/>
      </w:r>
      <w:r w:rsidR="005D38D9">
        <w:rPr>
          <w:b/>
          <w:i w:val="0"/>
        </w:rPr>
        <w:tab/>
      </w:r>
      <w:r w:rsidR="005D38D9">
        <w:rPr>
          <w:b/>
          <w:i w:val="0"/>
        </w:rPr>
        <w:tab/>
      </w:r>
      <w:r w:rsidR="005D38D9">
        <w:rPr>
          <w:b/>
          <w:i w:val="0"/>
        </w:rPr>
        <w:tab/>
        <w:t>2</w:t>
      </w:r>
      <w:r w:rsidR="005D38D9" w:rsidRPr="005D38D9">
        <w:rPr>
          <w:b/>
          <w:i w:val="0"/>
          <w:vertAlign w:val="superscript"/>
        </w:rPr>
        <w:t>nd</w:t>
      </w:r>
      <w:r w:rsidR="005D38D9">
        <w:rPr>
          <w:b/>
          <w:i w:val="0"/>
        </w:rPr>
        <w:t xml:space="preserve"> Appellant</w:t>
      </w:r>
    </w:p>
    <w:p w14:paraId="73179BBB" w14:textId="77777777" w:rsidR="002E2AE3" w:rsidRPr="00214DB4" w:rsidRDefault="002E2AE3" w:rsidP="00214DB4">
      <w:pPr>
        <w:pStyle w:val="Attorneysnames"/>
      </w:pPr>
      <w:r w:rsidRPr="00214DB4">
        <w:t>(</w:t>
      </w:r>
      <w:proofErr w:type="gramStart"/>
      <w:r w:rsidRPr="00214DB4">
        <w:t>rep</w:t>
      </w:r>
      <w:proofErr w:type="gramEnd"/>
      <w:r w:rsidRPr="00214DB4">
        <w:t>. by</w:t>
      </w:r>
      <w:r w:rsidR="00AC6E73">
        <w:t xml:space="preserve"> Mr Frank Elizabeth</w:t>
      </w:r>
      <w:r w:rsidR="00BC73B1" w:rsidRPr="00214DB4">
        <w:t>)</w:t>
      </w:r>
    </w:p>
    <w:p w14:paraId="6BBE40AE" w14:textId="77777777" w:rsidR="00380619" w:rsidRPr="004A2599" w:rsidRDefault="00380619" w:rsidP="00214DB4">
      <w:pPr>
        <w:tabs>
          <w:tab w:val="left" w:pos="540"/>
          <w:tab w:val="left" w:pos="4092"/>
          <w:tab w:val="left" w:pos="5580"/>
        </w:tabs>
      </w:pPr>
    </w:p>
    <w:p w14:paraId="7CC434D7" w14:textId="34358700" w:rsidR="00F33B83" w:rsidRPr="005D38D9" w:rsidRDefault="005D38D9" w:rsidP="00AC6E73">
      <w:pPr>
        <w:tabs>
          <w:tab w:val="left" w:pos="540"/>
          <w:tab w:val="left" w:pos="4092"/>
          <w:tab w:val="left" w:pos="5580"/>
        </w:tabs>
        <w:rPr>
          <w:b/>
        </w:rPr>
      </w:pPr>
      <w:r w:rsidRPr="005D38D9">
        <w:rPr>
          <w:b/>
        </w:rPr>
        <w:t>Versus</w:t>
      </w:r>
    </w:p>
    <w:p w14:paraId="0E2C1006" w14:textId="53105413" w:rsidR="002E2AE3" w:rsidRPr="004A2599" w:rsidRDefault="00AC6E73" w:rsidP="00214DB4">
      <w:pPr>
        <w:pStyle w:val="Partynames"/>
      </w:pPr>
      <w:proofErr w:type="spellStart"/>
      <w:r>
        <w:t>Josianne</w:t>
      </w:r>
      <w:proofErr w:type="spellEnd"/>
      <w:r>
        <w:t xml:space="preserve"> Vitale</w:t>
      </w:r>
      <w:r w:rsidR="002E2AE3" w:rsidRPr="004A2599">
        <w:tab/>
      </w:r>
      <w:r w:rsidR="005D38D9">
        <w:tab/>
      </w:r>
      <w:r w:rsidR="005D38D9">
        <w:tab/>
      </w:r>
      <w:r w:rsidR="005D38D9">
        <w:tab/>
      </w:r>
      <w:r w:rsidR="002E2AE3" w:rsidRPr="004A2599">
        <w:t>Respondent</w:t>
      </w:r>
    </w:p>
    <w:p w14:paraId="4B6F69A8" w14:textId="77777777" w:rsidR="002E2AE3" w:rsidRDefault="002E2AE3" w:rsidP="00214DB4">
      <w:pPr>
        <w:tabs>
          <w:tab w:val="left" w:pos="540"/>
          <w:tab w:val="left" w:pos="4092"/>
        </w:tabs>
        <w:rPr>
          <w:i/>
        </w:rPr>
      </w:pPr>
      <w:r w:rsidRPr="004A2599">
        <w:rPr>
          <w:i/>
        </w:rPr>
        <w:t>(</w:t>
      </w:r>
      <w:r>
        <w:rPr>
          <w:i/>
        </w:rPr>
        <w:t>rep. by</w:t>
      </w:r>
      <w:r w:rsidR="00AC6E73">
        <w:rPr>
          <w:i/>
        </w:rPr>
        <w:t xml:space="preserve"> Mr. Divino Sabino</w:t>
      </w:r>
      <w:r w:rsidRPr="004A2599">
        <w:rPr>
          <w:i/>
        </w:rPr>
        <w:t>)</w:t>
      </w:r>
    </w:p>
    <w:p w14:paraId="0C3523B5" w14:textId="77777777" w:rsidR="00BB1A3E" w:rsidRPr="00BB1A3E" w:rsidRDefault="00BB1A3E" w:rsidP="00214DB4">
      <w:pPr>
        <w:pBdr>
          <w:bottom w:val="single" w:sz="4" w:space="1" w:color="auto"/>
        </w:pBdr>
        <w:tabs>
          <w:tab w:val="left" w:pos="540"/>
          <w:tab w:val="left" w:pos="5580"/>
        </w:tabs>
        <w:rPr>
          <w:i/>
        </w:rPr>
      </w:pPr>
    </w:p>
    <w:p w14:paraId="6DA789C7" w14:textId="07893462" w:rsidR="00405958" w:rsidRPr="004A2599" w:rsidRDefault="00405958" w:rsidP="00214DB4">
      <w:pPr>
        <w:spacing w:before="120"/>
        <w:ind w:left="1886" w:hanging="1886"/>
      </w:pPr>
      <w:r w:rsidRPr="004A2599">
        <w:rPr>
          <w:b/>
        </w:rPr>
        <w:t>Neutral Citation:</w:t>
      </w:r>
      <w:r w:rsidR="004A2599">
        <w:t xml:space="preserve"> </w:t>
      </w:r>
      <w:r w:rsidR="004A2599">
        <w:tab/>
      </w:r>
      <w:r w:rsidR="00AC6E73">
        <w:rPr>
          <w:i/>
        </w:rPr>
        <w:t xml:space="preserve">Lablache &amp; </w:t>
      </w:r>
      <w:r w:rsidR="005329F4">
        <w:rPr>
          <w:i/>
        </w:rPr>
        <w:t>Anor</w:t>
      </w:r>
      <w:r w:rsidR="00AC6E73">
        <w:rPr>
          <w:i/>
        </w:rPr>
        <w:t xml:space="preserve"> </w:t>
      </w:r>
      <w:r w:rsidR="00D31F1B" w:rsidRPr="004A2599">
        <w:rPr>
          <w:i/>
        </w:rPr>
        <w:t>v</w:t>
      </w:r>
      <w:r w:rsidR="005329F4">
        <w:rPr>
          <w:i/>
        </w:rPr>
        <w:t>.</w:t>
      </w:r>
      <w:r w:rsidR="00D31F1B" w:rsidRPr="004A2599">
        <w:rPr>
          <w:i/>
        </w:rPr>
        <w:t xml:space="preserve"> </w:t>
      </w:r>
      <w:r w:rsidR="00AC6E73">
        <w:rPr>
          <w:i/>
        </w:rPr>
        <w:t>Vital</w:t>
      </w:r>
      <w:r w:rsidR="00662CEA">
        <w:rPr>
          <w:i/>
        </w:rPr>
        <w:t xml:space="preserve"> </w:t>
      </w:r>
      <w:r w:rsidR="00D31F1B" w:rsidRPr="004A2599">
        <w:t>(</w:t>
      </w:r>
      <w:r w:rsidR="00AC6E73">
        <w:t>CA02/2023</w:t>
      </w:r>
      <w:r w:rsidR="006C4233">
        <w:t>) [2023</w:t>
      </w:r>
      <w:r w:rsidR="00D31F1B" w:rsidRPr="004A2599">
        <w:t xml:space="preserve">] SCSC </w:t>
      </w:r>
      <w:r w:rsidR="006C4233">
        <w:t xml:space="preserve">     </w:t>
      </w:r>
      <w:r w:rsidR="009C2837">
        <w:t xml:space="preserve"> </w:t>
      </w:r>
      <w:r w:rsidR="00D31F1B" w:rsidRPr="004A2599">
        <w:t>(</w:t>
      </w:r>
      <w:r w:rsidR="009E5E33">
        <w:t>14</w:t>
      </w:r>
      <w:r w:rsidR="005D38D9" w:rsidRPr="005D38D9">
        <w:rPr>
          <w:vertAlign w:val="superscript"/>
        </w:rPr>
        <w:t>th</w:t>
      </w:r>
      <w:r w:rsidR="005D38D9">
        <w:t xml:space="preserve"> </w:t>
      </w:r>
      <w:r w:rsidR="00F5419B">
        <w:t>August</w:t>
      </w:r>
      <w:r w:rsidR="00AC6E73">
        <w:t xml:space="preserve"> 2023)</w:t>
      </w:r>
    </w:p>
    <w:p w14:paraId="4F5D8BE1" w14:textId="77777777" w:rsidR="002E2AE3" w:rsidRPr="00816EC4" w:rsidRDefault="009F125D" w:rsidP="00214DB4">
      <w:pPr>
        <w:ind w:left="1890" w:hanging="1890"/>
      </w:pPr>
      <w:r>
        <w:rPr>
          <w:b/>
        </w:rPr>
        <w:t>Before</w:t>
      </w:r>
      <w:r w:rsidR="00405958" w:rsidRPr="004A2599">
        <w:rPr>
          <w:b/>
        </w:rPr>
        <w:t xml:space="preserve">: </w:t>
      </w:r>
      <w:r w:rsidR="004A2599">
        <w:rPr>
          <w:b/>
        </w:rPr>
        <w:tab/>
      </w:r>
      <w:r w:rsidR="009C2837">
        <w:t>A. Madeleine, J</w:t>
      </w:r>
    </w:p>
    <w:p w14:paraId="52CC28DA" w14:textId="0231B1BA" w:rsidR="00344425" w:rsidRPr="00816EC4" w:rsidRDefault="00346D7F" w:rsidP="00214DB4">
      <w:pPr>
        <w:ind w:left="1890" w:hanging="1890"/>
      </w:pPr>
      <w:r w:rsidRPr="00816EC4">
        <w:rPr>
          <w:b/>
        </w:rPr>
        <w:t>Summary</w:t>
      </w:r>
      <w:r w:rsidRPr="00816EC4">
        <w:t xml:space="preserve">: </w:t>
      </w:r>
      <w:r w:rsidR="00F33B83" w:rsidRPr="00816EC4">
        <w:tab/>
      </w:r>
      <w:r w:rsidR="005A04DA" w:rsidRPr="005D38D9">
        <w:rPr>
          <w:iCs/>
        </w:rPr>
        <w:t>Appeal from Rent Board</w:t>
      </w:r>
      <w:r w:rsidR="00AC6E73" w:rsidRPr="00816EC4">
        <w:t xml:space="preserve"> </w:t>
      </w:r>
    </w:p>
    <w:p w14:paraId="7D482588" w14:textId="6D826F55" w:rsidR="00344425" w:rsidRPr="005B12AA" w:rsidRDefault="00344425" w:rsidP="00214DB4">
      <w:pPr>
        <w:tabs>
          <w:tab w:val="left" w:pos="720"/>
          <w:tab w:val="left" w:pos="1440"/>
          <w:tab w:val="left" w:pos="2160"/>
        </w:tabs>
        <w:ind w:left="1890" w:hanging="1890"/>
      </w:pPr>
      <w:r w:rsidRPr="004A2599">
        <w:rPr>
          <w:b/>
        </w:rPr>
        <w:t xml:space="preserve">Heard: </w:t>
      </w:r>
      <w:r w:rsidR="005B12AA" w:rsidRPr="005B12AA">
        <w:tab/>
      </w:r>
      <w:r w:rsidR="00816EC4">
        <w:tab/>
        <w:t>Written submissions</w:t>
      </w:r>
      <w:r w:rsidR="009C2837">
        <w:tab/>
      </w:r>
    </w:p>
    <w:p w14:paraId="53D4D9A7" w14:textId="4D2CAA16" w:rsidR="00344425" w:rsidRPr="00F33B83" w:rsidRDefault="00344425" w:rsidP="00214DB4">
      <w:pPr>
        <w:pBdr>
          <w:bottom w:val="single" w:sz="4" w:space="1" w:color="auto"/>
        </w:pBdr>
        <w:ind w:left="1890" w:hanging="1890"/>
      </w:pPr>
      <w:r w:rsidRPr="004A2599">
        <w:rPr>
          <w:b/>
        </w:rPr>
        <w:t>Delivered:</w:t>
      </w:r>
      <w:r w:rsidR="004A2599" w:rsidRPr="004A2599">
        <w:rPr>
          <w:b/>
        </w:rPr>
        <w:tab/>
      </w:r>
      <w:r w:rsidR="00E64739">
        <w:t>14</w:t>
      </w:r>
      <w:r w:rsidR="005D38D9" w:rsidRPr="005D38D9">
        <w:rPr>
          <w:vertAlign w:val="superscript"/>
        </w:rPr>
        <w:t>th</w:t>
      </w:r>
      <w:r w:rsidR="005D38D9">
        <w:t xml:space="preserve"> </w:t>
      </w:r>
      <w:r w:rsidR="00F5419B">
        <w:t>August</w:t>
      </w:r>
      <w:r w:rsidR="00816EC4" w:rsidRPr="00816EC4">
        <w:t xml:space="preserve"> 2023</w:t>
      </w:r>
    </w:p>
    <w:p w14:paraId="27AEB044" w14:textId="77777777" w:rsidR="00ED0BFC" w:rsidRDefault="00ED0BFC" w:rsidP="00214DB4">
      <w:pPr>
        <w:tabs>
          <w:tab w:val="left" w:pos="2892"/>
        </w:tabs>
        <w:spacing w:before="120"/>
        <w:jc w:val="center"/>
        <w:rPr>
          <w:b/>
        </w:rPr>
      </w:pPr>
      <w:r w:rsidRPr="004A2599">
        <w:rPr>
          <w:b/>
        </w:rPr>
        <w:t xml:space="preserve">ORDER </w:t>
      </w:r>
    </w:p>
    <w:p w14:paraId="73ACD6F3" w14:textId="5A5C3BA4" w:rsidR="009C2837" w:rsidRDefault="00F5419B" w:rsidP="004F38E7">
      <w:pPr>
        <w:tabs>
          <w:tab w:val="left" w:pos="2892"/>
        </w:tabs>
        <w:spacing w:before="120"/>
      </w:pPr>
      <w:r>
        <w:t>Appeal is dismissed.</w:t>
      </w:r>
    </w:p>
    <w:p w14:paraId="48BF1599" w14:textId="77777777" w:rsidR="004F38E7" w:rsidRPr="004A2599" w:rsidRDefault="004F38E7" w:rsidP="004F38E7">
      <w:pPr>
        <w:tabs>
          <w:tab w:val="left" w:pos="2892"/>
        </w:tabs>
        <w:spacing w:before="120"/>
        <w:rPr>
          <w:b/>
        </w:rPr>
      </w:pPr>
    </w:p>
    <w:p w14:paraId="2245C7E0" w14:textId="77777777" w:rsidR="009C2837" w:rsidRDefault="009C2837" w:rsidP="00214DB4">
      <w:pPr>
        <w:pBdr>
          <w:top w:val="single" w:sz="4" w:space="1" w:color="auto"/>
          <w:bottom w:val="single" w:sz="4" w:space="1" w:color="auto"/>
        </w:pBdr>
        <w:tabs>
          <w:tab w:val="left" w:pos="2892"/>
        </w:tabs>
        <w:rPr>
          <w:b/>
        </w:rPr>
      </w:pPr>
    </w:p>
    <w:p w14:paraId="6A1194CB" w14:textId="49720541" w:rsidR="00F33B83" w:rsidRDefault="00443269" w:rsidP="00214DB4">
      <w:pPr>
        <w:pBdr>
          <w:top w:val="single" w:sz="4" w:space="1" w:color="auto"/>
          <w:bottom w:val="single" w:sz="4" w:space="1" w:color="auto"/>
        </w:pBdr>
        <w:spacing w:before="120" w:after="120"/>
        <w:jc w:val="center"/>
        <w:rPr>
          <w:b/>
        </w:rPr>
      </w:pPr>
      <w:r>
        <w:rPr>
          <w:b/>
        </w:rPr>
        <w:t>JUDGMENT</w:t>
      </w:r>
    </w:p>
    <w:p w14:paraId="3F862755" w14:textId="77777777" w:rsidR="00F33B83" w:rsidRPr="00F33B83" w:rsidRDefault="00F33B83" w:rsidP="00662CEA">
      <w:pPr>
        <w:pBdr>
          <w:top w:val="single" w:sz="4" w:space="1" w:color="auto"/>
          <w:bottom w:val="single" w:sz="4" w:space="1" w:color="auto"/>
        </w:pBdr>
        <w:tabs>
          <w:tab w:val="left" w:pos="2892"/>
        </w:tabs>
        <w:spacing w:line="276" w:lineRule="auto"/>
        <w:rPr>
          <w:b/>
        </w:rPr>
      </w:pPr>
    </w:p>
    <w:p w14:paraId="189FBDD3" w14:textId="77777777" w:rsidR="00722761" w:rsidRPr="004A2599" w:rsidRDefault="00722761" w:rsidP="00722761"/>
    <w:p w14:paraId="4342083E" w14:textId="30618FB5" w:rsidR="005B12AA" w:rsidRPr="00882EAA" w:rsidRDefault="009C2837" w:rsidP="00882EAA">
      <w:pPr>
        <w:pStyle w:val="JudgmentText"/>
        <w:numPr>
          <w:ilvl w:val="0"/>
          <w:numId w:val="0"/>
        </w:numPr>
        <w:ind w:left="720" w:hanging="720"/>
        <w:rPr>
          <w:b/>
        </w:rPr>
      </w:pPr>
      <w:r w:rsidRPr="00882EAA">
        <w:rPr>
          <w:b/>
        </w:rPr>
        <w:t>MADELEINE</w:t>
      </w:r>
      <w:r w:rsidR="005329F4" w:rsidRPr="00882EAA">
        <w:rPr>
          <w:b/>
        </w:rPr>
        <w:t>,</w:t>
      </w:r>
      <w:r w:rsidRPr="00882EAA">
        <w:rPr>
          <w:b/>
        </w:rPr>
        <w:t xml:space="preserve"> J</w:t>
      </w:r>
    </w:p>
    <w:p w14:paraId="7F3511E9" w14:textId="0C83DDC3" w:rsidR="002D2AA5" w:rsidRPr="00882EAA" w:rsidRDefault="002D2AA5" w:rsidP="00882EAA">
      <w:pPr>
        <w:pStyle w:val="JudgmentText"/>
        <w:numPr>
          <w:ilvl w:val="0"/>
          <w:numId w:val="0"/>
        </w:numPr>
        <w:ind w:left="720" w:hanging="720"/>
        <w:rPr>
          <w:b/>
        </w:rPr>
      </w:pPr>
      <w:r w:rsidRPr="00882EAA">
        <w:rPr>
          <w:b/>
        </w:rPr>
        <w:t>Background</w:t>
      </w:r>
    </w:p>
    <w:p w14:paraId="39DF2DD3" w14:textId="6DD4D5F9" w:rsidR="00C4344C" w:rsidRPr="00882EAA" w:rsidRDefault="00C4344C" w:rsidP="002D2AA5">
      <w:pPr>
        <w:pStyle w:val="JudgmentText"/>
        <w:numPr>
          <w:ilvl w:val="0"/>
          <w:numId w:val="0"/>
        </w:numPr>
        <w:spacing w:line="480" w:lineRule="auto"/>
        <w:ind w:left="720" w:hanging="720"/>
        <w:rPr>
          <w:bCs/>
          <w:i/>
          <w:iCs/>
        </w:rPr>
      </w:pPr>
      <w:r w:rsidRPr="00882EAA">
        <w:rPr>
          <w:bCs/>
          <w:i/>
          <w:iCs/>
        </w:rPr>
        <w:t>Parties</w:t>
      </w:r>
    </w:p>
    <w:p w14:paraId="1FE4B38F" w14:textId="1B358CE2" w:rsidR="00925006" w:rsidRPr="00E64739" w:rsidRDefault="00B53070" w:rsidP="001B31AC">
      <w:pPr>
        <w:pStyle w:val="ListParagraph"/>
        <w:numPr>
          <w:ilvl w:val="0"/>
          <w:numId w:val="12"/>
        </w:numPr>
        <w:spacing w:after="0" w:line="360" w:lineRule="auto"/>
        <w:ind w:left="709" w:hanging="709"/>
        <w:jc w:val="both"/>
        <w:rPr>
          <w:rFonts w:ascii="Times New Roman" w:hAnsi="Times New Roman" w:cs="Times New Roman"/>
          <w:i/>
          <w:iCs/>
          <w:sz w:val="24"/>
          <w:szCs w:val="24"/>
        </w:rPr>
      </w:pPr>
      <w:r w:rsidRPr="00E64739">
        <w:rPr>
          <w:rFonts w:ascii="Times New Roman" w:hAnsi="Times New Roman" w:cs="Times New Roman"/>
          <w:sz w:val="24"/>
          <w:szCs w:val="24"/>
        </w:rPr>
        <w:t xml:space="preserve">The </w:t>
      </w:r>
      <w:r w:rsidR="00E64739" w:rsidRPr="00E64739">
        <w:rPr>
          <w:rFonts w:ascii="Times New Roman" w:hAnsi="Times New Roman" w:cs="Times New Roman"/>
          <w:sz w:val="24"/>
          <w:szCs w:val="24"/>
        </w:rPr>
        <w:t>2</w:t>
      </w:r>
      <w:r w:rsidR="009E3127" w:rsidRPr="009E3127">
        <w:rPr>
          <w:rFonts w:ascii="Times New Roman" w:hAnsi="Times New Roman" w:cs="Times New Roman"/>
          <w:sz w:val="24"/>
          <w:szCs w:val="24"/>
          <w:vertAlign w:val="superscript"/>
        </w:rPr>
        <w:t>nd</w:t>
      </w:r>
      <w:r w:rsidR="009E3127">
        <w:rPr>
          <w:rFonts w:ascii="Times New Roman" w:hAnsi="Times New Roman" w:cs="Times New Roman"/>
          <w:sz w:val="24"/>
          <w:szCs w:val="24"/>
        </w:rPr>
        <w:t xml:space="preserve"> </w:t>
      </w:r>
      <w:r w:rsidR="009E3127" w:rsidRPr="00E64739">
        <w:rPr>
          <w:rFonts w:ascii="Times New Roman" w:hAnsi="Times New Roman" w:cs="Times New Roman"/>
          <w:sz w:val="24"/>
          <w:szCs w:val="24"/>
        </w:rPr>
        <w:t>Appellant</w:t>
      </w:r>
      <w:r w:rsidR="00E64739" w:rsidRPr="00E64739">
        <w:rPr>
          <w:rFonts w:ascii="Times New Roman" w:hAnsi="Times New Roman" w:cs="Times New Roman"/>
          <w:sz w:val="24"/>
          <w:szCs w:val="24"/>
        </w:rPr>
        <w:t xml:space="preserve"> and the Respondent are daughter</w:t>
      </w:r>
      <w:r w:rsidR="009E3127">
        <w:rPr>
          <w:rFonts w:ascii="Times New Roman" w:hAnsi="Times New Roman" w:cs="Times New Roman"/>
          <w:sz w:val="24"/>
          <w:szCs w:val="24"/>
        </w:rPr>
        <w:t xml:space="preserve"> and mother.</w:t>
      </w:r>
      <w:r w:rsidR="00E64739" w:rsidRPr="00E64739">
        <w:rPr>
          <w:rFonts w:ascii="Times New Roman" w:hAnsi="Times New Roman" w:cs="Times New Roman"/>
          <w:sz w:val="24"/>
          <w:szCs w:val="24"/>
        </w:rPr>
        <w:t xml:space="preserve"> </w:t>
      </w:r>
      <w:r w:rsidRPr="00E64739">
        <w:rPr>
          <w:rFonts w:ascii="Times New Roman" w:hAnsi="Times New Roman" w:cs="Times New Roman"/>
          <w:sz w:val="24"/>
          <w:szCs w:val="24"/>
        </w:rPr>
        <w:t>The 1</w:t>
      </w:r>
      <w:r w:rsidR="009E3127" w:rsidRPr="009E3127">
        <w:rPr>
          <w:rFonts w:ascii="Times New Roman" w:hAnsi="Times New Roman" w:cs="Times New Roman"/>
          <w:sz w:val="24"/>
          <w:szCs w:val="24"/>
          <w:vertAlign w:val="superscript"/>
        </w:rPr>
        <w:t>st</w:t>
      </w:r>
      <w:r w:rsidR="009E3127">
        <w:rPr>
          <w:rFonts w:ascii="Times New Roman" w:hAnsi="Times New Roman" w:cs="Times New Roman"/>
          <w:sz w:val="24"/>
          <w:szCs w:val="24"/>
        </w:rPr>
        <w:t xml:space="preserve"> </w:t>
      </w:r>
      <w:r w:rsidR="009E3127" w:rsidRPr="00E64739">
        <w:rPr>
          <w:rFonts w:ascii="Times New Roman" w:hAnsi="Times New Roman" w:cs="Times New Roman"/>
          <w:sz w:val="24"/>
          <w:szCs w:val="24"/>
        </w:rPr>
        <w:t>Appellant</w:t>
      </w:r>
      <w:r w:rsidRPr="00E64739">
        <w:rPr>
          <w:rFonts w:ascii="Times New Roman" w:hAnsi="Times New Roman" w:cs="Times New Roman"/>
          <w:sz w:val="24"/>
          <w:szCs w:val="24"/>
        </w:rPr>
        <w:t xml:space="preserve"> is the </w:t>
      </w:r>
      <w:r w:rsidR="00E64739" w:rsidRPr="00E64739">
        <w:rPr>
          <w:rFonts w:ascii="Times New Roman" w:hAnsi="Times New Roman" w:cs="Times New Roman"/>
          <w:sz w:val="24"/>
          <w:szCs w:val="24"/>
        </w:rPr>
        <w:t>husband of the 2</w:t>
      </w:r>
      <w:r w:rsidR="009E3127" w:rsidRPr="009E3127">
        <w:rPr>
          <w:rFonts w:ascii="Times New Roman" w:hAnsi="Times New Roman" w:cs="Times New Roman"/>
          <w:sz w:val="24"/>
          <w:szCs w:val="24"/>
          <w:vertAlign w:val="superscript"/>
        </w:rPr>
        <w:t>nd</w:t>
      </w:r>
      <w:r w:rsidR="009E3127">
        <w:rPr>
          <w:rFonts w:ascii="Times New Roman" w:hAnsi="Times New Roman" w:cs="Times New Roman"/>
          <w:sz w:val="24"/>
          <w:szCs w:val="24"/>
        </w:rPr>
        <w:t xml:space="preserve"> </w:t>
      </w:r>
      <w:r w:rsidR="009E3127" w:rsidRPr="00E64739">
        <w:rPr>
          <w:rFonts w:ascii="Times New Roman" w:hAnsi="Times New Roman" w:cs="Times New Roman"/>
          <w:sz w:val="24"/>
          <w:szCs w:val="24"/>
        </w:rPr>
        <w:t>Appellant</w:t>
      </w:r>
      <w:r w:rsidR="00E64739" w:rsidRPr="00E64739">
        <w:rPr>
          <w:rFonts w:ascii="Times New Roman" w:hAnsi="Times New Roman" w:cs="Times New Roman"/>
          <w:sz w:val="24"/>
          <w:szCs w:val="24"/>
        </w:rPr>
        <w:t xml:space="preserve"> and the </w:t>
      </w:r>
      <w:r w:rsidRPr="00E64739">
        <w:rPr>
          <w:rFonts w:ascii="Times New Roman" w:hAnsi="Times New Roman" w:cs="Times New Roman"/>
          <w:sz w:val="24"/>
          <w:szCs w:val="24"/>
        </w:rPr>
        <w:t>son in law of the Respondent</w:t>
      </w:r>
      <w:r w:rsidR="00E64739" w:rsidRPr="00E64739">
        <w:rPr>
          <w:rFonts w:ascii="Times New Roman" w:hAnsi="Times New Roman" w:cs="Times New Roman"/>
          <w:sz w:val="24"/>
          <w:szCs w:val="24"/>
        </w:rPr>
        <w:t>.</w:t>
      </w:r>
      <w:r w:rsidRPr="00E64739">
        <w:rPr>
          <w:rFonts w:ascii="Times New Roman" w:hAnsi="Times New Roman" w:cs="Times New Roman"/>
          <w:sz w:val="24"/>
          <w:szCs w:val="24"/>
        </w:rPr>
        <w:t xml:space="preserve"> </w:t>
      </w:r>
    </w:p>
    <w:p w14:paraId="1AE7D8B9" w14:textId="77777777" w:rsidR="00E64739" w:rsidRPr="00E64739" w:rsidRDefault="00E64739" w:rsidP="00E64739">
      <w:pPr>
        <w:pStyle w:val="ListParagraph"/>
        <w:spacing w:after="0" w:line="360" w:lineRule="auto"/>
        <w:ind w:left="709"/>
        <w:jc w:val="both"/>
        <w:rPr>
          <w:rFonts w:ascii="Times New Roman" w:hAnsi="Times New Roman" w:cs="Times New Roman"/>
          <w:i/>
          <w:iCs/>
          <w:sz w:val="24"/>
          <w:szCs w:val="24"/>
        </w:rPr>
      </w:pPr>
    </w:p>
    <w:p w14:paraId="187C5540" w14:textId="7448E8B6" w:rsidR="001A14C6" w:rsidRPr="00882EAA" w:rsidRDefault="001A14C6" w:rsidP="000A34B9">
      <w:pPr>
        <w:pStyle w:val="ListParagraph"/>
        <w:numPr>
          <w:ilvl w:val="0"/>
          <w:numId w:val="12"/>
        </w:numPr>
        <w:spacing w:after="0" w:line="360" w:lineRule="auto"/>
        <w:ind w:left="709" w:hanging="709"/>
        <w:jc w:val="both"/>
        <w:rPr>
          <w:rFonts w:ascii="Times New Roman" w:hAnsi="Times New Roman" w:cs="Times New Roman"/>
          <w:i/>
          <w:iCs/>
          <w:sz w:val="24"/>
          <w:szCs w:val="24"/>
        </w:rPr>
      </w:pPr>
      <w:r w:rsidRPr="00882EAA">
        <w:rPr>
          <w:rFonts w:ascii="Times New Roman" w:hAnsi="Times New Roman" w:cs="Times New Roman"/>
          <w:sz w:val="24"/>
          <w:szCs w:val="24"/>
        </w:rPr>
        <w:t xml:space="preserve">At the outset, </w:t>
      </w:r>
      <w:r w:rsidR="00C56303" w:rsidRPr="00882EAA">
        <w:rPr>
          <w:rFonts w:ascii="Times New Roman" w:hAnsi="Times New Roman" w:cs="Times New Roman"/>
          <w:sz w:val="24"/>
          <w:szCs w:val="24"/>
        </w:rPr>
        <w:t xml:space="preserve">I </w:t>
      </w:r>
      <w:r w:rsidR="000A34B9" w:rsidRPr="00882EAA">
        <w:rPr>
          <w:rFonts w:ascii="Times New Roman" w:hAnsi="Times New Roman" w:cs="Times New Roman"/>
          <w:sz w:val="24"/>
          <w:szCs w:val="24"/>
        </w:rPr>
        <w:t>must state</w:t>
      </w:r>
      <w:r w:rsidR="00C56303" w:rsidRPr="00882EAA">
        <w:rPr>
          <w:rFonts w:ascii="Times New Roman" w:hAnsi="Times New Roman" w:cs="Times New Roman"/>
          <w:sz w:val="24"/>
          <w:szCs w:val="24"/>
        </w:rPr>
        <w:t xml:space="preserve"> that it is very unfortunate that the parties </w:t>
      </w:r>
      <w:r w:rsidR="00E64739">
        <w:rPr>
          <w:rFonts w:ascii="Times New Roman" w:hAnsi="Times New Roman" w:cs="Times New Roman"/>
          <w:sz w:val="24"/>
          <w:szCs w:val="24"/>
        </w:rPr>
        <w:t xml:space="preserve">herein </w:t>
      </w:r>
      <w:r w:rsidR="00C56303" w:rsidRPr="00882EAA">
        <w:rPr>
          <w:rFonts w:ascii="Times New Roman" w:hAnsi="Times New Roman" w:cs="Times New Roman"/>
          <w:sz w:val="24"/>
          <w:szCs w:val="24"/>
        </w:rPr>
        <w:t>could not reach a compromise solution to the matters giving rise to this appeal given their close familial relationship. I can only sympathise with both sides in the circumstances</w:t>
      </w:r>
      <w:r w:rsidR="00DD38F3" w:rsidRPr="00882EAA">
        <w:rPr>
          <w:rFonts w:ascii="Times New Roman" w:hAnsi="Times New Roman" w:cs="Times New Roman"/>
          <w:sz w:val="24"/>
          <w:szCs w:val="24"/>
        </w:rPr>
        <w:t>.</w:t>
      </w:r>
    </w:p>
    <w:p w14:paraId="47834CD7" w14:textId="1327BA3C" w:rsidR="00C4344C" w:rsidRPr="00882EAA" w:rsidRDefault="00C4344C" w:rsidP="000A34B9">
      <w:pPr>
        <w:spacing w:line="360" w:lineRule="auto"/>
        <w:jc w:val="both"/>
        <w:rPr>
          <w:i/>
          <w:iCs/>
        </w:rPr>
      </w:pPr>
    </w:p>
    <w:p w14:paraId="76205960" w14:textId="5C8FB1F6" w:rsidR="00C4344C" w:rsidRPr="00882EAA" w:rsidRDefault="00C4344C" w:rsidP="000A34B9">
      <w:pPr>
        <w:spacing w:line="360" w:lineRule="auto"/>
        <w:jc w:val="both"/>
        <w:rPr>
          <w:i/>
          <w:iCs/>
        </w:rPr>
      </w:pPr>
      <w:r w:rsidRPr="00882EAA">
        <w:rPr>
          <w:i/>
          <w:iCs/>
        </w:rPr>
        <w:t>Premises</w:t>
      </w:r>
    </w:p>
    <w:p w14:paraId="21EF33F9" w14:textId="77777777" w:rsidR="002D2AA5" w:rsidRPr="00882EAA" w:rsidRDefault="002D2AA5" w:rsidP="000A34B9">
      <w:pPr>
        <w:pStyle w:val="ListParagraph"/>
        <w:spacing w:line="360" w:lineRule="auto"/>
        <w:rPr>
          <w:rFonts w:ascii="Times New Roman" w:hAnsi="Times New Roman" w:cs="Times New Roman"/>
          <w:sz w:val="24"/>
          <w:szCs w:val="24"/>
        </w:rPr>
      </w:pPr>
    </w:p>
    <w:p w14:paraId="70A98D07" w14:textId="6FAD66D9" w:rsidR="002D2AA5" w:rsidRPr="00882EAA" w:rsidRDefault="002D2AA5" w:rsidP="000A34B9">
      <w:pPr>
        <w:pStyle w:val="ListParagraph"/>
        <w:numPr>
          <w:ilvl w:val="0"/>
          <w:numId w:val="12"/>
        </w:numPr>
        <w:spacing w:after="0" w:line="360" w:lineRule="auto"/>
        <w:ind w:left="709" w:hanging="720"/>
        <w:jc w:val="both"/>
        <w:rPr>
          <w:rFonts w:ascii="Times New Roman" w:hAnsi="Times New Roman" w:cs="Times New Roman"/>
          <w:i/>
          <w:iCs/>
          <w:sz w:val="24"/>
          <w:szCs w:val="24"/>
        </w:rPr>
      </w:pPr>
      <w:r w:rsidRPr="00882EAA">
        <w:rPr>
          <w:rFonts w:ascii="Times New Roman" w:hAnsi="Times New Roman" w:cs="Times New Roman"/>
          <w:sz w:val="24"/>
          <w:szCs w:val="24"/>
        </w:rPr>
        <w:t>On 1</w:t>
      </w:r>
      <w:r w:rsidR="00602D24" w:rsidRPr="00602D24">
        <w:rPr>
          <w:rFonts w:ascii="Times New Roman" w:hAnsi="Times New Roman" w:cs="Times New Roman"/>
          <w:sz w:val="24"/>
          <w:szCs w:val="24"/>
          <w:vertAlign w:val="superscript"/>
        </w:rPr>
        <w:t>st</w:t>
      </w:r>
      <w:r w:rsidR="00602D24">
        <w:rPr>
          <w:rFonts w:ascii="Times New Roman" w:hAnsi="Times New Roman" w:cs="Times New Roman"/>
          <w:sz w:val="24"/>
          <w:szCs w:val="24"/>
        </w:rPr>
        <w:t xml:space="preserve"> </w:t>
      </w:r>
      <w:r w:rsidRPr="00882EAA">
        <w:rPr>
          <w:rFonts w:ascii="Times New Roman" w:hAnsi="Times New Roman" w:cs="Times New Roman"/>
          <w:sz w:val="24"/>
          <w:szCs w:val="24"/>
        </w:rPr>
        <w:t xml:space="preserve">August 2017, the parties signed a </w:t>
      </w:r>
      <w:r w:rsidR="00FD49B2" w:rsidRPr="00882EAA">
        <w:rPr>
          <w:rFonts w:ascii="Times New Roman" w:hAnsi="Times New Roman" w:cs="Times New Roman"/>
          <w:sz w:val="24"/>
          <w:szCs w:val="24"/>
        </w:rPr>
        <w:t>“</w:t>
      </w:r>
      <w:r w:rsidRPr="00882EAA">
        <w:rPr>
          <w:rFonts w:ascii="Times New Roman" w:hAnsi="Times New Roman" w:cs="Times New Roman"/>
          <w:sz w:val="24"/>
          <w:szCs w:val="24"/>
        </w:rPr>
        <w:t xml:space="preserve">Building and Rental </w:t>
      </w:r>
      <w:r w:rsidR="00FD49B2" w:rsidRPr="00882EAA">
        <w:rPr>
          <w:rFonts w:ascii="Times New Roman" w:hAnsi="Times New Roman" w:cs="Times New Roman"/>
          <w:sz w:val="24"/>
          <w:szCs w:val="24"/>
        </w:rPr>
        <w:t>A</w:t>
      </w:r>
      <w:r w:rsidRPr="00882EAA">
        <w:rPr>
          <w:rFonts w:ascii="Times New Roman" w:hAnsi="Times New Roman" w:cs="Times New Roman"/>
          <w:sz w:val="24"/>
          <w:szCs w:val="24"/>
        </w:rPr>
        <w:t>greement</w:t>
      </w:r>
      <w:r w:rsidR="00FD49B2" w:rsidRPr="00882EAA">
        <w:rPr>
          <w:rFonts w:ascii="Times New Roman" w:hAnsi="Times New Roman" w:cs="Times New Roman"/>
          <w:sz w:val="24"/>
          <w:szCs w:val="24"/>
        </w:rPr>
        <w:t xml:space="preserve">” in respect of </w:t>
      </w:r>
      <w:r w:rsidR="003571E7" w:rsidRPr="00882EAA">
        <w:rPr>
          <w:rFonts w:ascii="Times New Roman" w:hAnsi="Times New Roman" w:cs="Times New Roman"/>
          <w:sz w:val="24"/>
          <w:szCs w:val="24"/>
        </w:rPr>
        <w:t xml:space="preserve">the </w:t>
      </w:r>
      <w:r w:rsidR="00FD49B2" w:rsidRPr="00882EAA">
        <w:rPr>
          <w:rFonts w:ascii="Times New Roman" w:hAnsi="Times New Roman" w:cs="Times New Roman"/>
          <w:sz w:val="24"/>
          <w:szCs w:val="24"/>
        </w:rPr>
        <w:t xml:space="preserve">unfinished attic </w:t>
      </w:r>
      <w:r w:rsidR="003571E7" w:rsidRPr="00882EAA">
        <w:rPr>
          <w:rFonts w:ascii="Times New Roman" w:hAnsi="Times New Roman" w:cs="Times New Roman"/>
          <w:sz w:val="24"/>
          <w:szCs w:val="24"/>
        </w:rPr>
        <w:t xml:space="preserve">floor </w:t>
      </w:r>
      <w:r w:rsidR="00E64739">
        <w:rPr>
          <w:rFonts w:ascii="Times New Roman" w:hAnsi="Times New Roman" w:cs="Times New Roman"/>
          <w:sz w:val="24"/>
          <w:szCs w:val="24"/>
        </w:rPr>
        <w:t>of</w:t>
      </w:r>
      <w:r w:rsidR="00FD49B2" w:rsidRPr="00882EAA">
        <w:rPr>
          <w:rFonts w:ascii="Times New Roman" w:hAnsi="Times New Roman" w:cs="Times New Roman"/>
          <w:sz w:val="24"/>
          <w:szCs w:val="24"/>
        </w:rPr>
        <w:t xml:space="preserve"> a dwelling house situated </w:t>
      </w:r>
      <w:r w:rsidR="00882EAA" w:rsidRPr="00882EAA">
        <w:rPr>
          <w:rFonts w:ascii="Times New Roman" w:hAnsi="Times New Roman" w:cs="Times New Roman"/>
          <w:sz w:val="24"/>
          <w:szCs w:val="24"/>
        </w:rPr>
        <w:t xml:space="preserve">on land parcel V3319 </w:t>
      </w:r>
      <w:r w:rsidR="00FD49B2" w:rsidRPr="00882EAA">
        <w:rPr>
          <w:rFonts w:ascii="Times New Roman" w:hAnsi="Times New Roman" w:cs="Times New Roman"/>
          <w:sz w:val="24"/>
          <w:szCs w:val="24"/>
        </w:rPr>
        <w:t>at Basin Blue, La Louise (hereinafter referred to as the “Premises”)</w:t>
      </w:r>
      <w:r w:rsidRPr="00882EAA">
        <w:rPr>
          <w:rFonts w:ascii="Times New Roman" w:hAnsi="Times New Roman" w:cs="Times New Roman"/>
          <w:sz w:val="24"/>
          <w:szCs w:val="24"/>
        </w:rPr>
        <w:t xml:space="preserve">.  </w:t>
      </w:r>
      <w:r w:rsidR="00FD49B2" w:rsidRPr="00882EAA">
        <w:rPr>
          <w:rFonts w:ascii="Times New Roman" w:hAnsi="Times New Roman" w:cs="Times New Roman"/>
          <w:sz w:val="24"/>
          <w:szCs w:val="24"/>
        </w:rPr>
        <w:t>At the time, the Premises w</w:t>
      </w:r>
      <w:r w:rsidR="00A7567E">
        <w:rPr>
          <w:rFonts w:ascii="Times New Roman" w:hAnsi="Times New Roman" w:cs="Times New Roman"/>
          <w:sz w:val="24"/>
          <w:szCs w:val="24"/>
        </w:rPr>
        <w:t>ere</w:t>
      </w:r>
      <w:r w:rsidR="00FD49B2" w:rsidRPr="00882EAA">
        <w:rPr>
          <w:rFonts w:ascii="Times New Roman" w:hAnsi="Times New Roman" w:cs="Times New Roman"/>
          <w:sz w:val="24"/>
          <w:szCs w:val="24"/>
        </w:rPr>
        <w:t xml:space="preserve"> solely owned by the </w:t>
      </w:r>
      <w:r w:rsidRPr="00882EAA">
        <w:rPr>
          <w:rFonts w:ascii="Times New Roman" w:hAnsi="Times New Roman" w:cs="Times New Roman"/>
          <w:sz w:val="24"/>
          <w:szCs w:val="24"/>
        </w:rPr>
        <w:t>Respondent’s husband, Mr Philippe Vital</w:t>
      </w:r>
      <w:r w:rsidR="00882EAA">
        <w:rPr>
          <w:rFonts w:ascii="Times New Roman" w:hAnsi="Times New Roman" w:cs="Times New Roman"/>
          <w:sz w:val="24"/>
          <w:szCs w:val="24"/>
        </w:rPr>
        <w:t xml:space="preserve">. </w:t>
      </w:r>
      <w:r w:rsidR="00FD49B2" w:rsidRPr="00882EAA">
        <w:rPr>
          <w:rFonts w:ascii="Times New Roman" w:hAnsi="Times New Roman" w:cs="Times New Roman"/>
          <w:sz w:val="24"/>
          <w:szCs w:val="24"/>
        </w:rPr>
        <w:t>Though</w:t>
      </w:r>
      <w:r w:rsidRPr="00882EAA">
        <w:rPr>
          <w:rFonts w:ascii="Times New Roman" w:hAnsi="Times New Roman" w:cs="Times New Roman"/>
          <w:sz w:val="24"/>
          <w:szCs w:val="24"/>
        </w:rPr>
        <w:t xml:space="preserve"> mentioned as a party</w:t>
      </w:r>
      <w:r w:rsidR="00FD49B2" w:rsidRPr="00882EAA">
        <w:rPr>
          <w:rFonts w:ascii="Times New Roman" w:hAnsi="Times New Roman" w:cs="Times New Roman"/>
          <w:sz w:val="24"/>
          <w:szCs w:val="24"/>
        </w:rPr>
        <w:t xml:space="preserve"> to</w:t>
      </w:r>
      <w:r w:rsidRPr="00882EAA">
        <w:rPr>
          <w:rFonts w:ascii="Times New Roman" w:hAnsi="Times New Roman" w:cs="Times New Roman"/>
          <w:sz w:val="24"/>
          <w:szCs w:val="24"/>
        </w:rPr>
        <w:t xml:space="preserve"> the </w:t>
      </w:r>
      <w:r w:rsidR="00882EAA" w:rsidRPr="00882EAA">
        <w:rPr>
          <w:rFonts w:ascii="Times New Roman" w:hAnsi="Times New Roman" w:cs="Times New Roman"/>
          <w:sz w:val="24"/>
          <w:szCs w:val="24"/>
        </w:rPr>
        <w:t>Building and Rental</w:t>
      </w:r>
      <w:r w:rsidRPr="00882EAA">
        <w:rPr>
          <w:rFonts w:ascii="Times New Roman" w:hAnsi="Times New Roman" w:cs="Times New Roman"/>
          <w:sz w:val="24"/>
          <w:szCs w:val="24"/>
        </w:rPr>
        <w:t xml:space="preserve"> </w:t>
      </w:r>
      <w:r w:rsidR="00E64739">
        <w:rPr>
          <w:rFonts w:ascii="Times New Roman" w:hAnsi="Times New Roman" w:cs="Times New Roman"/>
          <w:sz w:val="24"/>
          <w:szCs w:val="24"/>
        </w:rPr>
        <w:t>A</w:t>
      </w:r>
      <w:r w:rsidRPr="00882EAA">
        <w:rPr>
          <w:rFonts w:ascii="Times New Roman" w:hAnsi="Times New Roman" w:cs="Times New Roman"/>
          <w:sz w:val="24"/>
          <w:szCs w:val="24"/>
        </w:rPr>
        <w:t xml:space="preserve">greement, </w:t>
      </w:r>
      <w:r w:rsidR="00FD49B2" w:rsidRPr="00882EAA">
        <w:rPr>
          <w:rFonts w:ascii="Times New Roman" w:hAnsi="Times New Roman" w:cs="Times New Roman"/>
          <w:sz w:val="24"/>
          <w:szCs w:val="24"/>
        </w:rPr>
        <w:t xml:space="preserve">Mr Philippe Vital </w:t>
      </w:r>
      <w:r w:rsidRPr="00882EAA">
        <w:rPr>
          <w:rFonts w:ascii="Times New Roman" w:hAnsi="Times New Roman" w:cs="Times New Roman"/>
          <w:sz w:val="24"/>
          <w:szCs w:val="24"/>
        </w:rPr>
        <w:t>did not sign the said agreement</w:t>
      </w:r>
      <w:r w:rsidR="00FD49B2" w:rsidRPr="00882EAA">
        <w:rPr>
          <w:rFonts w:ascii="Times New Roman" w:hAnsi="Times New Roman" w:cs="Times New Roman"/>
          <w:sz w:val="24"/>
          <w:szCs w:val="24"/>
        </w:rPr>
        <w:t>. It is not disputed that at the time of sign</w:t>
      </w:r>
      <w:r w:rsidR="00882EAA">
        <w:rPr>
          <w:rFonts w:ascii="Times New Roman" w:hAnsi="Times New Roman" w:cs="Times New Roman"/>
          <w:sz w:val="24"/>
          <w:szCs w:val="24"/>
        </w:rPr>
        <w:t>ing</w:t>
      </w:r>
      <w:r w:rsidR="00FD49B2" w:rsidRPr="00882EAA">
        <w:rPr>
          <w:rFonts w:ascii="Times New Roman" w:hAnsi="Times New Roman" w:cs="Times New Roman"/>
          <w:sz w:val="24"/>
          <w:szCs w:val="24"/>
        </w:rPr>
        <w:t xml:space="preserve"> of the agreement</w:t>
      </w:r>
      <w:r w:rsidR="00A7567E">
        <w:rPr>
          <w:rFonts w:ascii="Times New Roman" w:hAnsi="Times New Roman" w:cs="Times New Roman"/>
          <w:sz w:val="24"/>
          <w:szCs w:val="24"/>
        </w:rPr>
        <w:t xml:space="preserve"> by the parties</w:t>
      </w:r>
      <w:r w:rsidR="00FD49B2" w:rsidRPr="00882EAA">
        <w:rPr>
          <w:rFonts w:ascii="Times New Roman" w:hAnsi="Times New Roman" w:cs="Times New Roman"/>
          <w:sz w:val="24"/>
          <w:szCs w:val="24"/>
        </w:rPr>
        <w:t xml:space="preserve">, Mr Philippe Vital was </w:t>
      </w:r>
      <w:r w:rsidR="00DD38F3" w:rsidRPr="00882EAA">
        <w:rPr>
          <w:rFonts w:ascii="Times New Roman" w:hAnsi="Times New Roman" w:cs="Times New Roman"/>
          <w:sz w:val="24"/>
          <w:szCs w:val="24"/>
        </w:rPr>
        <w:t>ill,</w:t>
      </w:r>
      <w:r w:rsidR="00FD49B2" w:rsidRPr="00882EAA">
        <w:rPr>
          <w:rFonts w:ascii="Times New Roman" w:hAnsi="Times New Roman" w:cs="Times New Roman"/>
          <w:sz w:val="24"/>
          <w:szCs w:val="24"/>
        </w:rPr>
        <w:t xml:space="preserve"> and he passed away over a month later, on</w:t>
      </w:r>
      <w:r w:rsidR="00F9657F" w:rsidRPr="00882EAA">
        <w:rPr>
          <w:rFonts w:ascii="Times New Roman" w:hAnsi="Times New Roman" w:cs="Times New Roman"/>
          <w:sz w:val="24"/>
          <w:szCs w:val="24"/>
        </w:rPr>
        <w:t xml:space="preserve"> the</w:t>
      </w:r>
      <w:r w:rsidR="00FD49B2" w:rsidRPr="00882EAA">
        <w:rPr>
          <w:rFonts w:ascii="Times New Roman" w:hAnsi="Times New Roman" w:cs="Times New Roman"/>
          <w:sz w:val="24"/>
          <w:szCs w:val="24"/>
        </w:rPr>
        <w:t xml:space="preserve"> 13</w:t>
      </w:r>
      <w:r w:rsidR="005D38D9" w:rsidRPr="005D38D9">
        <w:rPr>
          <w:rFonts w:ascii="Times New Roman" w:hAnsi="Times New Roman" w:cs="Times New Roman"/>
          <w:sz w:val="24"/>
          <w:szCs w:val="24"/>
          <w:vertAlign w:val="superscript"/>
        </w:rPr>
        <w:t>th</w:t>
      </w:r>
      <w:r w:rsidR="005D38D9">
        <w:rPr>
          <w:rFonts w:ascii="Times New Roman" w:hAnsi="Times New Roman" w:cs="Times New Roman"/>
          <w:sz w:val="24"/>
          <w:szCs w:val="24"/>
        </w:rPr>
        <w:t xml:space="preserve"> </w:t>
      </w:r>
      <w:r w:rsidR="00F9657F" w:rsidRPr="00882EAA">
        <w:rPr>
          <w:rFonts w:ascii="Times New Roman" w:hAnsi="Times New Roman" w:cs="Times New Roman"/>
          <w:sz w:val="24"/>
          <w:szCs w:val="24"/>
        </w:rPr>
        <w:t>of</w:t>
      </w:r>
      <w:r w:rsidR="00FD49B2" w:rsidRPr="00882EAA">
        <w:rPr>
          <w:rFonts w:ascii="Times New Roman" w:hAnsi="Times New Roman" w:cs="Times New Roman"/>
          <w:sz w:val="24"/>
          <w:szCs w:val="24"/>
        </w:rPr>
        <w:t xml:space="preserve"> September 2017.</w:t>
      </w:r>
    </w:p>
    <w:p w14:paraId="12777EC3" w14:textId="77777777" w:rsidR="00F9657F" w:rsidRPr="00882EAA" w:rsidRDefault="00F9657F" w:rsidP="000A34B9">
      <w:pPr>
        <w:pStyle w:val="ListParagraph"/>
        <w:spacing w:line="360" w:lineRule="auto"/>
        <w:rPr>
          <w:rFonts w:ascii="Times New Roman" w:hAnsi="Times New Roman" w:cs="Times New Roman"/>
          <w:i/>
          <w:iCs/>
          <w:sz w:val="24"/>
          <w:szCs w:val="24"/>
        </w:rPr>
      </w:pPr>
    </w:p>
    <w:p w14:paraId="2023A4D7" w14:textId="3F42EFE5" w:rsidR="00F9657F" w:rsidRPr="00882EAA" w:rsidRDefault="00F9657F" w:rsidP="000A34B9">
      <w:pPr>
        <w:pStyle w:val="ListParagraph"/>
        <w:numPr>
          <w:ilvl w:val="0"/>
          <w:numId w:val="12"/>
        </w:numPr>
        <w:spacing w:after="0" w:line="360" w:lineRule="auto"/>
        <w:ind w:left="709" w:hanging="720"/>
        <w:jc w:val="both"/>
        <w:rPr>
          <w:rFonts w:ascii="Times New Roman" w:hAnsi="Times New Roman" w:cs="Times New Roman"/>
          <w:i/>
          <w:iCs/>
          <w:sz w:val="24"/>
          <w:szCs w:val="24"/>
        </w:rPr>
      </w:pPr>
      <w:r w:rsidRPr="00882EAA">
        <w:rPr>
          <w:rFonts w:ascii="Times New Roman" w:hAnsi="Times New Roman" w:cs="Times New Roman"/>
          <w:sz w:val="24"/>
          <w:szCs w:val="24"/>
        </w:rPr>
        <w:t>Mr Philippe Vital died testate and bequeathed all his properties</w:t>
      </w:r>
      <w:r w:rsidR="00C90554">
        <w:rPr>
          <w:rFonts w:ascii="Times New Roman" w:hAnsi="Times New Roman" w:cs="Times New Roman"/>
          <w:sz w:val="24"/>
          <w:szCs w:val="24"/>
        </w:rPr>
        <w:t xml:space="preserve"> </w:t>
      </w:r>
      <w:r w:rsidRPr="00882EAA">
        <w:rPr>
          <w:rFonts w:ascii="Times New Roman" w:hAnsi="Times New Roman" w:cs="Times New Roman"/>
          <w:sz w:val="24"/>
          <w:szCs w:val="24"/>
        </w:rPr>
        <w:t>to the R</w:t>
      </w:r>
      <w:r w:rsidR="009E3127">
        <w:rPr>
          <w:rFonts w:ascii="Times New Roman" w:hAnsi="Times New Roman" w:cs="Times New Roman"/>
          <w:sz w:val="24"/>
          <w:szCs w:val="24"/>
        </w:rPr>
        <w:t>espondent pursuant to his last Will and T</w:t>
      </w:r>
      <w:r w:rsidRPr="00882EAA">
        <w:rPr>
          <w:rFonts w:ascii="Times New Roman" w:hAnsi="Times New Roman" w:cs="Times New Roman"/>
          <w:sz w:val="24"/>
          <w:szCs w:val="24"/>
        </w:rPr>
        <w:t>estament dated 24</w:t>
      </w:r>
      <w:r w:rsidR="005D38D9" w:rsidRPr="005D38D9">
        <w:rPr>
          <w:rFonts w:ascii="Times New Roman" w:hAnsi="Times New Roman" w:cs="Times New Roman"/>
          <w:sz w:val="24"/>
          <w:szCs w:val="24"/>
          <w:vertAlign w:val="superscript"/>
        </w:rPr>
        <w:t>th</w:t>
      </w:r>
      <w:r w:rsidR="005D38D9">
        <w:rPr>
          <w:rFonts w:ascii="Times New Roman" w:hAnsi="Times New Roman" w:cs="Times New Roman"/>
          <w:sz w:val="24"/>
          <w:szCs w:val="24"/>
        </w:rPr>
        <w:t xml:space="preserve"> </w:t>
      </w:r>
      <w:r w:rsidRPr="00882EAA">
        <w:rPr>
          <w:rFonts w:ascii="Times New Roman" w:hAnsi="Times New Roman" w:cs="Times New Roman"/>
          <w:sz w:val="24"/>
          <w:szCs w:val="24"/>
        </w:rPr>
        <w:t>February 2014 and registered on 27</w:t>
      </w:r>
      <w:r w:rsidR="005D38D9" w:rsidRPr="005D38D9">
        <w:rPr>
          <w:rFonts w:ascii="Times New Roman" w:hAnsi="Times New Roman" w:cs="Times New Roman"/>
          <w:sz w:val="24"/>
          <w:szCs w:val="24"/>
          <w:vertAlign w:val="superscript"/>
        </w:rPr>
        <w:t>th</w:t>
      </w:r>
      <w:r w:rsidR="005D38D9">
        <w:rPr>
          <w:rFonts w:ascii="Times New Roman" w:hAnsi="Times New Roman" w:cs="Times New Roman"/>
          <w:sz w:val="24"/>
          <w:szCs w:val="24"/>
        </w:rPr>
        <w:t xml:space="preserve"> </w:t>
      </w:r>
      <w:r w:rsidRPr="00882EAA">
        <w:rPr>
          <w:rFonts w:ascii="Times New Roman" w:hAnsi="Times New Roman" w:cs="Times New Roman"/>
          <w:sz w:val="24"/>
          <w:szCs w:val="24"/>
        </w:rPr>
        <w:t>December 2017. The Respondent was also confirmed as executrix to the estate of her late husband by order of the court on 15</w:t>
      </w:r>
      <w:r w:rsidR="005D38D9" w:rsidRPr="005D38D9">
        <w:rPr>
          <w:rFonts w:ascii="Times New Roman" w:hAnsi="Times New Roman" w:cs="Times New Roman"/>
          <w:sz w:val="24"/>
          <w:szCs w:val="24"/>
          <w:vertAlign w:val="superscript"/>
        </w:rPr>
        <w:t>th</w:t>
      </w:r>
      <w:r w:rsidR="005D38D9">
        <w:rPr>
          <w:rFonts w:ascii="Times New Roman" w:hAnsi="Times New Roman" w:cs="Times New Roman"/>
          <w:sz w:val="24"/>
          <w:szCs w:val="24"/>
        </w:rPr>
        <w:t xml:space="preserve"> </w:t>
      </w:r>
      <w:r w:rsidR="001A16BA" w:rsidRPr="00882EAA">
        <w:rPr>
          <w:rFonts w:ascii="Times New Roman" w:hAnsi="Times New Roman" w:cs="Times New Roman"/>
          <w:sz w:val="24"/>
          <w:szCs w:val="24"/>
        </w:rPr>
        <w:t>November</w:t>
      </w:r>
      <w:r w:rsidRPr="00882EAA">
        <w:rPr>
          <w:rFonts w:ascii="Times New Roman" w:hAnsi="Times New Roman" w:cs="Times New Roman"/>
          <w:sz w:val="24"/>
          <w:szCs w:val="24"/>
        </w:rPr>
        <w:t xml:space="preserve"> 2017.</w:t>
      </w:r>
    </w:p>
    <w:p w14:paraId="2018CE98" w14:textId="77777777" w:rsidR="001362F4" w:rsidRPr="00882EAA" w:rsidRDefault="001362F4" w:rsidP="000A34B9">
      <w:pPr>
        <w:pStyle w:val="ListParagraph"/>
        <w:spacing w:line="360" w:lineRule="auto"/>
        <w:rPr>
          <w:rFonts w:ascii="Times New Roman" w:hAnsi="Times New Roman" w:cs="Times New Roman"/>
          <w:i/>
          <w:iCs/>
          <w:sz w:val="24"/>
          <w:szCs w:val="24"/>
        </w:rPr>
      </w:pPr>
    </w:p>
    <w:p w14:paraId="50FCB325" w14:textId="0CC103E8" w:rsidR="00882EAA" w:rsidRPr="00C90554" w:rsidRDefault="001362F4" w:rsidP="00882EAA">
      <w:pPr>
        <w:pStyle w:val="ListParagraph"/>
        <w:numPr>
          <w:ilvl w:val="0"/>
          <w:numId w:val="12"/>
        </w:numPr>
        <w:spacing w:after="0" w:line="360" w:lineRule="auto"/>
        <w:ind w:left="709" w:hanging="720"/>
        <w:jc w:val="both"/>
        <w:rPr>
          <w:rFonts w:ascii="Times New Roman" w:hAnsi="Times New Roman" w:cs="Times New Roman"/>
          <w:i/>
          <w:iCs/>
          <w:sz w:val="24"/>
          <w:szCs w:val="24"/>
        </w:rPr>
      </w:pPr>
      <w:r w:rsidRPr="00882EAA">
        <w:rPr>
          <w:rFonts w:ascii="Times New Roman" w:hAnsi="Times New Roman" w:cs="Times New Roman"/>
          <w:sz w:val="24"/>
          <w:szCs w:val="24"/>
        </w:rPr>
        <w:t>All properties of the late Mr Philippe Vital including land parcel V3319, on which the Premises are located, and another parcel namely V18209 were transmitted to the Respondent by Affidavit on Transmission by Death dated 17</w:t>
      </w:r>
      <w:r w:rsidR="005D38D9" w:rsidRPr="005D38D9">
        <w:rPr>
          <w:rFonts w:ascii="Times New Roman" w:hAnsi="Times New Roman" w:cs="Times New Roman"/>
          <w:sz w:val="24"/>
          <w:szCs w:val="24"/>
          <w:vertAlign w:val="superscript"/>
        </w:rPr>
        <w:t>th</w:t>
      </w:r>
      <w:r w:rsidR="005D38D9">
        <w:rPr>
          <w:rFonts w:ascii="Times New Roman" w:hAnsi="Times New Roman" w:cs="Times New Roman"/>
          <w:sz w:val="24"/>
          <w:szCs w:val="24"/>
        </w:rPr>
        <w:t xml:space="preserve"> </w:t>
      </w:r>
      <w:r w:rsidRPr="00882EAA">
        <w:rPr>
          <w:rFonts w:ascii="Times New Roman" w:hAnsi="Times New Roman" w:cs="Times New Roman"/>
          <w:sz w:val="24"/>
          <w:szCs w:val="24"/>
        </w:rPr>
        <w:t>April 2018 and registered on 26</w:t>
      </w:r>
      <w:r w:rsidR="005D38D9" w:rsidRPr="005D38D9">
        <w:rPr>
          <w:rFonts w:ascii="Times New Roman" w:hAnsi="Times New Roman" w:cs="Times New Roman"/>
          <w:sz w:val="24"/>
          <w:szCs w:val="24"/>
          <w:vertAlign w:val="superscript"/>
        </w:rPr>
        <w:t>th</w:t>
      </w:r>
      <w:r w:rsidR="005D38D9">
        <w:rPr>
          <w:rFonts w:ascii="Times New Roman" w:hAnsi="Times New Roman" w:cs="Times New Roman"/>
          <w:sz w:val="24"/>
          <w:szCs w:val="24"/>
        </w:rPr>
        <w:t xml:space="preserve"> </w:t>
      </w:r>
      <w:r w:rsidRPr="00882EAA">
        <w:rPr>
          <w:rFonts w:ascii="Times New Roman" w:hAnsi="Times New Roman" w:cs="Times New Roman"/>
          <w:sz w:val="24"/>
          <w:szCs w:val="24"/>
        </w:rPr>
        <w:t>June 2018.</w:t>
      </w:r>
    </w:p>
    <w:p w14:paraId="6256352B" w14:textId="77777777" w:rsidR="00882EAA" w:rsidRPr="00882EAA" w:rsidRDefault="00882EAA" w:rsidP="00882EAA">
      <w:pPr>
        <w:spacing w:line="360" w:lineRule="auto"/>
        <w:rPr>
          <w:i/>
          <w:iCs/>
        </w:rPr>
      </w:pPr>
    </w:p>
    <w:p w14:paraId="69B73D54" w14:textId="145CD111" w:rsidR="00FD49B2" w:rsidRPr="00E64739" w:rsidRDefault="00C4344C" w:rsidP="00E64739">
      <w:pPr>
        <w:spacing w:line="360" w:lineRule="auto"/>
        <w:jc w:val="both"/>
        <w:rPr>
          <w:i/>
          <w:iCs/>
        </w:rPr>
      </w:pPr>
      <w:r w:rsidRPr="00882EAA">
        <w:rPr>
          <w:i/>
          <w:iCs/>
        </w:rPr>
        <w:t>Building and Rental Agreement</w:t>
      </w:r>
    </w:p>
    <w:p w14:paraId="5DCE98E9" w14:textId="77777777" w:rsidR="00E64739" w:rsidRPr="00882EAA" w:rsidRDefault="00E64739" w:rsidP="00E64739">
      <w:pPr>
        <w:pStyle w:val="ListParagraph"/>
        <w:spacing w:after="0" w:line="360" w:lineRule="auto"/>
        <w:ind w:left="709"/>
        <w:jc w:val="both"/>
        <w:rPr>
          <w:rFonts w:ascii="Times New Roman" w:hAnsi="Times New Roman" w:cs="Times New Roman"/>
          <w:i/>
          <w:iCs/>
          <w:sz w:val="24"/>
          <w:szCs w:val="24"/>
        </w:rPr>
      </w:pPr>
    </w:p>
    <w:p w14:paraId="59CD1283" w14:textId="22FAF914" w:rsidR="00E64739" w:rsidRPr="00E64739" w:rsidRDefault="00E64739" w:rsidP="00E64739">
      <w:pPr>
        <w:pStyle w:val="ListParagraph"/>
        <w:numPr>
          <w:ilvl w:val="0"/>
          <w:numId w:val="12"/>
        </w:numPr>
        <w:spacing w:after="0" w:line="360" w:lineRule="auto"/>
        <w:ind w:left="709" w:hanging="720"/>
        <w:jc w:val="both"/>
        <w:rPr>
          <w:rFonts w:ascii="Times New Roman" w:hAnsi="Times New Roman" w:cs="Times New Roman"/>
          <w:i/>
          <w:iCs/>
          <w:sz w:val="24"/>
          <w:szCs w:val="24"/>
        </w:rPr>
      </w:pPr>
      <w:r w:rsidRPr="00882EAA">
        <w:rPr>
          <w:rFonts w:ascii="Times New Roman" w:hAnsi="Times New Roman" w:cs="Times New Roman"/>
          <w:sz w:val="24"/>
          <w:szCs w:val="24"/>
        </w:rPr>
        <w:t xml:space="preserve">The </w:t>
      </w:r>
      <w:r>
        <w:rPr>
          <w:rFonts w:ascii="Times New Roman" w:hAnsi="Times New Roman" w:cs="Times New Roman"/>
          <w:sz w:val="24"/>
          <w:szCs w:val="24"/>
        </w:rPr>
        <w:t>Building and Rental A</w:t>
      </w:r>
      <w:r w:rsidRPr="00882EAA">
        <w:rPr>
          <w:rFonts w:ascii="Times New Roman" w:hAnsi="Times New Roman" w:cs="Times New Roman"/>
          <w:sz w:val="24"/>
          <w:szCs w:val="24"/>
        </w:rPr>
        <w:t xml:space="preserve">greement </w:t>
      </w:r>
      <w:r>
        <w:rPr>
          <w:rFonts w:ascii="Times New Roman" w:hAnsi="Times New Roman" w:cs="Times New Roman"/>
          <w:sz w:val="24"/>
          <w:szCs w:val="24"/>
        </w:rPr>
        <w:t>stems</w:t>
      </w:r>
      <w:r w:rsidRPr="00882EAA">
        <w:rPr>
          <w:rFonts w:ascii="Times New Roman" w:hAnsi="Times New Roman" w:cs="Times New Roman"/>
          <w:sz w:val="24"/>
          <w:szCs w:val="24"/>
        </w:rPr>
        <w:t xml:space="preserve"> </w:t>
      </w:r>
      <w:r>
        <w:rPr>
          <w:rFonts w:ascii="Times New Roman" w:hAnsi="Times New Roman" w:cs="Times New Roman"/>
          <w:sz w:val="24"/>
          <w:szCs w:val="24"/>
        </w:rPr>
        <w:t xml:space="preserve">from </w:t>
      </w:r>
      <w:r w:rsidRPr="00882EAA">
        <w:rPr>
          <w:rFonts w:ascii="Times New Roman" w:hAnsi="Times New Roman" w:cs="Times New Roman"/>
          <w:sz w:val="24"/>
          <w:szCs w:val="24"/>
        </w:rPr>
        <w:t>the 2</w:t>
      </w:r>
      <w:r w:rsidR="005D38D9" w:rsidRPr="005D38D9">
        <w:rPr>
          <w:rFonts w:ascii="Times New Roman" w:hAnsi="Times New Roman" w:cs="Times New Roman"/>
          <w:sz w:val="24"/>
          <w:szCs w:val="24"/>
          <w:vertAlign w:val="superscript"/>
        </w:rPr>
        <w:t>nd</w:t>
      </w:r>
      <w:r w:rsidR="005D38D9">
        <w:rPr>
          <w:rFonts w:ascii="Times New Roman" w:hAnsi="Times New Roman" w:cs="Times New Roman"/>
          <w:sz w:val="24"/>
          <w:szCs w:val="24"/>
        </w:rPr>
        <w:t xml:space="preserve"> </w:t>
      </w:r>
      <w:r w:rsidRPr="00882EAA">
        <w:rPr>
          <w:rFonts w:ascii="Times New Roman" w:hAnsi="Times New Roman" w:cs="Times New Roman"/>
          <w:sz w:val="24"/>
          <w:szCs w:val="24"/>
        </w:rPr>
        <w:t>Appellant</w:t>
      </w:r>
      <w:r>
        <w:rPr>
          <w:rFonts w:ascii="Times New Roman" w:hAnsi="Times New Roman" w:cs="Times New Roman"/>
          <w:sz w:val="24"/>
          <w:szCs w:val="24"/>
        </w:rPr>
        <w:t>’s offer</w:t>
      </w:r>
      <w:r w:rsidRPr="00882EAA">
        <w:rPr>
          <w:rFonts w:ascii="Times New Roman" w:hAnsi="Times New Roman" w:cs="Times New Roman"/>
          <w:sz w:val="24"/>
          <w:szCs w:val="24"/>
        </w:rPr>
        <w:t xml:space="preserve"> to her parents that she is granted permission to complete the </w:t>
      </w:r>
      <w:r>
        <w:rPr>
          <w:rFonts w:ascii="Times New Roman" w:hAnsi="Times New Roman" w:cs="Times New Roman"/>
          <w:sz w:val="24"/>
          <w:szCs w:val="24"/>
        </w:rPr>
        <w:t xml:space="preserve">unfinished </w:t>
      </w:r>
      <w:r w:rsidRPr="00882EAA">
        <w:rPr>
          <w:rFonts w:ascii="Times New Roman" w:hAnsi="Times New Roman" w:cs="Times New Roman"/>
          <w:sz w:val="24"/>
          <w:szCs w:val="24"/>
        </w:rPr>
        <w:t xml:space="preserve">attic floor of the dwelling house on </w:t>
      </w:r>
      <w:r>
        <w:rPr>
          <w:rFonts w:ascii="Times New Roman" w:hAnsi="Times New Roman" w:cs="Times New Roman"/>
          <w:sz w:val="24"/>
          <w:szCs w:val="24"/>
        </w:rPr>
        <w:t xml:space="preserve">land parcel </w:t>
      </w:r>
      <w:r w:rsidRPr="00882EAA">
        <w:rPr>
          <w:rFonts w:ascii="Times New Roman" w:hAnsi="Times New Roman" w:cs="Times New Roman"/>
          <w:sz w:val="24"/>
          <w:szCs w:val="24"/>
        </w:rPr>
        <w:t xml:space="preserve">V3319 </w:t>
      </w:r>
      <w:r>
        <w:rPr>
          <w:rFonts w:ascii="Times New Roman" w:hAnsi="Times New Roman" w:cs="Times New Roman"/>
          <w:sz w:val="24"/>
          <w:szCs w:val="24"/>
        </w:rPr>
        <w:t xml:space="preserve">so that </w:t>
      </w:r>
      <w:r w:rsidRPr="00882EAA">
        <w:rPr>
          <w:rFonts w:ascii="Times New Roman" w:hAnsi="Times New Roman" w:cs="Times New Roman"/>
          <w:sz w:val="24"/>
          <w:szCs w:val="24"/>
        </w:rPr>
        <w:t xml:space="preserve">she could be closer to the family. The offer was accepted by </w:t>
      </w:r>
      <w:r>
        <w:rPr>
          <w:rFonts w:ascii="Times New Roman" w:hAnsi="Times New Roman" w:cs="Times New Roman"/>
          <w:sz w:val="24"/>
          <w:szCs w:val="24"/>
        </w:rPr>
        <w:t>her</w:t>
      </w:r>
      <w:r w:rsidRPr="00882EAA">
        <w:rPr>
          <w:rFonts w:ascii="Times New Roman" w:hAnsi="Times New Roman" w:cs="Times New Roman"/>
          <w:sz w:val="24"/>
          <w:szCs w:val="24"/>
        </w:rPr>
        <w:t xml:space="preserve"> parents subject to conditions and was </w:t>
      </w:r>
      <w:r>
        <w:rPr>
          <w:rFonts w:ascii="Times New Roman" w:hAnsi="Times New Roman" w:cs="Times New Roman"/>
          <w:sz w:val="24"/>
          <w:szCs w:val="24"/>
        </w:rPr>
        <w:t xml:space="preserve">then </w:t>
      </w:r>
      <w:r w:rsidRPr="00882EAA">
        <w:rPr>
          <w:rFonts w:ascii="Times New Roman" w:hAnsi="Times New Roman" w:cs="Times New Roman"/>
          <w:sz w:val="24"/>
          <w:szCs w:val="24"/>
        </w:rPr>
        <w:t>reduced to writing.</w:t>
      </w:r>
    </w:p>
    <w:p w14:paraId="1F8FF217" w14:textId="77777777" w:rsidR="00E64739" w:rsidRPr="00882EAA" w:rsidRDefault="00E64739" w:rsidP="00E64739">
      <w:pPr>
        <w:pStyle w:val="ListParagraph"/>
        <w:spacing w:after="0" w:line="360" w:lineRule="auto"/>
        <w:ind w:left="709"/>
        <w:jc w:val="both"/>
        <w:rPr>
          <w:rFonts w:ascii="Times New Roman" w:hAnsi="Times New Roman" w:cs="Times New Roman"/>
          <w:i/>
          <w:iCs/>
          <w:sz w:val="24"/>
          <w:szCs w:val="24"/>
        </w:rPr>
      </w:pPr>
    </w:p>
    <w:p w14:paraId="5989AA9D" w14:textId="35E5AD64" w:rsidR="002D2AA5" w:rsidRPr="00882EAA" w:rsidRDefault="00C4344C" w:rsidP="000A34B9">
      <w:pPr>
        <w:pStyle w:val="ListParagraph"/>
        <w:numPr>
          <w:ilvl w:val="0"/>
          <w:numId w:val="12"/>
        </w:numPr>
        <w:spacing w:after="0" w:line="360" w:lineRule="auto"/>
        <w:ind w:left="709" w:hanging="720"/>
        <w:jc w:val="both"/>
        <w:rPr>
          <w:rFonts w:ascii="Times New Roman" w:hAnsi="Times New Roman" w:cs="Times New Roman"/>
          <w:i/>
          <w:iCs/>
          <w:sz w:val="24"/>
          <w:szCs w:val="24"/>
        </w:rPr>
      </w:pPr>
      <w:r w:rsidRPr="00882EAA">
        <w:rPr>
          <w:rFonts w:ascii="Times New Roman" w:hAnsi="Times New Roman" w:cs="Times New Roman"/>
          <w:sz w:val="24"/>
          <w:szCs w:val="24"/>
        </w:rPr>
        <w:t>By the Building and Rental Agreement dated 1</w:t>
      </w:r>
      <w:r w:rsidR="005D38D9" w:rsidRPr="005D38D9">
        <w:rPr>
          <w:rFonts w:ascii="Times New Roman" w:hAnsi="Times New Roman" w:cs="Times New Roman"/>
          <w:sz w:val="24"/>
          <w:szCs w:val="24"/>
          <w:vertAlign w:val="superscript"/>
        </w:rPr>
        <w:t>st</w:t>
      </w:r>
      <w:r w:rsidR="005D38D9">
        <w:rPr>
          <w:rFonts w:ascii="Times New Roman" w:hAnsi="Times New Roman" w:cs="Times New Roman"/>
          <w:sz w:val="24"/>
          <w:szCs w:val="24"/>
        </w:rPr>
        <w:t xml:space="preserve"> </w:t>
      </w:r>
      <w:r w:rsidRPr="00882EAA">
        <w:rPr>
          <w:rFonts w:ascii="Times New Roman" w:hAnsi="Times New Roman" w:cs="Times New Roman"/>
          <w:sz w:val="24"/>
          <w:szCs w:val="24"/>
        </w:rPr>
        <w:t xml:space="preserve">August 2017 (hereinafter </w:t>
      </w:r>
      <w:r w:rsidR="00882EAA">
        <w:rPr>
          <w:rFonts w:ascii="Times New Roman" w:hAnsi="Times New Roman" w:cs="Times New Roman"/>
          <w:sz w:val="24"/>
          <w:szCs w:val="24"/>
        </w:rPr>
        <w:t xml:space="preserve">referred to as </w:t>
      </w:r>
      <w:r w:rsidRPr="00882EAA">
        <w:rPr>
          <w:rFonts w:ascii="Times New Roman" w:hAnsi="Times New Roman" w:cs="Times New Roman"/>
          <w:sz w:val="24"/>
          <w:szCs w:val="24"/>
        </w:rPr>
        <w:t>the “A</w:t>
      </w:r>
      <w:r w:rsidR="002D2AA5" w:rsidRPr="00882EAA">
        <w:rPr>
          <w:rFonts w:ascii="Times New Roman" w:hAnsi="Times New Roman" w:cs="Times New Roman"/>
          <w:sz w:val="24"/>
          <w:szCs w:val="24"/>
        </w:rPr>
        <w:t>greement</w:t>
      </w:r>
      <w:r w:rsidRPr="00882EAA">
        <w:rPr>
          <w:rFonts w:ascii="Times New Roman" w:hAnsi="Times New Roman" w:cs="Times New Roman"/>
          <w:sz w:val="24"/>
          <w:szCs w:val="24"/>
        </w:rPr>
        <w:t>”)</w:t>
      </w:r>
      <w:r w:rsidR="002D2AA5" w:rsidRPr="00882EAA">
        <w:rPr>
          <w:rFonts w:ascii="Times New Roman" w:hAnsi="Times New Roman" w:cs="Times New Roman"/>
          <w:sz w:val="24"/>
          <w:szCs w:val="24"/>
        </w:rPr>
        <w:t xml:space="preserve">, the parties agreed </w:t>
      </w:r>
      <w:r w:rsidRPr="00882EAA">
        <w:rPr>
          <w:rFonts w:ascii="Times New Roman" w:hAnsi="Times New Roman" w:cs="Times New Roman"/>
          <w:sz w:val="24"/>
          <w:szCs w:val="24"/>
        </w:rPr>
        <w:t>that</w:t>
      </w:r>
      <w:r w:rsidR="002D2AA5" w:rsidRPr="00882EAA">
        <w:rPr>
          <w:rFonts w:ascii="Times New Roman" w:hAnsi="Times New Roman" w:cs="Times New Roman"/>
          <w:sz w:val="24"/>
          <w:szCs w:val="24"/>
        </w:rPr>
        <w:t xml:space="preserve"> the Appellants </w:t>
      </w:r>
      <w:r w:rsidRPr="00882EAA">
        <w:rPr>
          <w:rFonts w:ascii="Times New Roman" w:hAnsi="Times New Roman" w:cs="Times New Roman"/>
          <w:sz w:val="24"/>
          <w:szCs w:val="24"/>
        </w:rPr>
        <w:t>will</w:t>
      </w:r>
      <w:r w:rsidR="002D2AA5" w:rsidRPr="00882EAA">
        <w:rPr>
          <w:rFonts w:ascii="Times New Roman" w:hAnsi="Times New Roman" w:cs="Times New Roman"/>
          <w:sz w:val="24"/>
          <w:szCs w:val="24"/>
        </w:rPr>
        <w:t xml:space="preserve"> complete the construction of </w:t>
      </w:r>
      <w:r w:rsidRPr="00882EAA">
        <w:rPr>
          <w:rFonts w:ascii="Times New Roman" w:hAnsi="Times New Roman" w:cs="Times New Roman"/>
          <w:sz w:val="24"/>
          <w:szCs w:val="24"/>
        </w:rPr>
        <w:t xml:space="preserve">the </w:t>
      </w:r>
      <w:r w:rsidR="00FD49B2" w:rsidRPr="00882EAA">
        <w:rPr>
          <w:rFonts w:ascii="Times New Roman" w:hAnsi="Times New Roman" w:cs="Times New Roman"/>
          <w:sz w:val="24"/>
          <w:szCs w:val="24"/>
        </w:rPr>
        <w:t>Premises at their own expenses and once the Premises are completed</w:t>
      </w:r>
      <w:r w:rsidR="00882EAA">
        <w:rPr>
          <w:rFonts w:ascii="Times New Roman" w:hAnsi="Times New Roman" w:cs="Times New Roman"/>
          <w:sz w:val="24"/>
          <w:szCs w:val="24"/>
        </w:rPr>
        <w:t>,</w:t>
      </w:r>
      <w:r w:rsidR="00FD49B2" w:rsidRPr="00882EAA">
        <w:rPr>
          <w:rFonts w:ascii="Times New Roman" w:hAnsi="Times New Roman" w:cs="Times New Roman"/>
          <w:sz w:val="24"/>
          <w:szCs w:val="24"/>
        </w:rPr>
        <w:t xml:space="preserve"> to lease the same at a monthly rent of S</w:t>
      </w:r>
      <w:r w:rsidR="000A34B9" w:rsidRPr="00882EAA">
        <w:rPr>
          <w:rFonts w:ascii="Times New Roman" w:hAnsi="Times New Roman" w:cs="Times New Roman"/>
          <w:sz w:val="24"/>
          <w:szCs w:val="24"/>
        </w:rPr>
        <w:t>CR</w:t>
      </w:r>
      <w:r w:rsidR="00FD49B2" w:rsidRPr="00882EAA">
        <w:rPr>
          <w:rFonts w:ascii="Times New Roman" w:hAnsi="Times New Roman" w:cs="Times New Roman"/>
          <w:sz w:val="24"/>
          <w:szCs w:val="24"/>
        </w:rPr>
        <w:t>5000/-</w:t>
      </w:r>
      <w:r w:rsidRPr="00882EAA">
        <w:rPr>
          <w:rFonts w:ascii="Times New Roman" w:hAnsi="Times New Roman" w:cs="Times New Roman"/>
          <w:sz w:val="24"/>
          <w:szCs w:val="24"/>
        </w:rPr>
        <w:t xml:space="preserve">. </w:t>
      </w:r>
      <w:r w:rsidR="00B53070">
        <w:rPr>
          <w:rFonts w:ascii="Times New Roman" w:hAnsi="Times New Roman" w:cs="Times New Roman"/>
          <w:sz w:val="24"/>
          <w:szCs w:val="24"/>
        </w:rPr>
        <w:t>R</w:t>
      </w:r>
      <w:r w:rsidR="002D2AA5" w:rsidRPr="00882EAA">
        <w:rPr>
          <w:rFonts w:ascii="Times New Roman" w:hAnsi="Times New Roman" w:cs="Times New Roman"/>
          <w:sz w:val="24"/>
          <w:szCs w:val="24"/>
        </w:rPr>
        <w:t xml:space="preserve">eceipts of </w:t>
      </w:r>
      <w:r w:rsidR="00B53070">
        <w:rPr>
          <w:rFonts w:ascii="Times New Roman" w:hAnsi="Times New Roman" w:cs="Times New Roman"/>
          <w:sz w:val="24"/>
          <w:szCs w:val="24"/>
        </w:rPr>
        <w:t xml:space="preserve">all </w:t>
      </w:r>
      <w:r w:rsidR="002D2AA5" w:rsidRPr="00882EAA">
        <w:rPr>
          <w:rFonts w:ascii="Times New Roman" w:hAnsi="Times New Roman" w:cs="Times New Roman"/>
          <w:sz w:val="24"/>
          <w:szCs w:val="24"/>
        </w:rPr>
        <w:t xml:space="preserve">expenses incurred by the Appellants </w:t>
      </w:r>
      <w:r w:rsidR="00B53070">
        <w:rPr>
          <w:rFonts w:ascii="Times New Roman" w:hAnsi="Times New Roman" w:cs="Times New Roman"/>
          <w:sz w:val="24"/>
          <w:szCs w:val="24"/>
        </w:rPr>
        <w:t>were to be given</w:t>
      </w:r>
      <w:r w:rsidR="002D2AA5" w:rsidRPr="00882EAA">
        <w:rPr>
          <w:rFonts w:ascii="Times New Roman" w:hAnsi="Times New Roman" w:cs="Times New Roman"/>
          <w:sz w:val="24"/>
          <w:szCs w:val="24"/>
        </w:rPr>
        <w:t xml:space="preserve"> to the Respondent as proof </w:t>
      </w:r>
      <w:r w:rsidR="00B53070">
        <w:rPr>
          <w:rFonts w:ascii="Times New Roman" w:hAnsi="Times New Roman" w:cs="Times New Roman"/>
          <w:sz w:val="24"/>
          <w:szCs w:val="24"/>
        </w:rPr>
        <w:t xml:space="preserve">thereof </w:t>
      </w:r>
      <w:r w:rsidR="00A7567E">
        <w:rPr>
          <w:rFonts w:ascii="Times New Roman" w:hAnsi="Times New Roman" w:cs="Times New Roman"/>
          <w:sz w:val="24"/>
          <w:szCs w:val="24"/>
        </w:rPr>
        <w:t xml:space="preserve">and </w:t>
      </w:r>
      <w:r w:rsidR="00A7567E" w:rsidRPr="00882EAA">
        <w:rPr>
          <w:rFonts w:ascii="Times New Roman" w:hAnsi="Times New Roman" w:cs="Times New Roman"/>
          <w:sz w:val="24"/>
          <w:szCs w:val="24"/>
        </w:rPr>
        <w:t>for</w:t>
      </w:r>
      <w:r w:rsidRPr="00882EAA">
        <w:rPr>
          <w:rFonts w:ascii="Times New Roman" w:hAnsi="Times New Roman" w:cs="Times New Roman"/>
          <w:sz w:val="24"/>
          <w:szCs w:val="24"/>
        </w:rPr>
        <w:t xml:space="preserve"> the purpose of setting-off against rental due. </w:t>
      </w:r>
    </w:p>
    <w:p w14:paraId="11632FB1" w14:textId="77777777" w:rsidR="002D2AA5" w:rsidRPr="00882EAA" w:rsidRDefault="002D2AA5" w:rsidP="000A34B9">
      <w:pPr>
        <w:pStyle w:val="ListParagraph"/>
        <w:spacing w:line="360" w:lineRule="auto"/>
        <w:rPr>
          <w:rFonts w:ascii="Times New Roman" w:hAnsi="Times New Roman" w:cs="Times New Roman"/>
          <w:i/>
          <w:iCs/>
          <w:sz w:val="24"/>
          <w:szCs w:val="24"/>
          <w:lang w:val="en-US"/>
        </w:rPr>
      </w:pPr>
    </w:p>
    <w:p w14:paraId="14839847" w14:textId="12BF4222" w:rsidR="006125AF" w:rsidRPr="00882EAA" w:rsidRDefault="00C4344C" w:rsidP="000A34B9">
      <w:pPr>
        <w:pStyle w:val="ListParagraph"/>
        <w:numPr>
          <w:ilvl w:val="0"/>
          <w:numId w:val="12"/>
        </w:numPr>
        <w:spacing w:after="0" w:line="360" w:lineRule="auto"/>
        <w:ind w:left="709" w:hanging="709"/>
        <w:jc w:val="both"/>
        <w:rPr>
          <w:rFonts w:ascii="Times New Roman" w:hAnsi="Times New Roman" w:cs="Times New Roman"/>
          <w:i/>
          <w:iCs/>
          <w:sz w:val="24"/>
          <w:szCs w:val="24"/>
          <w:lang w:val="en-US"/>
        </w:rPr>
      </w:pPr>
      <w:r w:rsidRPr="00882EAA">
        <w:rPr>
          <w:rFonts w:ascii="Times New Roman" w:hAnsi="Times New Roman" w:cs="Times New Roman"/>
          <w:sz w:val="24"/>
          <w:szCs w:val="24"/>
          <w:lang w:val="en-US"/>
        </w:rPr>
        <w:t>It was agreed that the lease of the Premises would endure for an indefinite</w:t>
      </w:r>
      <w:r w:rsidR="002D2AA5" w:rsidRPr="00882EAA">
        <w:rPr>
          <w:rFonts w:ascii="Times New Roman" w:hAnsi="Times New Roman" w:cs="Times New Roman"/>
          <w:sz w:val="24"/>
          <w:szCs w:val="24"/>
          <w:lang w:val="en-US"/>
        </w:rPr>
        <w:t xml:space="preserve"> period commencing </w:t>
      </w:r>
      <w:r w:rsidRPr="00882EAA">
        <w:rPr>
          <w:rFonts w:ascii="Times New Roman" w:hAnsi="Times New Roman" w:cs="Times New Roman"/>
          <w:sz w:val="24"/>
          <w:szCs w:val="24"/>
          <w:lang w:val="en-US"/>
        </w:rPr>
        <w:t>on the date of completion of construction</w:t>
      </w:r>
      <w:r w:rsidR="002D2AA5" w:rsidRPr="00882EAA">
        <w:rPr>
          <w:rFonts w:ascii="Times New Roman" w:hAnsi="Times New Roman" w:cs="Times New Roman"/>
          <w:sz w:val="24"/>
          <w:szCs w:val="24"/>
          <w:lang w:val="en-US"/>
        </w:rPr>
        <w:t xml:space="preserve"> works </w:t>
      </w:r>
      <w:r w:rsidRPr="00882EAA">
        <w:rPr>
          <w:rFonts w:ascii="Times New Roman" w:hAnsi="Times New Roman" w:cs="Times New Roman"/>
          <w:sz w:val="24"/>
          <w:szCs w:val="24"/>
          <w:lang w:val="en-US"/>
        </w:rPr>
        <w:t>unless</w:t>
      </w:r>
      <w:r w:rsidR="002D2AA5" w:rsidRPr="00882EAA">
        <w:rPr>
          <w:rFonts w:ascii="Times New Roman" w:hAnsi="Times New Roman" w:cs="Times New Roman"/>
          <w:sz w:val="24"/>
          <w:szCs w:val="24"/>
          <w:lang w:val="en-US"/>
        </w:rPr>
        <w:t xml:space="preserve"> </w:t>
      </w:r>
      <w:r w:rsidR="00882EAA">
        <w:rPr>
          <w:rFonts w:ascii="Times New Roman" w:hAnsi="Times New Roman" w:cs="Times New Roman"/>
          <w:sz w:val="24"/>
          <w:szCs w:val="24"/>
          <w:lang w:val="en-US"/>
        </w:rPr>
        <w:t xml:space="preserve">otherwise </w:t>
      </w:r>
      <w:r w:rsidR="002D2AA5" w:rsidRPr="00882EAA">
        <w:rPr>
          <w:rFonts w:ascii="Times New Roman" w:hAnsi="Times New Roman" w:cs="Times New Roman"/>
          <w:sz w:val="24"/>
          <w:szCs w:val="24"/>
          <w:lang w:val="en-US"/>
        </w:rPr>
        <w:t>terminat</w:t>
      </w:r>
      <w:r w:rsidRPr="00882EAA">
        <w:rPr>
          <w:rFonts w:ascii="Times New Roman" w:hAnsi="Times New Roman" w:cs="Times New Roman"/>
          <w:sz w:val="24"/>
          <w:szCs w:val="24"/>
          <w:lang w:val="en-US"/>
        </w:rPr>
        <w:t>ed</w:t>
      </w:r>
      <w:r w:rsidR="002D2AA5" w:rsidRPr="00882EAA">
        <w:rPr>
          <w:rFonts w:ascii="Times New Roman" w:hAnsi="Times New Roman" w:cs="Times New Roman"/>
          <w:sz w:val="24"/>
          <w:szCs w:val="24"/>
          <w:lang w:val="en-US"/>
        </w:rPr>
        <w:t xml:space="preserve"> </w:t>
      </w:r>
      <w:r w:rsidR="00882EAA">
        <w:rPr>
          <w:rFonts w:ascii="Times New Roman" w:hAnsi="Times New Roman" w:cs="Times New Roman"/>
          <w:sz w:val="24"/>
          <w:szCs w:val="24"/>
          <w:lang w:val="en-US"/>
        </w:rPr>
        <w:t>under</w:t>
      </w:r>
      <w:r w:rsidR="002D2AA5" w:rsidRPr="00882EAA">
        <w:rPr>
          <w:rFonts w:ascii="Times New Roman" w:hAnsi="Times New Roman" w:cs="Times New Roman"/>
          <w:sz w:val="24"/>
          <w:szCs w:val="24"/>
          <w:lang w:val="en-US"/>
        </w:rPr>
        <w:t xml:space="preserve"> </w:t>
      </w:r>
      <w:r w:rsidR="00C56303" w:rsidRPr="00882EAA">
        <w:rPr>
          <w:rFonts w:ascii="Times New Roman" w:hAnsi="Times New Roman" w:cs="Times New Roman"/>
          <w:sz w:val="24"/>
          <w:szCs w:val="24"/>
          <w:lang w:val="en-US"/>
        </w:rPr>
        <w:t xml:space="preserve">the </w:t>
      </w:r>
      <w:r w:rsidR="00882EAA">
        <w:rPr>
          <w:rFonts w:ascii="Times New Roman" w:hAnsi="Times New Roman" w:cs="Times New Roman"/>
          <w:sz w:val="24"/>
          <w:szCs w:val="24"/>
          <w:lang w:val="en-US"/>
        </w:rPr>
        <w:t>A</w:t>
      </w:r>
      <w:r w:rsidR="00C56303" w:rsidRPr="00882EAA">
        <w:rPr>
          <w:rFonts w:ascii="Times New Roman" w:hAnsi="Times New Roman" w:cs="Times New Roman"/>
          <w:sz w:val="24"/>
          <w:szCs w:val="24"/>
          <w:lang w:val="en-US"/>
        </w:rPr>
        <w:t>greement</w:t>
      </w:r>
      <w:r w:rsidR="002D2AA5" w:rsidRPr="00882EAA">
        <w:rPr>
          <w:rFonts w:ascii="Times New Roman" w:hAnsi="Times New Roman" w:cs="Times New Roman"/>
          <w:sz w:val="24"/>
          <w:szCs w:val="24"/>
          <w:lang w:val="en-US"/>
        </w:rPr>
        <w:t xml:space="preserve">. The monthly rent of SCR5000/- </w:t>
      </w:r>
      <w:r w:rsidRPr="00882EAA">
        <w:rPr>
          <w:rFonts w:ascii="Times New Roman" w:hAnsi="Times New Roman" w:cs="Times New Roman"/>
          <w:sz w:val="24"/>
          <w:szCs w:val="24"/>
          <w:lang w:val="en-US"/>
        </w:rPr>
        <w:t xml:space="preserve">was to be paid </w:t>
      </w:r>
      <w:r w:rsidR="002D2AA5" w:rsidRPr="00882EAA">
        <w:rPr>
          <w:rFonts w:ascii="Times New Roman" w:hAnsi="Times New Roman" w:cs="Times New Roman"/>
          <w:sz w:val="24"/>
          <w:szCs w:val="24"/>
          <w:lang w:val="en-US"/>
        </w:rPr>
        <w:t xml:space="preserve">in advance on the last day of the preceding </w:t>
      </w:r>
      <w:r w:rsidR="00B53070">
        <w:rPr>
          <w:rFonts w:ascii="Times New Roman" w:hAnsi="Times New Roman" w:cs="Times New Roman"/>
          <w:sz w:val="24"/>
          <w:szCs w:val="24"/>
          <w:lang w:val="en-US"/>
        </w:rPr>
        <w:t xml:space="preserve">month </w:t>
      </w:r>
      <w:r w:rsidR="001A16BA">
        <w:rPr>
          <w:rFonts w:ascii="Times New Roman" w:hAnsi="Times New Roman" w:cs="Times New Roman"/>
          <w:sz w:val="24"/>
          <w:szCs w:val="24"/>
          <w:lang w:val="en-US"/>
        </w:rPr>
        <w:t>starting</w:t>
      </w:r>
      <w:r w:rsidR="00897D60" w:rsidRPr="00882EAA">
        <w:rPr>
          <w:rFonts w:ascii="Times New Roman" w:hAnsi="Times New Roman" w:cs="Times New Roman"/>
          <w:sz w:val="24"/>
          <w:szCs w:val="24"/>
          <w:lang w:val="en-US"/>
        </w:rPr>
        <w:t xml:space="preserve"> on the set</w:t>
      </w:r>
      <w:r w:rsidR="000A34B9" w:rsidRPr="00882EAA">
        <w:rPr>
          <w:rFonts w:ascii="Times New Roman" w:hAnsi="Times New Roman" w:cs="Times New Roman"/>
          <w:sz w:val="24"/>
          <w:szCs w:val="24"/>
          <w:lang w:val="en-US"/>
        </w:rPr>
        <w:t>-</w:t>
      </w:r>
      <w:r w:rsidR="006125AF" w:rsidRPr="00882EAA">
        <w:rPr>
          <w:rFonts w:ascii="Times New Roman" w:hAnsi="Times New Roman" w:cs="Times New Roman"/>
          <w:sz w:val="24"/>
          <w:szCs w:val="24"/>
          <w:lang w:val="en-US"/>
        </w:rPr>
        <w:t>off</w:t>
      </w:r>
      <w:r w:rsidR="00897D60" w:rsidRPr="00882EAA">
        <w:rPr>
          <w:rFonts w:ascii="Times New Roman" w:hAnsi="Times New Roman" w:cs="Times New Roman"/>
          <w:sz w:val="24"/>
          <w:szCs w:val="24"/>
          <w:lang w:val="en-US"/>
        </w:rPr>
        <w:t xml:space="preserve"> </w:t>
      </w:r>
      <w:r w:rsidR="007E695E" w:rsidRPr="00882EAA">
        <w:rPr>
          <w:rFonts w:ascii="Times New Roman" w:hAnsi="Times New Roman" w:cs="Times New Roman"/>
          <w:sz w:val="24"/>
          <w:szCs w:val="24"/>
          <w:lang w:val="en-US"/>
        </w:rPr>
        <w:t xml:space="preserve">of </w:t>
      </w:r>
      <w:r w:rsidR="00897D60" w:rsidRPr="00882EAA">
        <w:rPr>
          <w:rFonts w:ascii="Times New Roman" w:hAnsi="Times New Roman" w:cs="Times New Roman"/>
          <w:sz w:val="24"/>
          <w:szCs w:val="24"/>
          <w:lang w:val="en-US"/>
        </w:rPr>
        <w:t xml:space="preserve">all expenses incurred by the Appellants </w:t>
      </w:r>
      <w:r w:rsidR="001A16BA">
        <w:rPr>
          <w:rFonts w:ascii="Times New Roman" w:hAnsi="Times New Roman" w:cs="Times New Roman"/>
          <w:sz w:val="24"/>
          <w:szCs w:val="24"/>
          <w:lang w:val="en-US"/>
        </w:rPr>
        <w:t xml:space="preserve">in </w:t>
      </w:r>
      <w:r w:rsidR="00882EAA">
        <w:rPr>
          <w:rFonts w:ascii="Times New Roman" w:hAnsi="Times New Roman" w:cs="Times New Roman"/>
          <w:sz w:val="24"/>
          <w:szCs w:val="24"/>
          <w:lang w:val="en-US"/>
        </w:rPr>
        <w:t xml:space="preserve">completing </w:t>
      </w:r>
      <w:r w:rsidR="00897D60" w:rsidRPr="00882EAA">
        <w:rPr>
          <w:rFonts w:ascii="Times New Roman" w:hAnsi="Times New Roman" w:cs="Times New Roman"/>
          <w:sz w:val="24"/>
          <w:szCs w:val="24"/>
          <w:lang w:val="en-US"/>
        </w:rPr>
        <w:t>the Premises.</w:t>
      </w:r>
    </w:p>
    <w:p w14:paraId="7C8BC308" w14:textId="77777777" w:rsidR="006125AF" w:rsidRPr="00882EAA" w:rsidRDefault="006125AF" w:rsidP="000A34B9">
      <w:pPr>
        <w:pStyle w:val="ListParagraph"/>
        <w:spacing w:line="360" w:lineRule="auto"/>
        <w:rPr>
          <w:rFonts w:ascii="Times New Roman" w:hAnsi="Times New Roman" w:cs="Times New Roman"/>
          <w:i/>
          <w:iCs/>
          <w:sz w:val="24"/>
          <w:szCs w:val="24"/>
          <w:lang w:val="en-US"/>
        </w:rPr>
      </w:pPr>
    </w:p>
    <w:p w14:paraId="25FD7D7F" w14:textId="164E1584" w:rsidR="000A34B9" w:rsidRPr="00882EAA" w:rsidRDefault="006125AF" w:rsidP="000A34B9">
      <w:pPr>
        <w:pStyle w:val="ListParagraph"/>
        <w:spacing w:after="0" w:line="360" w:lineRule="auto"/>
        <w:ind w:left="0"/>
        <w:jc w:val="both"/>
        <w:rPr>
          <w:rFonts w:ascii="Times New Roman" w:hAnsi="Times New Roman" w:cs="Times New Roman"/>
          <w:i/>
          <w:iCs/>
          <w:sz w:val="24"/>
          <w:szCs w:val="24"/>
          <w:lang w:val="en-US"/>
        </w:rPr>
      </w:pPr>
      <w:r w:rsidRPr="00882EAA">
        <w:rPr>
          <w:rFonts w:ascii="Times New Roman" w:hAnsi="Times New Roman" w:cs="Times New Roman"/>
          <w:i/>
          <w:iCs/>
          <w:sz w:val="24"/>
          <w:szCs w:val="24"/>
          <w:lang w:val="en-US"/>
        </w:rPr>
        <w:t>Post Agreement</w:t>
      </w:r>
    </w:p>
    <w:p w14:paraId="4E8FC237" w14:textId="77777777" w:rsidR="00897D60" w:rsidRPr="00882EAA" w:rsidRDefault="00897D60" w:rsidP="000A34B9">
      <w:pPr>
        <w:pStyle w:val="ListParagraph"/>
        <w:spacing w:line="360" w:lineRule="auto"/>
        <w:rPr>
          <w:rFonts w:ascii="Times New Roman" w:hAnsi="Times New Roman" w:cs="Times New Roman"/>
          <w:i/>
          <w:iCs/>
          <w:sz w:val="24"/>
          <w:szCs w:val="24"/>
          <w:lang w:val="en-US"/>
        </w:rPr>
      </w:pPr>
    </w:p>
    <w:p w14:paraId="0C7AEB7E" w14:textId="6C2E673B" w:rsidR="00897D60" w:rsidRPr="00882EAA" w:rsidRDefault="007F2A93" w:rsidP="000A34B9">
      <w:pPr>
        <w:pStyle w:val="ListParagraph"/>
        <w:numPr>
          <w:ilvl w:val="0"/>
          <w:numId w:val="12"/>
        </w:numPr>
        <w:spacing w:after="0" w:line="360" w:lineRule="auto"/>
        <w:ind w:left="709" w:hanging="709"/>
        <w:jc w:val="both"/>
        <w:rPr>
          <w:rFonts w:ascii="Times New Roman" w:hAnsi="Times New Roman" w:cs="Times New Roman"/>
          <w:i/>
          <w:iCs/>
          <w:sz w:val="24"/>
          <w:szCs w:val="24"/>
          <w:lang w:val="en-US"/>
        </w:rPr>
      </w:pPr>
      <w:r w:rsidRPr="00882EAA">
        <w:rPr>
          <w:rFonts w:ascii="Times New Roman" w:hAnsi="Times New Roman" w:cs="Times New Roman"/>
          <w:sz w:val="24"/>
          <w:szCs w:val="24"/>
          <w:lang w:val="en-US"/>
        </w:rPr>
        <w:t>T</w:t>
      </w:r>
      <w:r w:rsidR="00897D60" w:rsidRPr="00882EAA">
        <w:rPr>
          <w:rFonts w:ascii="Times New Roman" w:hAnsi="Times New Roman" w:cs="Times New Roman"/>
          <w:sz w:val="24"/>
          <w:szCs w:val="24"/>
          <w:lang w:val="en-US"/>
        </w:rPr>
        <w:t xml:space="preserve">he Appellants financed and completed the Premises.  They provided the receipts of </w:t>
      </w:r>
      <w:r w:rsidRPr="00882EAA">
        <w:rPr>
          <w:rFonts w:ascii="Times New Roman" w:hAnsi="Times New Roman" w:cs="Times New Roman"/>
          <w:sz w:val="24"/>
          <w:szCs w:val="24"/>
          <w:lang w:val="en-US"/>
        </w:rPr>
        <w:t xml:space="preserve">all </w:t>
      </w:r>
      <w:r w:rsidR="00897D60" w:rsidRPr="00882EAA">
        <w:rPr>
          <w:rFonts w:ascii="Times New Roman" w:hAnsi="Times New Roman" w:cs="Times New Roman"/>
          <w:sz w:val="24"/>
          <w:szCs w:val="24"/>
          <w:lang w:val="en-US"/>
        </w:rPr>
        <w:t xml:space="preserve">their expenses to the Respondent and started occupying the Premises </w:t>
      </w:r>
      <w:r w:rsidR="00B53070">
        <w:rPr>
          <w:rFonts w:ascii="Times New Roman" w:hAnsi="Times New Roman" w:cs="Times New Roman"/>
          <w:sz w:val="24"/>
          <w:szCs w:val="24"/>
          <w:lang w:val="en-US"/>
        </w:rPr>
        <w:t>on</w:t>
      </w:r>
      <w:r w:rsidR="00897D60" w:rsidRPr="00882EAA">
        <w:rPr>
          <w:rFonts w:ascii="Times New Roman" w:hAnsi="Times New Roman" w:cs="Times New Roman"/>
          <w:sz w:val="24"/>
          <w:szCs w:val="24"/>
          <w:lang w:val="en-US"/>
        </w:rPr>
        <w:t xml:space="preserve"> </w:t>
      </w:r>
      <w:r w:rsidRPr="00882EAA">
        <w:rPr>
          <w:rFonts w:ascii="Times New Roman" w:hAnsi="Times New Roman" w:cs="Times New Roman"/>
          <w:sz w:val="24"/>
          <w:szCs w:val="24"/>
          <w:lang w:val="en-US"/>
        </w:rPr>
        <w:t>2</w:t>
      </w:r>
      <w:r w:rsidR="005D38D9" w:rsidRPr="005D38D9">
        <w:rPr>
          <w:rFonts w:ascii="Times New Roman" w:hAnsi="Times New Roman" w:cs="Times New Roman"/>
          <w:sz w:val="24"/>
          <w:szCs w:val="24"/>
          <w:vertAlign w:val="superscript"/>
          <w:lang w:val="en-US"/>
        </w:rPr>
        <w:t>nd</w:t>
      </w:r>
      <w:r w:rsidR="005D38D9">
        <w:rPr>
          <w:rFonts w:ascii="Times New Roman" w:hAnsi="Times New Roman" w:cs="Times New Roman"/>
          <w:sz w:val="24"/>
          <w:szCs w:val="24"/>
          <w:lang w:val="en-US"/>
        </w:rPr>
        <w:t xml:space="preserve"> </w:t>
      </w:r>
      <w:r w:rsidR="00897D60" w:rsidRPr="00882EAA">
        <w:rPr>
          <w:rFonts w:ascii="Times New Roman" w:hAnsi="Times New Roman" w:cs="Times New Roman"/>
          <w:sz w:val="24"/>
          <w:szCs w:val="24"/>
          <w:lang w:val="en-US"/>
        </w:rPr>
        <w:t>December 2018.</w:t>
      </w:r>
    </w:p>
    <w:p w14:paraId="62A9040F" w14:textId="77777777" w:rsidR="00897D60" w:rsidRPr="00882EAA" w:rsidRDefault="00897D60" w:rsidP="000A34B9">
      <w:pPr>
        <w:pStyle w:val="ListParagraph"/>
        <w:spacing w:line="360" w:lineRule="auto"/>
        <w:rPr>
          <w:rFonts w:ascii="Times New Roman" w:hAnsi="Times New Roman" w:cs="Times New Roman"/>
          <w:sz w:val="24"/>
          <w:szCs w:val="24"/>
          <w:lang w:val="en-US"/>
        </w:rPr>
      </w:pPr>
    </w:p>
    <w:p w14:paraId="1604BB3D" w14:textId="3C8AF7C4" w:rsidR="00897D60" w:rsidRPr="00882EAA" w:rsidRDefault="007F2A93" w:rsidP="000A34B9">
      <w:pPr>
        <w:pStyle w:val="ListParagraph"/>
        <w:numPr>
          <w:ilvl w:val="0"/>
          <w:numId w:val="12"/>
        </w:numPr>
        <w:spacing w:after="0" w:line="360" w:lineRule="auto"/>
        <w:ind w:left="709" w:hanging="709"/>
        <w:jc w:val="both"/>
        <w:rPr>
          <w:rFonts w:ascii="Times New Roman" w:hAnsi="Times New Roman" w:cs="Times New Roman"/>
          <w:i/>
          <w:iCs/>
          <w:sz w:val="24"/>
          <w:szCs w:val="24"/>
          <w:lang w:val="en-US"/>
        </w:rPr>
      </w:pPr>
      <w:r w:rsidRPr="00882EAA">
        <w:rPr>
          <w:rFonts w:ascii="Times New Roman" w:hAnsi="Times New Roman" w:cs="Times New Roman"/>
          <w:sz w:val="24"/>
          <w:szCs w:val="24"/>
          <w:lang w:val="en-US"/>
        </w:rPr>
        <w:t>On</w:t>
      </w:r>
      <w:r w:rsidR="00897D60" w:rsidRPr="00882EAA">
        <w:rPr>
          <w:rFonts w:ascii="Times New Roman" w:hAnsi="Times New Roman" w:cs="Times New Roman"/>
          <w:sz w:val="24"/>
          <w:szCs w:val="24"/>
          <w:lang w:val="en-US"/>
        </w:rPr>
        <w:t xml:space="preserve"> 7</w:t>
      </w:r>
      <w:r w:rsidR="005D38D9" w:rsidRPr="005D38D9">
        <w:rPr>
          <w:rFonts w:ascii="Times New Roman" w:hAnsi="Times New Roman" w:cs="Times New Roman"/>
          <w:sz w:val="24"/>
          <w:szCs w:val="24"/>
          <w:vertAlign w:val="superscript"/>
          <w:lang w:val="en-US"/>
        </w:rPr>
        <w:t>th</w:t>
      </w:r>
      <w:r w:rsidR="005D38D9">
        <w:rPr>
          <w:rFonts w:ascii="Times New Roman" w:hAnsi="Times New Roman" w:cs="Times New Roman"/>
          <w:sz w:val="24"/>
          <w:szCs w:val="24"/>
          <w:lang w:val="en-US"/>
        </w:rPr>
        <w:t xml:space="preserve"> </w:t>
      </w:r>
      <w:r w:rsidR="00897D60" w:rsidRPr="00882EAA">
        <w:rPr>
          <w:rFonts w:ascii="Times New Roman" w:hAnsi="Times New Roman" w:cs="Times New Roman"/>
          <w:sz w:val="24"/>
          <w:szCs w:val="24"/>
          <w:lang w:val="en-US"/>
        </w:rPr>
        <w:t>October 2020</w:t>
      </w:r>
      <w:r w:rsidR="00882EAA" w:rsidRPr="00882EAA">
        <w:rPr>
          <w:rFonts w:ascii="Times New Roman" w:hAnsi="Times New Roman" w:cs="Times New Roman"/>
          <w:sz w:val="24"/>
          <w:szCs w:val="24"/>
          <w:lang w:val="en-US"/>
        </w:rPr>
        <w:t xml:space="preserve"> (</w:t>
      </w:r>
      <w:r w:rsidR="001A16BA">
        <w:rPr>
          <w:rFonts w:ascii="Times New Roman" w:hAnsi="Times New Roman" w:cs="Times New Roman"/>
          <w:sz w:val="24"/>
          <w:szCs w:val="24"/>
          <w:lang w:val="en-US"/>
        </w:rPr>
        <w:t xml:space="preserve">almost </w:t>
      </w:r>
      <w:r w:rsidR="00882EAA" w:rsidRPr="00882EAA">
        <w:rPr>
          <w:rFonts w:ascii="Times New Roman" w:hAnsi="Times New Roman" w:cs="Times New Roman"/>
          <w:sz w:val="24"/>
          <w:szCs w:val="24"/>
          <w:lang w:val="en-US"/>
        </w:rPr>
        <w:t>two years after occupation)</w:t>
      </w:r>
      <w:r w:rsidR="00897D60" w:rsidRPr="00882EAA">
        <w:rPr>
          <w:rFonts w:ascii="Times New Roman" w:hAnsi="Times New Roman" w:cs="Times New Roman"/>
          <w:sz w:val="24"/>
          <w:szCs w:val="24"/>
          <w:lang w:val="en-US"/>
        </w:rPr>
        <w:t xml:space="preserve">, Respondent’s Attorney </w:t>
      </w:r>
      <w:r w:rsidR="001A16BA">
        <w:rPr>
          <w:rFonts w:ascii="Times New Roman" w:hAnsi="Times New Roman" w:cs="Times New Roman"/>
          <w:sz w:val="24"/>
          <w:szCs w:val="24"/>
          <w:lang w:val="en-US"/>
        </w:rPr>
        <w:t xml:space="preserve">wrote to </w:t>
      </w:r>
      <w:r w:rsidR="00897D60" w:rsidRPr="00882EAA">
        <w:rPr>
          <w:rFonts w:ascii="Times New Roman" w:hAnsi="Times New Roman" w:cs="Times New Roman"/>
          <w:sz w:val="24"/>
          <w:szCs w:val="24"/>
          <w:lang w:val="en-US"/>
        </w:rPr>
        <w:t xml:space="preserve">the Appellants </w:t>
      </w:r>
      <w:r w:rsidR="001A16BA">
        <w:rPr>
          <w:rFonts w:ascii="Times New Roman" w:hAnsi="Times New Roman" w:cs="Times New Roman"/>
          <w:sz w:val="24"/>
          <w:szCs w:val="24"/>
          <w:lang w:val="en-US"/>
        </w:rPr>
        <w:t xml:space="preserve">informing them </w:t>
      </w:r>
      <w:r w:rsidR="00897D60" w:rsidRPr="00882EAA">
        <w:rPr>
          <w:rFonts w:ascii="Times New Roman" w:hAnsi="Times New Roman" w:cs="Times New Roman"/>
          <w:sz w:val="24"/>
          <w:szCs w:val="24"/>
          <w:lang w:val="en-US"/>
        </w:rPr>
        <w:t xml:space="preserve">that </w:t>
      </w:r>
      <w:r w:rsidRPr="00882EAA">
        <w:rPr>
          <w:rFonts w:ascii="Times New Roman" w:hAnsi="Times New Roman" w:cs="Times New Roman"/>
          <w:sz w:val="24"/>
          <w:szCs w:val="24"/>
          <w:lang w:val="en-US"/>
        </w:rPr>
        <w:t xml:space="preserve">the total agreed amount of their expenses incurred on the Premises was SR180,377.40/- which translated to 36 months of rent at SR5,000/- per month. </w:t>
      </w:r>
      <w:r w:rsidR="00B53070">
        <w:rPr>
          <w:rFonts w:ascii="Times New Roman" w:hAnsi="Times New Roman" w:cs="Times New Roman"/>
          <w:sz w:val="24"/>
          <w:szCs w:val="24"/>
          <w:lang w:val="en-US"/>
        </w:rPr>
        <w:t>Appellants were f</w:t>
      </w:r>
      <w:r w:rsidR="001A16BA">
        <w:rPr>
          <w:rFonts w:ascii="Times New Roman" w:hAnsi="Times New Roman" w:cs="Times New Roman"/>
          <w:sz w:val="24"/>
          <w:szCs w:val="24"/>
          <w:lang w:val="en-US"/>
        </w:rPr>
        <w:t>urther</w:t>
      </w:r>
      <w:r w:rsidR="00B53070">
        <w:rPr>
          <w:rFonts w:ascii="Times New Roman" w:hAnsi="Times New Roman" w:cs="Times New Roman"/>
          <w:sz w:val="24"/>
          <w:szCs w:val="24"/>
          <w:lang w:val="en-US"/>
        </w:rPr>
        <w:t xml:space="preserve"> informed that</w:t>
      </w:r>
      <w:r w:rsidR="001A16BA">
        <w:rPr>
          <w:rFonts w:ascii="Times New Roman" w:hAnsi="Times New Roman" w:cs="Times New Roman"/>
          <w:sz w:val="24"/>
          <w:szCs w:val="24"/>
          <w:lang w:val="en-US"/>
        </w:rPr>
        <w:t xml:space="preserve"> u</w:t>
      </w:r>
      <w:r w:rsidRPr="00882EAA">
        <w:rPr>
          <w:rFonts w:ascii="Times New Roman" w:hAnsi="Times New Roman" w:cs="Times New Roman"/>
          <w:sz w:val="24"/>
          <w:szCs w:val="24"/>
          <w:lang w:val="en-US"/>
        </w:rPr>
        <w:t>nless they opt</w:t>
      </w:r>
      <w:r w:rsidR="00B53070">
        <w:rPr>
          <w:rFonts w:ascii="Times New Roman" w:hAnsi="Times New Roman" w:cs="Times New Roman"/>
          <w:sz w:val="24"/>
          <w:szCs w:val="24"/>
          <w:lang w:val="en-US"/>
        </w:rPr>
        <w:t>ed</w:t>
      </w:r>
      <w:r w:rsidRPr="00882EAA">
        <w:rPr>
          <w:rFonts w:ascii="Times New Roman" w:hAnsi="Times New Roman" w:cs="Times New Roman"/>
          <w:sz w:val="24"/>
          <w:szCs w:val="24"/>
          <w:lang w:val="en-US"/>
        </w:rPr>
        <w:t xml:space="preserve"> to vacate the Premises on or before 2</w:t>
      </w:r>
      <w:r w:rsidR="005D38D9" w:rsidRPr="005D38D9">
        <w:rPr>
          <w:rFonts w:ascii="Times New Roman" w:hAnsi="Times New Roman" w:cs="Times New Roman"/>
          <w:sz w:val="24"/>
          <w:szCs w:val="24"/>
          <w:vertAlign w:val="superscript"/>
          <w:lang w:val="en-US"/>
        </w:rPr>
        <w:t>nd</w:t>
      </w:r>
      <w:r w:rsidR="005D38D9">
        <w:rPr>
          <w:rFonts w:ascii="Times New Roman" w:hAnsi="Times New Roman" w:cs="Times New Roman"/>
          <w:sz w:val="24"/>
          <w:szCs w:val="24"/>
          <w:lang w:val="en-US"/>
        </w:rPr>
        <w:t xml:space="preserve"> </w:t>
      </w:r>
      <w:r w:rsidRPr="00882EAA">
        <w:rPr>
          <w:rFonts w:ascii="Times New Roman" w:hAnsi="Times New Roman" w:cs="Times New Roman"/>
          <w:sz w:val="24"/>
          <w:szCs w:val="24"/>
          <w:lang w:val="en-US"/>
        </w:rPr>
        <w:t>December 2021, the monthly rental of S</w:t>
      </w:r>
      <w:r w:rsidR="00882EAA" w:rsidRPr="00882EAA">
        <w:rPr>
          <w:rFonts w:ascii="Times New Roman" w:hAnsi="Times New Roman" w:cs="Times New Roman"/>
          <w:sz w:val="24"/>
          <w:szCs w:val="24"/>
          <w:lang w:val="en-US"/>
        </w:rPr>
        <w:t>C</w:t>
      </w:r>
      <w:r w:rsidRPr="00882EAA">
        <w:rPr>
          <w:rFonts w:ascii="Times New Roman" w:hAnsi="Times New Roman" w:cs="Times New Roman"/>
          <w:sz w:val="24"/>
          <w:szCs w:val="24"/>
          <w:lang w:val="en-US"/>
        </w:rPr>
        <w:t>R5000/- would become due and payable as of the said date.</w:t>
      </w:r>
    </w:p>
    <w:p w14:paraId="30FB9E3E" w14:textId="77777777" w:rsidR="00D64DA5" w:rsidRPr="00882EAA" w:rsidRDefault="00D64DA5" w:rsidP="000A34B9">
      <w:pPr>
        <w:pStyle w:val="ListParagraph"/>
        <w:spacing w:line="360" w:lineRule="auto"/>
        <w:rPr>
          <w:rFonts w:ascii="Times New Roman" w:hAnsi="Times New Roman" w:cs="Times New Roman"/>
          <w:i/>
          <w:iCs/>
          <w:sz w:val="24"/>
          <w:szCs w:val="24"/>
          <w:lang w:val="en-US"/>
        </w:rPr>
      </w:pPr>
    </w:p>
    <w:p w14:paraId="1DDFE25C" w14:textId="383FF845" w:rsidR="00D64DA5" w:rsidRPr="00882EAA" w:rsidRDefault="00D64DA5" w:rsidP="000A34B9">
      <w:pPr>
        <w:pStyle w:val="ListParagraph"/>
        <w:numPr>
          <w:ilvl w:val="0"/>
          <w:numId w:val="12"/>
        </w:numPr>
        <w:spacing w:after="0" w:line="360" w:lineRule="auto"/>
        <w:ind w:left="709" w:hanging="709"/>
        <w:jc w:val="both"/>
        <w:rPr>
          <w:rFonts w:ascii="Times New Roman" w:hAnsi="Times New Roman" w:cs="Times New Roman"/>
          <w:i/>
          <w:iCs/>
          <w:sz w:val="24"/>
          <w:szCs w:val="24"/>
          <w:lang w:val="en-US"/>
        </w:rPr>
      </w:pPr>
      <w:r w:rsidRPr="00882EAA">
        <w:rPr>
          <w:rFonts w:ascii="Times New Roman" w:hAnsi="Times New Roman" w:cs="Times New Roman"/>
          <w:sz w:val="24"/>
          <w:szCs w:val="24"/>
          <w:lang w:val="en-US"/>
        </w:rPr>
        <w:t xml:space="preserve">The Appellants failed and/or refused to pay any rent to the Respondent </w:t>
      </w:r>
      <w:r w:rsidR="00B53070">
        <w:rPr>
          <w:rFonts w:ascii="Times New Roman" w:hAnsi="Times New Roman" w:cs="Times New Roman"/>
          <w:sz w:val="24"/>
          <w:szCs w:val="24"/>
          <w:lang w:val="en-US"/>
        </w:rPr>
        <w:t>for their occupation of the</w:t>
      </w:r>
      <w:r w:rsidRPr="00882EAA">
        <w:rPr>
          <w:rFonts w:ascii="Times New Roman" w:hAnsi="Times New Roman" w:cs="Times New Roman"/>
          <w:sz w:val="24"/>
          <w:szCs w:val="24"/>
          <w:lang w:val="en-US"/>
        </w:rPr>
        <w:t xml:space="preserve"> Premises </w:t>
      </w:r>
      <w:r w:rsidR="00882EAA">
        <w:rPr>
          <w:rFonts w:ascii="Times New Roman" w:hAnsi="Times New Roman" w:cs="Times New Roman"/>
          <w:sz w:val="24"/>
          <w:szCs w:val="24"/>
          <w:lang w:val="en-US"/>
        </w:rPr>
        <w:t>as from December 2021</w:t>
      </w:r>
      <w:r w:rsidR="00B53070">
        <w:rPr>
          <w:rFonts w:ascii="Times New Roman" w:hAnsi="Times New Roman" w:cs="Times New Roman"/>
          <w:sz w:val="24"/>
          <w:szCs w:val="24"/>
          <w:lang w:val="en-US"/>
        </w:rPr>
        <w:t>,</w:t>
      </w:r>
      <w:r w:rsidR="00882EAA">
        <w:rPr>
          <w:rFonts w:ascii="Times New Roman" w:hAnsi="Times New Roman" w:cs="Times New Roman"/>
          <w:sz w:val="24"/>
          <w:szCs w:val="24"/>
          <w:lang w:val="en-US"/>
        </w:rPr>
        <w:t xml:space="preserve"> </w:t>
      </w:r>
      <w:r w:rsidRPr="00882EAA">
        <w:rPr>
          <w:rFonts w:ascii="Times New Roman" w:hAnsi="Times New Roman" w:cs="Times New Roman"/>
          <w:sz w:val="24"/>
          <w:szCs w:val="24"/>
          <w:lang w:val="en-US"/>
        </w:rPr>
        <w:t>and they were served with notice of termination of the tenancy on 19</w:t>
      </w:r>
      <w:r w:rsidR="005D38D9" w:rsidRPr="005D38D9">
        <w:rPr>
          <w:rFonts w:ascii="Times New Roman" w:hAnsi="Times New Roman" w:cs="Times New Roman"/>
          <w:sz w:val="24"/>
          <w:szCs w:val="24"/>
          <w:vertAlign w:val="superscript"/>
          <w:lang w:val="en-US"/>
        </w:rPr>
        <w:t>th</w:t>
      </w:r>
      <w:r w:rsidR="005D38D9">
        <w:rPr>
          <w:rFonts w:ascii="Times New Roman" w:hAnsi="Times New Roman" w:cs="Times New Roman"/>
          <w:sz w:val="24"/>
          <w:szCs w:val="24"/>
          <w:lang w:val="en-US"/>
        </w:rPr>
        <w:t xml:space="preserve"> </w:t>
      </w:r>
      <w:r w:rsidRPr="00882EAA">
        <w:rPr>
          <w:rFonts w:ascii="Times New Roman" w:hAnsi="Times New Roman" w:cs="Times New Roman"/>
          <w:sz w:val="24"/>
          <w:szCs w:val="24"/>
          <w:lang w:val="en-US"/>
        </w:rPr>
        <w:t>January 2022.</w:t>
      </w:r>
    </w:p>
    <w:p w14:paraId="3C109481" w14:textId="77777777" w:rsidR="00D64DA5" w:rsidRPr="00882EAA" w:rsidRDefault="00D64DA5" w:rsidP="000A34B9">
      <w:pPr>
        <w:pStyle w:val="ListParagraph"/>
        <w:spacing w:line="360" w:lineRule="auto"/>
        <w:rPr>
          <w:rFonts w:ascii="Times New Roman" w:hAnsi="Times New Roman" w:cs="Times New Roman"/>
          <w:i/>
          <w:iCs/>
          <w:sz w:val="24"/>
          <w:szCs w:val="24"/>
          <w:lang w:val="en-US"/>
        </w:rPr>
      </w:pPr>
    </w:p>
    <w:p w14:paraId="445CED83" w14:textId="7394F4CE" w:rsidR="00D64DA5" w:rsidRPr="00882EAA" w:rsidRDefault="00D64DA5" w:rsidP="000A34B9">
      <w:pPr>
        <w:pStyle w:val="ListParagraph"/>
        <w:numPr>
          <w:ilvl w:val="0"/>
          <w:numId w:val="12"/>
        </w:numPr>
        <w:spacing w:after="0" w:line="360" w:lineRule="auto"/>
        <w:ind w:left="709" w:hanging="709"/>
        <w:jc w:val="both"/>
        <w:rPr>
          <w:rFonts w:ascii="Times New Roman" w:hAnsi="Times New Roman" w:cs="Times New Roman"/>
          <w:i/>
          <w:iCs/>
          <w:sz w:val="24"/>
          <w:szCs w:val="24"/>
          <w:lang w:val="en-US"/>
        </w:rPr>
      </w:pPr>
      <w:r w:rsidRPr="00882EAA">
        <w:rPr>
          <w:rFonts w:ascii="Times New Roman" w:hAnsi="Times New Roman" w:cs="Times New Roman"/>
          <w:sz w:val="24"/>
          <w:szCs w:val="24"/>
          <w:lang w:val="en-US"/>
        </w:rPr>
        <w:lastRenderedPageBreak/>
        <w:t xml:space="preserve">By letter </w:t>
      </w:r>
      <w:r w:rsidR="001A16BA">
        <w:rPr>
          <w:rFonts w:ascii="Times New Roman" w:hAnsi="Times New Roman" w:cs="Times New Roman"/>
          <w:sz w:val="24"/>
          <w:szCs w:val="24"/>
          <w:lang w:val="en-US"/>
        </w:rPr>
        <w:t>dated</w:t>
      </w:r>
      <w:r w:rsidRPr="00882EAA">
        <w:rPr>
          <w:rFonts w:ascii="Times New Roman" w:hAnsi="Times New Roman" w:cs="Times New Roman"/>
          <w:sz w:val="24"/>
          <w:szCs w:val="24"/>
          <w:lang w:val="en-US"/>
        </w:rPr>
        <w:t xml:space="preserve"> 8</w:t>
      </w:r>
      <w:r w:rsidR="005D38D9" w:rsidRPr="005D38D9">
        <w:rPr>
          <w:rFonts w:ascii="Times New Roman" w:hAnsi="Times New Roman" w:cs="Times New Roman"/>
          <w:sz w:val="24"/>
          <w:szCs w:val="24"/>
          <w:vertAlign w:val="superscript"/>
          <w:lang w:val="en-US"/>
        </w:rPr>
        <w:t>th</w:t>
      </w:r>
      <w:r w:rsidR="005D38D9">
        <w:rPr>
          <w:rFonts w:ascii="Times New Roman" w:hAnsi="Times New Roman" w:cs="Times New Roman"/>
          <w:sz w:val="24"/>
          <w:szCs w:val="24"/>
          <w:lang w:val="en-US"/>
        </w:rPr>
        <w:t xml:space="preserve"> </w:t>
      </w:r>
      <w:r w:rsidRPr="00882EAA">
        <w:rPr>
          <w:rFonts w:ascii="Times New Roman" w:hAnsi="Times New Roman" w:cs="Times New Roman"/>
          <w:sz w:val="24"/>
          <w:szCs w:val="24"/>
          <w:lang w:val="en-US"/>
        </w:rPr>
        <w:t xml:space="preserve">March 2022, the Appellants’ Attorney </w:t>
      </w:r>
      <w:r w:rsidR="00B53070">
        <w:rPr>
          <w:rFonts w:ascii="Times New Roman" w:hAnsi="Times New Roman" w:cs="Times New Roman"/>
          <w:sz w:val="24"/>
          <w:szCs w:val="24"/>
          <w:lang w:val="en-US"/>
        </w:rPr>
        <w:t>responded to</w:t>
      </w:r>
      <w:r w:rsidRPr="00882EAA">
        <w:rPr>
          <w:rFonts w:ascii="Times New Roman" w:hAnsi="Times New Roman" w:cs="Times New Roman"/>
          <w:sz w:val="24"/>
          <w:szCs w:val="24"/>
          <w:lang w:val="en-US"/>
        </w:rPr>
        <w:t xml:space="preserve"> the </w:t>
      </w:r>
      <w:r w:rsidR="00B53070">
        <w:rPr>
          <w:rFonts w:ascii="Times New Roman" w:hAnsi="Times New Roman" w:cs="Times New Roman"/>
          <w:sz w:val="24"/>
          <w:szCs w:val="24"/>
          <w:lang w:val="en-US"/>
        </w:rPr>
        <w:t>n</w:t>
      </w:r>
      <w:r w:rsidR="009E3127">
        <w:rPr>
          <w:rFonts w:ascii="Times New Roman" w:hAnsi="Times New Roman" w:cs="Times New Roman"/>
          <w:sz w:val="24"/>
          <w:szCs w:val="24"/>
          <w:lang w:val="en-US"/>
        </w:rPr>
        <w:t>otice of termination of tenancy stating that t</w:t>
      </w:r>
      <w:r w:rsidR="00B53070">
        <w:rPr>
          <w:rFonts w:ascii="Times New Roman" w:hAnsi="Times New Roman" w:cs="Times New Roman"/>
          <w:sz w:val="24"/>
          <w:szCs w:val="24"/>
          <w:lang w:val="en-US"/>
        </w:rPr>
        <w:t>he Appellants</w:t>
      </w:r>
      <w:r w:rsidRPr="00882EAA">
        <w:rPr>
          <w:rFonts w:ascii="Times New Roman" w:hAnsi="Times New Roman" w:cs="Times New Roman"/>
          <w:sz w:val="24"/>
          <w:szCs w:val="24"/>
          <w:lang w:val="en-US"/>
        </w:rPr>
        <w:t xml:space="preserve"> will neither pay rent nor vacate the Premises.  For the first time since the signing of the Agreement and the passing of Mr</w:t>
      </w:r>
      <w:r w:rsidR="00DD38F3" w:rsidRPr="00882EAA">
        <w:rPr>
          <w:rFonts w:ascii="Times New Roman" w:hAnsi="Times New Roman" w:cs="Times New Roman"/>
          <w:sz w:val="24"/>
          <w:szCs w:val="24"/>
          <w:lang w:val="en-US"/>
        </w:rPr>
        <w:t>.</w:t>
      </w:r>
      <w:r w:rsidRPr="00882EAA">
        <w:rPr>
          <w:rFonts w:ascii="Times New Roman" w:hAnsi="Times New Roman" w:cs="Times New Roman"/>
          <w:sz w:val="24"/>
          <w:szCs w:val="24"/>
          <w:lang w:val="en-US"/>
        </w:rPr>
        <w:t xml:space="preserve"> Philippe Vital, the Appellants justified non-payment of rent on the grounds that the Agreement is invalid, null and void ab initio as the Respondent did not have the capacity to enter into the agreement on behalf of the late Mr</w:t>
      </w:r>
      <w:r w:rsidR="00DD38F3" w:rsidRPr="00882EAA">
        <w:rPr>
          <w:rFonts w:ascii="Times New Roman" w:hAnsi="Times New Roman" w:cs="Times New Roman"/>
          <w:sz w:val="24"/>
          <w:szCs w:val="24"/>
          <w:lang w:val="en-US"/>
        </w:rPr>
        <w:t>.</w:t>
      </w:r>
      <w:r w:rsidRPr="00882EAA">
        <w:rPr>
          <w:rFonts w:ascii="Times New Roman" w:hAnsi="Times New Roman" w:cs="Times New Roman"/>
          <w:sz w:val="24"/>
          <w:szCs w:val="24"/>
          <w:lang w:val="en-US"/>
        </w:rPr>
        <w:t xml:space="preserve"> Philippe Vital. The Appellants also maintained that the last Will and Testament of the late Mr</w:t>
      </w:r>
      <w:r w:rsidR="00DD38F3" w:rsidRPr="00882EAA">
        <w:rPr>
          <w:rFonts w:ascii="Times New Roman" w:hAnsi="Times New Roman" w:cs="Times New Roman"/>
          <w:sz w:val="24"/>
          <w:szCs w:val="24"/>
          <w:lang w:val="en-US"/>
        </w:rPr>
        <w:t>.</w:t>
      </w:r>
      <w:r w:rsidRPr="00882EAA">
        <w:rPr>
          <w:rFonts w:ascii="Times New Roman" w:hAnsi="Times New Roman" w:cs="Times New Roman"/>
          <w:sz w:val="24"/>
          <w:szCs w:val="24"/>
          <w:lang w:val="en-US"/>
        </w:rPr>
        <w:t xml:space="preserve"> Philippe Vital was null and void and</w:t>
      </w:r>
      <w:r w:rsidR="001A16BA">
        <w:rPr>
          <w:rFonts w:ascii="Times New Roman" w:hAnsi="Times New Roman" w:cs="Times New Roman"/>
          <w:sz w:val="24"/>
          <w:szCs w:val="24"/>
          <w:lang w:val="en-US"/>
        </w:rPr>
        <w:t xml:space="preserve">, that </w:t>
      </w:r>
      <w:r w:rsidR="001A16BA" w:rsidRPr="00882EAA">
        <w:rPr>
          <w:rFonts w:ascii="Times New Roman" w:hAnsi="Times New Roman" w:cs="Times New Roman"/>
          <w:sz w:val="24"/>
          <w:szCs w:val="24"/>
          <w:lang w:val="en-US"/>
        </w:rPr>
        <w:t>an</w:t>
      </w:r>
      <w:r w:rsidRPr="00882EAA">
        <w:rPr>
          <w:rFonts w:ascii="Times New Roman" w:hAnsi="Times New Roman" w:cs="Times New Roman"/>
          <w:sz w:val="24"/>
          <w:szCs w:val="24"/>
          <w:lang w:val="en-US"/>
        </w:rPr>
        <w:t xml:space="preserve"> </w:t>
      </w:r>
      <w:r w:rsidR="008A7AF4" w:rsidRPr="00882EAA">
        <w:rPr>
          <w:rFonts w:ascii="Times New Roman" w:hAnsi="Times New Roman" w:cs="Times New Roman"/>
          <w:sz w:val="24"/>
          <w:szCs w:val="24"/>
          <w:lang w:val="en-US"/>
        </w:rPr>
        <w:t>application was being filed in court to cancel and invalidate the</w:t>
      </w:r>
      <w:r w:rsidR="001A16BA">
        <w:rPr>
          <w:rFonts w:ascii="Times New Roman" w:hAnsi="Times New Roman" w:cs="Times New Roman"/>
          <w:sz w:val="24"/>
          <w:szCs w:val="24"/>
          <w:lang w:val="en-US"/>
        </w:rPr>
        <w:t xml:space="preserve"> said W</w:t>
      </w:r>
      <w:r w:rsidR="008A7AF4" w:rsidRPr="00882EAA">
        <w:rPr>
          <w:rFonts w:ascii="Times New Roman" w:hAnsi="Times New Roman" w:cs="Times New Roman"/>
          <w:sz w:val="24"/>
          <w:szCs w:val="24"/>
          <w:lang w:val="en-US"/>
        </w:rPr>
        <w:t>ill.</w:t>
      </w:r>
    </w:p>
    <w:p w14:paraId="7E951B49" w14:textId="77777777" w:rsidR="000A34B9" w:rsidRPr="00882EAA" w:rsidRDefault="000A34B9" w:rsidP="000A34B9">
      <w:pPr>
        <w:pStyle w:val="ListParagraph"/>
        <w:rPr>
          <w:rFonts w:ascii="Times New Roman" w:hAnsi="Times New Roman" w:cs="Times New Roman"/>
          <w:i/>
          <w:iCs/>
          <w:sz w:val="24"/>
          <w:szCs w:val="24"/>
          <w:lang w:val="en-US"/>
        </w:rPr>
      </w:pPr>
    </w:p>
    <w:p w14:paraId="48D716DE" w14:textId="7342536B" w:rsidR="000A34B9" w:rsidRPr="00882EAA" w:rsidRDefault="000A34B9" w:rsidP="000A34B9">
      <w:pPr>
        <w:spacing w:line="360" w:lineRule="auto"/>
        <w:jc w:val="both"/>
        <w:rPr>
          <w:i/>
          <w:iCs/>
        </w:rPr>
      </w:pPr>
      <w:r w:rsidRPr="00882EAA">
        <w:rPr>
          <w:i/>
          <w:iCs/>
        </w:rPr>
        <w:t>Rent Board</w:t>
      </w:r>
    </w:p>
    <w:p w14:paraId="0319D842" w14:textId="77777777" w:rsidR="008A7AF4" w:rsidRPr="00882EAA" w:rsidRDefault="008A7AF4" w:rsidP="000A34B9">
      <w:pPr>
        <w:pStyle w:val="ListParagraph"/>
        <w:spacing w:line="360" w:lineRule="auto"/>
        <w:rPr>
          <w:rFonts w:ascii="Times New Roman" w:hAnsi="Times New Roman" w:cs="Times New Roman"/>
          <w:i/>
          <w:iCs/>
          <w:sz w:val="24"/>
          <w:szCs w:val="24"/>
          <w:lang w:val="en-US"/>
        </w:rPr>
      </w:pPr>
    </w:p>
    <w:p w14:paraId="78705B7B" w14:textId="3E1F2BC3" w:rsidR="008A7AF4" w:rsidRPr="00882EAA" w:rsidRDefault="008A7AF4" w:rsidP="00882EAA">
      <w:pPr>
        <w:pStyle w:val="ListParagraph"/>
        <w:numPr>
          <w:ilvl w:val="0"/>
          <w:numId w:val="12"/>
        </w:numPr>
        <w:spacing w:after="0" w:line="360" w:lineRule="auto"/>
        <w:ind w:left="709" w:hanging="709"/>
        <w:jc w:val="both"/>
        <w:rPr>
          <w:rFonts w:ascii="Times New Roman" w:hAnsi="Times New Roman" w:cs="Times New Roman"/>
          <w:i/>
          <w:iCs/>
          <w:sz w:val="24"/>
          <w:szCs w:val="24"/>
          <w:lang w:val="en-US"/>
        </w:rPr>
      </w:pPr>
      <w:r w:rsidRPr="00882EAA">
        <w:rPr>
          <w:rFonts w:ascii="Times New Roman" w:hAnsi="Times New Roman" w:cs="Times New Roman"/>
          <w:sz w:val="24"/>
          <w:szCs w:val="24"/>
          <w:lang w:val="en-US"/>
        </w:rPr>
        <w:t>By application dated 3</w:t>
      </w:r>
      <w:r w:rsidR="005D38D9" w:rsidRPr="005D38D9">
        <w:rPr>
          <w:rFonts w:ascii="Times New Roman" w:hAnsi="Times New Roman" w:cs="Times New Roman"/>
          <w:sz w:val="24"/>
          <w:szCs w:val="24"/>
          <w:vertAlign w:val="superscript"/>
          <w:lang w:val="en-US"/>
        </w:rPr>
        <w:t>rd</w:t>
      </w:r>
      <w:r w:rsidR="005D38D9">
        <w:rPr>
          <w:rFonts w:ascii="Times New Roman" w:hAnsi="Times New Roman" w:cs="Times New Roman"/>
          <w:sz w:val="24"/>
          <w:szCs w:val="24"/>
          <w:lang w:val="en-US"/>
        </w:rPr>
        <w:t xml:space="preserve"> </w:t>
      </w:r>
      <w:r w:rsidRPr="00882EAA">
        <w:rPr>
          <w:rFonts w:ascii="Times New Roman" w:hAnsi="Times New Roman" w:cs="Times New Roman"/>
          <w:sz w:val="24"/>
          <w:szCs w:val="24"/>
          <w:lang w:val="en-US"/>
        </w:rPr>
        <w:t>May 2022</w:t>
      </w:r>
      <w:r w:rsidR="00882EAA" w:rsidRPr="00882EAA">
        <w:rPr>
          <w:rFonts w:ascii="Times New Roman" w:hAnsi="Times New Roman" w:cs="Times New Roman"/>
          <w:sz w:val="24"/>
          <w:szCs w:val="24"/>
          <w:lang w:val="en-US"/>
        </w:rPr>
        <w:t xml:space="preserve"> in case </w:t>
      </w:r>
      <w:r w:rsidR="00882EAA" w:rsidRPr="00882EAA">
        <w:rPr>
          <w:rFonts w:ascii="Times New Roman" w:hAnsi="Times New Roman" w:cs="Times New Roman"/>
          <w:i/>
          <w:iCs/>
          <w:sz w:val="24"/>
          <w:szCs w:val="24"/>
          <w:lang w:val="en-US"/>
        </w:rPr>
        <w:t xml:space="preserve">RB14/2022 </w:t>
      </w:r>
      <w:proofErr w:type="spellStart"/>
      <w:r w:rsidR="00882EAA" w:rsidRPr="00882EAA">
        <w:rPr>
          <w:rFonts w:ascii="Times New Roman" w:hAnsi="Times New Roman" w:cs="Times New Roman"/>
          <w:i/>
          <w:iCs/>
          <w:sz w:val="24"/>
          <w:szCs w:val="24"/>
          <w:lang w:val="en-US"/>
        </w:rPr>
        <w:t>Josianne</w:t>
      </w:r>
      <w:proofErr w:type="spellEnd"/>
      <w:r w:rsidR="00882EAA" w:rsidRPr="00882EAA">
        <w:rPr>
          <w:rFonts w:ascii="Times New Roman" w:hAnsi="Times New Roman" w:cs="Times New Roman"/>
          <w:i/>
          <w:iCs/>
          <w:sz w:val="24"/>
          <w:szCs w:val="24"/>
          <w:lang w:val="en-US"/>
        </w:rPr>
        <w:t xml:space="preserve"> Vital v Tony Lablache &amp; </w:t>
      </w:r>
      <w:proofErr w:type="spellStart"/>
      <w:r w:rsidR="00882EAA" w:rsidRPr="00882EAA">
        <w:rPr>
          <w:rFonts w:ascii="Times New Roman" w:hAnsi="Times New Roman" w:cs="Times New Roman"/>
          <w:i/>
          <w:iCs/>
          <w:sz w:val="24"/>
          <w:szCs w:val="24"/>
          <w:lang w:val="en-US"/>
        </w:rPr>
        <w:t>Philina</w:t>
      </w:r>
      <w:proofErr w:type="spellEnd"/>
      <w:r w:rsidR="00882EAA" w:rsidRPr="00882EAA">
        <w:rPr>
          <w:rFonts w:ascii="Times New Roman" w:hAnsi="Times New Roman" w:cs="Times New Roman"/>
          <w:i/>
          <w:iCs/>
          <w:sz w:val="24"/>
          <w:szCs w:val="24"/>
          <w:lang w:val="en-US"/>
        </w:rPr>
        <w:t xml:space="preserve"> Lablache </w:t>
      </w:r>
      <w:r w:rsidRPr="00882EAA">
        <w:rPr>
          <w:rFonts w:ascii="Times New Roman" w:hAnsi="Times New Roman" w:cs="Times New Roman"/>
          <w:sz w:val="24"/>
          <w:szCs w:val="24"/>
          <w:lang w:val="en-US"/>
        </w:rPr>
        <w:t xml:space="preserve">the Respondent sought an order of ejectment against the Appellants </w:t>
      </w:r>
      <w:r w:rsidR="000A34B9" w:rsidRPr="00882EAA">
        <w:rPr>
          <w:rFonts w:ascii="Times New Roman" w:hAnsi="Times New Roman" w:cs="Times New Roman"/>
          <w:sz w:val="24"/>
          <w:szCs w:val="24"/>
          <w:lang w:val="en-US"/>
        </w:rPr>
        <w:t xml:space="preserve">from the Rent Board </w:t>
      </w:r>
      <w:r w:rsidRPr="00882EAA">
        <w:rPr>
          <w:rFonts w:ascii="Times New Roman" w:hAnsi="Times New Roman" w:cs="Times New Roman"/>
          <w:sz w:val="24"/>
          <w:szCs w:val="24"/>
          <w:lang w:val="en-US"/>
        </w:rPr>
        <w:t xml:space="preserve">on the ground that rent lawfully due from the Appellants </w:t>
      </w:r>
      <w:r w:rsidR="007E695E" w:rsidRPr="00882EAA">
        <w:rPr>
          <w:rFonts w:ascii="Times New Roman" w:hAnsi="Times New Roman" w:cs="Times New Roman"/>
          <w:sz w:val="24"/>
          <w:szCs w:val="24"/>
          <w:lang w:val="en-US"/>
        </w:rPr>
        <w:t xml:space="preserve">under a written agreement </w:t>
      </w:r>
      <w:r w:rsidRPr="00882EAA">
        <w:rPr>
          <w:rFonts w:ascii="Times New Roman" w:hAnsi="Times New Roman" w:cs="Times New Roman"/>
          <w:sz w:val="24"/>
          <w:szCs w:val="24"/>
          <w:lang w:val="en-US"/>
        </w:rPr>
        <w:t>ha</w:t>
      </w:r>
      <w:r w:rsidR="00882EAA" w:rsidRPr="00882EAA">
        <w:rPr>
          <w:rFonts w:ascii="Times New Roman" w:hAnsi="Times New Roman" w:cs="Times New Roman"/>
          <w:sz w:val="24"/>
          <w:szCs w:val="24"/>
          <w:lang w:val="en-US"/>
        </w:rPr>
        <w:t>d</w:t>
      </w:r>
      <w:r w:rsidRPr="00882EAA">
        <w:rPr>
          <w:rFonts w:ascii="Times New Roman" w:hAnsi="Times New Roman" w:cs="Times New Roman"/>
          <w:sz w:val="24"/>
          <w:szCs w:val="24"/>
          <w:lang w:val="en-US"/>
        </w:rPr>
        <w:t xml:space="preserve"> not been paid</w:t>
      </w:r>
      <w:r w:rsidR="00882EAA" w:rsidRPr="00882EAA">
        <w:rPr>
          <w:rFonts w:ascii="Times New Roman" w:hAnsi="Times New Roman" w:cs="Times New Roman"/>
          <w:sz w:val="24"/>
          <w:szCs w:val="24"/>
          <w:lang w:val="en-US"/>
        </w:rPr>
        <w:t xml:space="preserve">. </w:t>
      </w:r>
      <w:r w:rsidR="006125AF" w:rsidRPr="00882EAA">
        <w:rPr>
          <w:rFonts w:ascii="Times New Roman" w:hAnsi="Times New Roman" w:cs="Times New Roman"/>
          <w:sz w:val="24"/>
          <w:szCs w:val="24"/>
          <w:lang w:val="en-US"/>
        </w:rPr>
        <w:t xml:space="preserve"> </w:t>
      </w:r>
    </w:p>
    <w:p w14:paraId="3A1C8739" w14:textId="77777777" w:rsidR="00882EAA" w:rsidRPr="00882EAA" w:rsidRDefault="00882EAA" w:rsidP="00882EAA">
      <w:pPr>
        <w:pStyle w:val="ListParagraph"/>
        <w:spacing w:after="0" w:line="360" w:lineRule="auto"/>
        <w:ind w:left="709"/>
        <w:jc w:val="both"/>
        <w:rPr>
          <w:rFonts w:ascii="Times New Roman" w:hAnsi="Times New Roman" w:cs="Times New Roman"/>
          <w:i/>
          <w:iCs/>
          <w:sz w:val="24"/>
          <w:szCs w:val="24"/>
          <w:lang w:val="en-US"/>
        </w:rPr>
      </w:pPr>
    </w:p>
    <w:p w14:paraId="78FC0C4A" w14:textId="7726F68A" w:rsidR="008A7AF4" w:rsidRPr="00882EAA" w:rsidRDefault="008A7AF4" w:rsidP="000A34B9">
      <w:pPr>
        <w:pStyle w:val="ListParagraph"/>
        <w:numPr>
          <w:ilvl w:val="0"/>
          <w:numId w:val="12"/>
        </w:numPr>
        <w:spacing w:after="0" w:line="360" w:lineRule="auto"/>
        <w:ind w:left="709" w:hanging="709"/>
        <w:jc w:val="both"/>
        <w:rPr>
          <w:rFonts w:ascii="Times New Roman" w:hAnsi="Times New Roman" w:cs="Times New Roman"/>
          <w:i/>
          <w:iCs/>
          <w:sz w:val="24"/>
          <w:szCs w:val="24"/>
          <w:lang w:val="en-US"/>
        </w:rPr>
      </w:pPr>
      <w:r w:rsidRPr="00882EAA">
        <w:rPr>
          <w:rFonts w:ascii="Times New Roman" w:hAnsi="Times New Roman" w:cs="Times New Roman"/>
          <w:sz w:val="24"/>
          <w:szCs w:val="24"/>
          <w:lang w:val="en-US"/>
        </w:rPr>
        <w:t>The Application was resisted by the Appellants</w:t>
      </w:r>
      <w:r w:rsidR="00A7567E">
        <w:rPr>
          <w:rFonts w:ascii="Times New Roman" w:hAnsi="Times New Roman" w:cs="Times New Roman"/>
          <w:sz w:val="24"/>
          <w:szCs w:val="24"/>
          <w:lang w:val="en-US"/>
        </w:rPr>
        <w:t xml:space="preserve"> </w:t>
      </w:r>
      <w:r w:rsidRPr="00882EAA">
        <w:rPr>
          <w:rFonts w:ascii="Times New Roman" w:hAnsi="Times New Roman" w:cs="Times New Roman"/>
          <w:sz w:val="24"/>
          <w:szCs w:val="24"/>
          <w:lang w:val="en-US"/>
        </w:rPr>
        <w:t>on points of law</w:t>
      </w:r>
      <w:r w:rsidR="00A7567E">
        <w:rPr>
          <w:rFonts w:ascii="Times New Roman" w:hAnsi="Times New Roman" w:cs="Times New Roman"/>
          <w:sz w:val="24"/>
          <w:szCs w:val="24"/>
          <w:lang w:val="en-US"/>
        </w:rPr>
        <w:t xml:space="preserve">. Namely, </w:t>
      </w:r>
      <w:r w:rsidRPr="00882EAA">
        <w:rPr>
          <w:rFonts w:ascii="Times New Roman" w:hAnsi="Times New Roman" w:cs="Times New Roman"/>
          <w:sz w:val="24"/>
          <w:szCs w:val="24"/>
          <w:lang w:val="en-US"/>
        </w:rPr>
        <w:t xml:space="preserve">that the </w:t>
      </w:r>
      <w:r w:rsidR="00A7567E">
        <w:rPr>
          <w:rFonts w:ascii="Times New Roman" w:hAnsi="Times New Roman" w:cs="Times New Roman"/>
          <w:sz w:val="24"/>
          <w:szCs w:val="24"/>
          <w:lang w:val="en-US"/>
        </w:rPr>
        <w:t xml:space="preserve">Respondent </w:t>
      </w:r>
      <w:r w:rsidRPr="00882EAA">
        <w:rPr>
          <w:rFonts w:ascii="Times New Roman" w:hAnsi="Times New Roman" w:cs="Times New Roman"/>
          <w:sz w:val="24"/>
          <w:szCs w:val="24"/>
          <w:lang w:val="en-US"/>
        </w:rPr>
        <w:t xml:space="preserve">had no locus standi to bring the application and that the tenancy agreement relied upon by the </w:t>
      </w:r>
      <w:r w:rsidR="00A7567E">
        <w:rPr>
          <w:rFonts w:ascii="Times New Roman" w:hAnsi="Times New Roman" w:cs="Times New Roman"/>
          <w:sz w:val="24"/>
          <w:szCs w:val="24"/>
          <w:lang w:val="en-US"/>
        </w:rPr>
        <w:t>Respondent</w:t>
      </w:r>
      <w:r w:rsidRPr="00882EAA">
        <w:rPr>
          <w:rFonts w:ascii="Times New Roman" w:hAnsi="Times New Roman" w:cs="Times New Roman"/>
          <w:sz w:val="24"/>
          <w:szCs w:val="24"/>
          <w:lang w:val="en-US"/>
        </w:rPr>
        <w:t xml:space="preserve"> to base </w:t>
      </w:r>
      <w:r w:rsidR="00A7567E">
        <w:rPr>
          <w:rFonts w:ascii="Times New Roman" w:hAnsi="Times New Roman" w:cs="Times New Roman"/>
          <w:sz w:val="24"/>
          <w:szCs w:val="24"/>
          <w:lang w:val="en-US"/>
        </w:rPr>
        <w:t>her</w:t>
      </w:r>
      <w:r w:rsidRPr="00882EAA">
        <w:rPr>
          <w:rFonts w:ascii="Times New Roman" w:hAnsi="Times New Roman" w:cs="Times New Roman"/>
          <w:sz w:val="24"/>
          <w:szCs w:val="24"/>
          <w:lang w:val="en-US"/>
        </w:rPr>
        <w:t xml:space="preserve"> application for eviction </w:t>
      </w:r>
      <w:r w:rsidR="00B53070">
        <w:rPr>
          <w:rFonts w:ascii="Times New Roman" w:hAnsi="Times New Roman" w:cs="Times New Roman"/>
          <w:sz w:val="24"/>
          <w:szCs w:val="24"/>
          <w:lang w:val="en-US"/>
        </w:rPr>
        <w:t>is</w:t>
      </w:r>
      <w:r w:rsidRPr="00882EAA">
        <w:rPr>
          <w:rFonts w:ascii="Times New Roman" w:hAnsi="Times New Roman" w:cs="Times New Roman"/>
          <w:sz w:val="24"/>
          <w:szCs w:val="24"/>
          <w:lang w:val="en-US"/>
        </w:rPr>
        <w:t xml:space="preserve"> invalid in law. In the alternative, that the </w:t>
      </w:r>
      <w:r w:rsidR="00A7567E">
        <w:rPr>
          <w:rFonts w:ascii="Times New Roman" w:hAnsi="Times New Roman" w:cs="Times New Roman"/>
          <w:sz w:val="24"/>
          <w:szCs w:val="24"/>
          <w:lang w:val="en-US"/>
        </w:rPr>
        <w:t xml:space="preserve">Appellants </w:t>
      </w:r>
      <w:r w:rsidRPr="00882EAA">
        <w:rPr>
          <w:rFonts w:ascii="Times New Roman" w:hAnsi="Times New Roman" w:cs="Times New Roman"/>
          <w:sz w:val="24"/>
          <w:szCs w:val="24"/>
          <w:lang w:val="en-US"/>
        </w:rPr>
        <w:t xml:space="preserve">have acquired a droit de </w:t>
      </w:r>
      <w:proofErr w:type="spellStart"/>
      <w:r w:rsidRPr="00882EAA">
        <w:rPr>
          <w:rFonts w:ascii="Times New Roman" w:hAnsi="Times New Roman" w:cs="Times New Roman"/>
          <w:sz w:val="24"/>
          <w:szCs w:val="24"/>
          <w:lang w:val="en-US"/>
        </w:rPr>
        <w:t>superficie</w:t>
      </w:r>
      <w:proofErr w:type="spellEnd"/>
      <w:r w:rsidRPr="00882EAA">
        <w:rPr>
          <w:rFonts w:ascii="Times New Roman" w:hAnsi="Times New Roman" w:cs="Times New Roman"/>
          <w:sz w:val="24"/>
          <w:szCs w:val="24"/>
          <w:lang w:val="en-US"/>
        </w:rPr>
        <w:t xml:space="preserve"> on the property and cannot be evicted without compensation. </w:t>
      </w:r>
    </w:p>
    <w:p w14:paraId="02563B55" w14:textId="66F83A1D" w:rsidR="006125AF" w:rsidRPr="00882EAA" w:rsidRDefault="006125AF" w:rsidP="000A34B9">
      <w:pPr>
        <w:pStyle w:val="ListParagraph"/>
        <w:spacing w:line="360" w:lineRule="auto"/>
        <w:rPr>
          <w:rFonts w:ascii="Times New Roman" w:hAnsi="Times New Roman" w:cs="Times New Roman"/>
          <w:i/>
          <w:iCs/>
          <w:sz w:val="24"/>
          <w:szCs w:val="24"/>
          <w:lang w:val="en-US"/>
        </w:rPr>
      </w:pPr>
    </w:p>
    <w:p w14:paraId="6133266E" w14:textId="5A5FFB66" w:rsidR="006125AF" w:rsidRPr="00882EAA" w:rsidRDefault="006125AF" w:rsidP="000A34B9">
      <w:pPr>
        <w:pStyle w:val="ListParagraph"/>
        <w:numPr>
          <w:ilvl w:val="0"/>
          <w:numId w:val="12"/>
        </w:numPr>
        <w:spacing w:after="0" w:line="360" w:lineRule="auto"/>
        <w:ind w:left="709" w:hanging="709"/>
        <w:jc w:val="both"/>
        <w:rPr>
          <w:rFonts w:ascii="Times New Roman" w:hAnsi="Times New Roman" w:cs="Times New Roman"/>
          <w:i/>
          <w:iCs/>
          <w:sz w:val="24"/>
          <w:szCs w:val="24"/>
          <w:lang w:val="en-US"/>
        </w:rPr>
      </w:pPr>
      <w:r w:rsidRPr="00882EAA">
        <w:rPr>
          <w:rFonts w:ascii="Times New Roman" w:hAnsi="Times New Roman" w:cs="Times New Roman"/>
          <w:sz w:val="24"/>
          <w:szCs w:val="24"/>
          <w:lang w:val="en-US"/>
        </w:rPr>
        <w:t>On 10</w:t>
      </w:r>
      <w:r w:rsidR="005D38D9" w:rsidRPr="005D38D9">
        <w:rPr>
          <w:rFonts w:ascii="Times New Roman" w:hAnsi="Times New Roman" w:cs="Times New Roman"/>
          <w:sz w:val="24"/>
          <w:szCs w:val="24"/>
          <w:vertAlign w:val="superscript"/>
          <w:lang w:val="en-US"/>
        </w:rPr>
        <w:t>th</w:t>
      </w:r>
      <w:r w:rsidR="005D38D9">
        <w:rPr>
          <w:rFonts w:ascii="Times New Roman" w:hAnsi="Times New Roman" w:cs="Times New Roman"/>
          <w:sz w:val="24"/>
          <w:szCs w:val="24"/>
          <w:lang w:val="en-US"/>
        </w:rPr>
        <w:t xml:space="preserve"> </w:t>
      </w:r>
      <w:r w:rsidRPr="00882EAA">
        <w:rPr>
          <w:rFonts w:ascii="Times New Roman" w:hAnsi="Times New Roman" w:cs="Times New Roman"/>
          <w:sz w:val="24"/>
          <w:szCs w:val="24"/>
          <w:lang w:val="en-US"/>
        </w:rPr>
        <w:t>February 2023, the Rent Board</w:t>
      </w:r>
      <w:r w:rsidR="000A34B9" w:rsidRPr="00882EAA">
        <w:rPr>
          <w:rFonts w:ascii="Times New Roman" w:hAnsi="Times New Roman" w:cs="Times New Roman"/>
          <w:sz w:val="24"/>
          <w:szCs w:val="24"/>
          <w:lang w:val="en-US"/>
        </w:rPr>
        <w:t xml:space="preserve"> found that it was just and fair to allow the Appellants one last opportunity to settle the arrears of rent and continue with their occupation of the Premises. Should they fail to comply, they should be ejected from the premises. Further, that the Appellants were in arrears of rent in the sum of SR50</w:t>
      </w:r>
      <w:proofErr w:type="gramStart"/>
      <w:r w:rsidR="000A34B9" w:rsidRPr="00882EAA">
        <w:rPr>
          <w:rFonts w:ascii="Times New Roman" w:hAnsi="Times New Roman" w:cs="Times New Roman"/>
          <w:sz w:val="24"/>
          <w:szCs w:val="24"/>
          <w:lang w:val="en-US"/>
        </w:rPr>
        <w:t>,000</w:t>
      </w:r>
      <w:proofErr w:type="gramEnd"/>
      <w:r w:rsidR="000A34B9" w:rsidRPr="00882EAA">
        <w:rPr>
          <w:rFonts w:ascii="Times New Roman" w:hAnsi="Times New Roman" w:cs="Times New Roman"/>
          <w:sz w:val="24"/>
          <w:szCs w:val="24"/>
          <w:lang w:val="en-US"/>
        </w:rPr>
        <w:t>/- as at the date of hearing on 7</w:t>
      </w:r>
      <w:r w:rsidR="005D38D9" w:rsidRPr="005D38D9">
        <w:rPr>
          <w:rFonts w:ascii="Times New Roman" w:hAnsi="Times New Roman" w:cs="Times New Roman"/>
          <w:sz w:val="24"/>
          <w:szCs w:val="24"/>
          <w:vertAlign w:val="superscript"/>
          <w:lang w:val="en-US"/>
        </w:rPr>
        <w:t>th</w:t>
      </w:r>
      <w:r w:rsidR="005D38D9">
        <w:rPr>
          <w:rFonts w:ascii="Times New Roman" w:hAnsi="Times New Roman" w:cs="Times New Roman"/>
          <w:sz w:val="24"/>
          <w:szCs w:val="24"/>
          <w:lang w:val="en-US"/>
        </w:rPr>
        <w:t xml:space="preserve"> </w:t>
      </w:r>
      <w:r w:rsidR="000A34B9" w:rsidRPr="00882EAA">
        <w:rPr>
          <w:rFonts w:ascii="Times New Roman" w:hAnsi="Times New Roman" w:cs="Times New Roman"/>
          <w:sz w:val="24"/>
          <w:szCs w:val="24"/>
          <w:lang w:val="en-US"/>
        </w:rPr>
        <w:t>October 2022.</w:t>
      </w:r>
    </w:p>
    <w:p w14:paraId="3C644C9D" w14:textId="77777777" w:rsidR="000A34B9" w:rsidRPr="00882EAA" w:rsidRDefault="000A34B9" w:rsidP="000A34B9">
      <w:pPr>
        <w:pStyle w:val="ListParagraph"/>
        <w:spacing w:line="360" w:lineRule="auto"/>
        <w:rPr>
          <w:rFonts w:ascii="Times New Roman" w:hAnsi="Times New Roman" w:cs="Times New Roman"/>
          <w:i/>
          <w:iCs/>
          <w:sz w:val="24"/>
          <w:szCs w:val="24"/>
          <w:lang w:val="en-US"/>
        </w:rPr>
      </w:pPr>
    </w:p>
    <w:p w14:paraId="43CB258B" w14:textId="1F4FA05A" w:rsidR="000A34B9" w:rsidRPr="00882EAA" w:rsidRDefault="000A34B9" w:rsidP="00882EAA">
      <w:pPr>
        <w:pStyle w:val="ListParagraph"/>
        <w:numPr>
          <w:ilvl w:val="0"/>
          <w:numId w:val="12"/>
        </w:numPr>
        <w:spacing w:after="0" w:line="360" w:lineRule="auto"/>
        <w:ind w:left="709" w:hanging="709"/>
        <w:jc w:val="both"/>
        <w:rPr>
          <w:rFonts w:ascii="Times New Roman" w:hAnsi="Times New Roman" w:cs="Times New Roman"/>
          <w:i/>
          <w:iCs/>
          <w:sz w:val="24"/>
          <w:szCs w:val="24"/>
          <w:lang w:val="en-US"/>
        </w:rPr>
      </w:pPr>
      <w:r w:rsidRPr="00882EAA">
        <w:rPr>
          <w:rFonts w:ascii="Times New Roman" w:hAnsi="Times New Roman" w:cs="Times New Roman"/>
          <w:sz w:val="24"/>
          <w:szCs w:val="24"/>
          <w:lang w:val="en-US"/>
        </w:rPr>
        <w:t>The Rent Board made the following orders:</w:t>
      </w:r>
    </w:p>
    <w:p w14:paraId="189194AC" w14:textId="77777777" w:rsidR="00882EAA" w:rsidRDefault="00882EAA" w:rsidP="000A34B9">
      <w:pPr>
        <w:pStyle w:val="ListParagraph"/>
        <w:spacing w:after="0" w:line="360" w:lineRule="auto"/>
        <w:jc w:val="both"/>
        <w:rPr>
          <w:rFonts w:ascii="Times New Roman" w:hAnsi="Times New Roman" w:cs="Times New Roman"/>
          <w:b/>
          <w:bCs/>
          <w:i/>
          <w:iCs/>
          <w:sz w:val="24"/>
          <w:szCs w:val="24"/>
        </w:rPr>
      </w:pPr>
    </w:p>
    <w:p w14:paraId="6039C673" w14:textId="77777777" w:rsidR="00882EAA" w:rsidRDefault="00882EAA" w:rsidP="000A34B9">
      <w:pPr>
        <w:pStyle w:val="ListParagraph"/>
        <w:spacing w:after="0" w:line="360" w:lineRule="auto"/>
        <w:jc w:val="both"/>
        <w:rPr>
          <w:rFonts w:ascii="Times New Roman" w:hAnsi="Times New Roman" w:cs="Times New Roman"/>
          <w:b/>
          <w:bCs/>
          <w:i/>
          <w:iCs/>
          <w:sz w:val="24"/>
          <w:szCs w:val="24"/>
        </w:rPr>
      </w:pPr>
    </w:p>
    <w:p w14:paraId="3A9A24ED" w14:textId="24014827" w:rsidR="000A34B9" w:rsidRPr="00882EAA" w:rsidRDefault="000A34B9" w:rsidP="000A34B9">
      <w:pPr>
        <w:pStyle w:val="ListParagraph"/>
        <w:spacing w:after="0" w:line="360" w:lineRule="auto"/>
        <w:jc w:val="both"/>
        <w:rPr>
          <w:rFonts w:ascii="Times New Roman" w:hAnsi="Times New Roman" w:cs="Times New Roman"/>
          <w:b/>
          <w:bCs/>
          <w:i/>
          <w:iCs/>
          <w:sz w:val="24"/>
          <w:szCs w:val="24"/>
        </w:rPr>
      </w:pPr>
      <w:r w:rsidRPr="00882EAA">
        <w:rPr>
          <w:rFonts w:ascii="Times New Roman" w:hAnsi="Times New Roman" w:cs="Times New Roman"/>
          <w:b/>
          <w:bCs/>
          <w:i/>
          <w:iCs/>
          <w:sz w:val="24"/>
          <w:szCs w:val="24"/>
        </w:rPr>
        <w:lastRenderedPageBreak/>
        <w:t>“</w:t>
      </w:r>
    </w:p>
    <w:p w14:paraId="468779CE" w14:textId="77777777" w:rsidR="000A34B9" w:rsidRPr="00882EAA" w:rsidRDefault="000A34B9" w:rsidP="000A34B9">
      <w:pPr>
        <w:pStyle w:val="ListParagraph"/>
        <w:numPr>
          <w:ilvl w:val="0"/>
          <w:numId w:val="13"/>
        </w:numPr>
        <w:spacing w:after="0" w:line="360" w:lineRule="auto"/>
        <w:jc w:val="both"/>
        <w:rPr>
          <w:rFonts w:ascii="Times New Roman" w:hAnsi="Times New Roman" w:cs="Times New Roman"/>
          <w:b/>
          <w:bCs/>
          <w:i/>
          <w:iCs/>
          <w:sz w:val="24"/>
          <w:szCs w:val="24"/>
          <w:lang w:val="en-US"/>
        </w:rPr>
      </w:pPr>
      <w:r w:rsidRPr="00882EAA">
        <w:rPr>
          <w:rFonts w:ascii="Times New Roman" w:hAnsi="Times New Roman" w:cs="Times New Roman"/>
          <w:i/>
          <w:iCs/>
          <w:sz w:val="24"/>
          <w:szCs w:val="24"/>
          <w:lang w:val="en-US"/>
        </w:rPr>
        <w:t>The Respondents (now Appellants) are to continue their occupation of the leased premises on the condition that they effect payment of rent on the first day of every month without default;</w:t>
      </w:r>
    </w:p>
    <w:p w14:paraId="5658A847" w14:textId="77777777" w:rsidR="000A34B9" w:rsidRPr="00882EAA" w:rsidRDefault="000A34B9" w:rsidP="000A34B9">
      <w:pPr>
        <w:pStyle w:val="ListParagraph"/>
        <w:numPr>
          <w:ilvl w:val="0"/>
          <w:numId w:val="13"/>
        </w:numPr>
        <w:spacing w:after="0" w:line="360" w:lineRule="auto"/>
        <w:jc w:val="both"/>
        <w:rPr>
          <w:rFonts w:ascii="Times New Roman" w:hAnsi="Times New Roman" w:cs="Times New Roman"/>
          <w:i/>
          <w:iCs/>
          <w:sz w:val="24"/>
          <w:szCs w:val="24"/>
          <w:lang w:val="en-US"/>
        </w:rPr>
      </w:pPr>
      <w:r w:rsidRPr="00882EAA">
        <w:rPr>
          <w:rFonts w:ascii="Times New Roman" w:hAnsi="Times New Roman" w:cs="Times New Roman"/>
          <w:i/>
          <w:iCs/>
          <w:sz w:val="24"/>
          <w:szCs w:val="24"/>
          <w:lang w:val="en-US"/>
        </w:rPr>
        <w:t>The Respondents (now Appellants) are further directed to settle arrears of rent in the sum of SR50,000/- and continuing to be owed no later than on 1</w:t>
      </w:r>
      <w:r w:rsidRPr="00882EAA">
        <w:rPr>
          <w:rFonts w:ascii="Times New Roman" w:hAnsi="Times New Roman" w:cs="Times New Roman"/>
          <w:i/>
          <w:iCs/>
          <w:sz w:val="24"/>
          <w:szCs w:val="24"/>
          <w:vertAlign w:val="superscript"/>
          <w:lang w:val="en-US"/>
        </w:rPr>
        <w:t>st</w:t>
      </w:r>
      <w:r w:rsidRPr="00882EAA">
        <w:rPr>
          <w:rFonts w:ascii="Times New Roman" w:hAnsi="Times New Roman" w:cs="Times New Roman"/>
          <w:i/>
          <w:iCs/>
          <w:sz w:val="24"/>
          <w:szCs w:val="24"/>
          <w:lang w:val="en-US"/>
        </w:rPr>
        <w:t xml:space="preserve"> May 2023;</w:t>
      </w:r>
    </w:p>
    <w:p w14:paraId="223CA0D5" w14:textId="77777777" w:rsidR="000A34B9" w:rsidRPr="00882EAA" w:rsidRDefault="000A34B9" w:rsidP="000A34B9">
      <w:pPr>
        <w:pStyle w:val="ListParagraph"/>
        <w:numPr>
          <w:ilvl w:val="0"/>
          <w:numId w:val="13"/>
        </w:numPr>
        <w:spacing w:after="0" w:line="360" w:lineRule="auto"/>
        <w:jc w:val="both"/>
        <w:rPr>
          <w:rFonts w:ascii="Times New Roman" w:hAnsi="Times New Roman" w:cs="Times New Roman"/>
          <w:b/>
          <w:bCs/>
          <w:i/>
          <w:iCs/>
          <w:sz w:val="24"/>
          <w:szCs w:val="24"/>
          <w:lang w:val="en-US"/>
        </w:rPr>
      </w:pPr>
      <w:r w:rsidRPr="00882EAA">
        <w:rPr>
          <w:rFonts w:ascii="Times New Roman" w:hAnsi="Times New Roman" w:cs="Times New Roman"/>
          <w:i/>
          <w:iCs/>
          <w:sz w:val="24"/>
          <w:szCs w:val="24"/>
          <w:lang w:val="en-US"/>
        </w:rPr>
        <w:t>If the Respondents (now Appellants) default in their monthly payment of rent or fail to settle all the arrears of rent as continuing to be owed by the stipulated date, they shall vacate the leased premises on the deadline of 1</w:t>
      </w:r>
      <w:r w:rsidRPr="00882EAA">
        <w:rPr>
          <w:rFonts w:ascii="Times New Roman" w:hAnsi="Times New Roman" w:cs="Times New Roman"/>
          <w:i/>
          <w:iCs/>
          <w:sz w:val="24"/>
          <w:szCs w:val="24"/>
          <w:vertAlign w:val="superscript"/>
          <w:lang w:val="en-US"/>
        </w:rPr>
        <w:t>st</w:t>
      </w:r>
      <w:r w:rsidRPr="00882EAA">
        <w:rPr>
          <w:rFonts w:ascii="Times New Roman" w:hAnsi="Times New Roman" w:cs="Times New Roman"/>
          <w:i/>
          <w:iCs/>
          <w:sz w:val="24"/>
          <w:szCs w:val="24"/>
          <w:lang w:val="en-US"/>
        </w:rPr>
        <w:t xml:space="preserve"> May 2023</w:t>
      </w:r>
      <w:r w:rsidRPr="00882EAA">
        <w:rPr>
          <w:rFonts w:ascii="Times New Roman" w:hAnsi="Times New Roman" w:cs="Times New Roman"/>
          <w:b/>
          <w:bCs/>
          <w:i/>
          <w:iCs/>
          <w:sz w:val="24"/>
          <w:szCs w:val="24"/>
          <w:lang w:val="en-US"/>
        </w:rPr>
        <w:t>.”</w:t>
      </w:r>
    </w:p>
    <w:p w14:paraId="0AF2DA95" w14:textId="77777777" w:rsidR="000A34B9" w:rsidRPr="00882EAA" w:rsidRDefault="000A34B9" w:rsidP="000A34B9">
      <w:pPr>
        <w:spacing w:line="360" w:lineRule="auto"/>
        <w:jc w:val="both"/>
        <w:rPr>
          <w:b/>
          <w:bCs/>
          <w:i/>
          <w:iCs/>
        </w:rPr>
      </w:pPr>
    </w:p>
    <w:p w14:paraId="7EBD6B52" w14:textId="112C0646" w:rsidR="000A34B9" w:rsidRPr="00882EAA" w:rsidRDefault="00C8509C" w:rsidP="00C8509C">
      <w:pPr>
        <w:spacing w:line="360" w:lineRule="auto"/>
        <w:jc w:val="both"/>
        <w:rPr>
          <w:b/>
          <w:bCs/>
        </w:rPr>
      </w:pPr>
      <w:r w:rsidRPr="00882EAA">
        <w:rPr>
          <w:b/>
          <w:bCs/>
        </w:rPr>
        <w:t>The Appeal</w:t>
      </w:r>
    </w:p>
    <w:p w14:paraId="12F57CA7" w14:textId="77777777" w:rsidR="002D2AA5" w:rsidRPr="00882EAA" w:rsidRDefault="002D2AA5" w:rsidP="002D2AA5">
      <w:pPr>
        <w:pStyle w:val="ListParagraph"/>
        <w:tabs>
          <w:tab w:val="left" w:pos="630"/>
        </w:tabs>
        <w:spacing w:after="0" w:line="360" w:lineRule="auto"/>
        <w:jc w:val="both"/>
        <w:rPr>
          <w:rFonts w:ascii="Times New Roman" w:hAnsi="Times New Roman" w:cs="Times New Roman"/>
          <w:i/>
          <w:iCs/>
          <w:sz w:val="24"/>
          <w:szCs w:val="24"/>
          <w:lang w:val="en-US"/>
        </w:rPr>
      </w:pPr>
    </w:p>
    <w:p w14:paraId="6A2D2750" w14:textId="383B4E92" w:rsidR="00C8509C" w:rsidRPr="00882EAA" w:rsidRDefault="003619C4" w:rsidP="00C8509C">
      <w:pPr>
        <w:pStyle w:val="ListParagraph"/>
        <w:numPr>
          <w:ilvl w:val="0"/>
          <w:numId w:val="12"/>
        </w:numPr>
        <w:tabs>
          <w:tab w:val="left" w:pos="993"/>
        </w:tabs>
        <w:spacing w:after="0" w:line="360" w:lineRule="auto"/>
        <w:ind w:left="709" w:hanging="709"/>
        <w:jc w:val="both"/>
        <w:rPr>
          <w:rFonts w:ascii="Times New Roman" w:hAnsi="Times New Roman" w:cs="Times New Roman"/>
          <w:i/>
          <w:iCs/>
          <w:sz w:val="24"/>
          <w:szCs w:val="24"/>
        </w:rPr>
      </w:pPr>
      <w:r w:rsidRPr="00882EAA">
        <w:rPr>
          <w:rFonts w:ascii="Times New Roman" w:hAnsi="Times New Roman" w:cs="Times New Roman"/>
          <w:sz w:val="24"/>
          <w:szCs w:val="24"/>
        </w:rPr>
        <w:t>Aggrieved by</w:t>
      </w:r>
      <w:r w:rsidR="00C8509C" w:rsidRPr="00882EAA">
        <w:rPr>
          <w:rFonts w:ascii="Times New Roman" w:hAnsi="Times New Roman" w:cs="Times New Roman"/>
          <w:sz w:val="24"/>
          <w:szCs w:val="24"/>
        </w:rPr>
        <w:t xml:space="preserve"> the decision</w:t>
      </w:r>
      <w:r w:rsidR="009E3127">
        <w:rPr>
          <w:rFonts w:ascii="Times New Roman" w:hAnsi="Times New Roman" w:cs="Times New Roman"/>
          <w:sz w:val="24"/>
          <w:szCs w:val="24"/>
        </w:rPr>
        <w:t xml:space="preserve"> and </w:t>
      </w:r>
      <w:r w:rsidRPr="00882EAA">
        <w:rPr>
          <w:rFonts w:ascii="Times New Roman" w:hAnsi="Times New Roman" w:cs="Times New Roman"/>
          <w:sz w:val="24"/>
          <w:szCs w:val="24"/>
        </w:rPr>
        <w:t>order</w:t>
      </w:r>
      <w:r w:rsidR="009E3127">
        <w:rPr>
          <w:rFonts w:ascii="Times New Roman" w:hAnsi="Times New Roman" w:cs="Times New Roman"/>
          <w:sz w:val="24"/>
          <w:szCs w:val="24"/>
        </w:rPr>
        <w:t>s</w:t>
      </w:r>
      <w:r w:rsidR="00C8509C" w:rsidRPr="00882EAA">
        <w:rPr>
          <w:rFonts w:ascii="Times New Roman" w:hAnsi="Times New Roman" w:cs="Times New Roman"/>
          <w:sz w:val="24"/>
          <w:szCs w:val="24"/>
        </w:rPr>
        <w:t xml:space="preserve"> of the Rent Board, the Appellants </w:t>
      </w:r>
      <w:r w:rsidRPr="00882EAA">
        <w:rPr>
          <w:rFonts w:ascii="Times New Roman" w:hAnsi="Times New Roman" w:cs="Times New Roman"/>
          <w:sz w:val="24"/>
          <w:szCs w:val="24"/>
        </w:rPr>
        <w:t>appealed to this Court by filing</w:t>
      </w:r>
      <w:r w:rsidR="00C8509C" w:rsidRPr="00882EAA">
        <w:rPr>
          <w:rFonts w:ascii="Times New Roman" w:hAnsi="Times New Roman" w:cs="Times New Roman"/>
          <w:sz w:val="24"/>
          <w:szCs w:val="24"/>
        </w:rPr>
        <w:t xml:space="preserve"> </w:t>
      </w:r>
      <w:r w:rsidRPr="00882EAA">
        <w:rPr>
          <w:rFonts w:ascii="Times New Roman" w:hAnsi="Times New Roman" w:cs="Times New Roman"/>
          <w:sz w:val="24"/>
          <w:szCs w:val="24"/>
        </w:rPr>
        <w:t xml:space="preserve">Notice and </w:t>
      </w:r>
      <w:r w:rsidR="00C8509C" w:rsidRPr="00882EAA">
        <w:rPr>
          <w:rFonts w:ascii="Times New Roman" w:hAnsi="Times New Roman" w:cs="Times New Roman"/>
          <w:sz w:val="24"/>
          <w:szCs w:val="24"/>
        </w:rPr>
        <w:t>Memorandum of Appeal</w:t>
      </w:r>
      <w:r w:rsidR="007E695E" w:rsidRPr="00882EAA">
        <w:rPr>
          <w:rFonts w:ascii="Times New Roman" w:hAnsi="Times New Roman" w:cs="Times New Roman"/>
          <w:sz w:val="24"/>
          <w:szCs w:val="24"/>
        </w:rPr>
        <w:t xml:space="preserve"> </w:t>
      </w:r>
      <w:r w:rsidRPr="00882EAA">
        <w:rPr>
          <w:rFonts w:ascii="Times New Roman" w:hAnsi="Times New Roman" w:cs="Times New Roman"/>
          <w:sz w:val="24"/>
          <w:szCs w:val="24"/>
        </w:rPr>
        <w:t xml:space="preserve">in the Registry of the Supreme Court </w:t>
      </w:r>
      <w:r w:rsidR="00C8509C" w:rsidRPr="00882EAA">
        <w:rPr>
          <w:rFonts w:ascii="Times New Roman" w:hAnsi="Times New Roman" w:cs="Times New Roman"/>
          <w:sz w:val="24"/>
          <w:szCs w:val="24"/>
        </w:rPr>
        <w:t>on 14</w:t>
      </w:r>
      <w:r w:rsidR="005D38D9" w:rsidRPr="005D38D9">
        <w:rPr>
          <w:rFonts w:ascii="Times New Roman" w:hAnsi="Times New Roman" w:cs="Times New Roman"/>
          <w:sz w:val="24"/>
          <w:szCs w:val="24"/>
          <w:vertAlign w:val="superscript"/>
        </w:rPr>
        <w:t>th</w:t>
      </w:r>
      <w:r w:rsidR="005D38D9">
        <w:rPr>
          <w:rFonts w:ascii="Times New Roman" w:hAnsi="Times New Roman" w:cs="Times New Roman"/>
          <w:sz w:val="24"/>
          <w:szCs w:val="24"/>
        </w:rPr>
        <w:t xml:space="preserve"> </w:t>
      </w:r>
      <w:r w:rsidR="00C8509C" w:rsidRPr="00882EAA">
        <w:rPr>
          <w:rFonts w:ascii="Times New Roman" w:hAnsi="Times New Roman" w:cs="Times New Roman"/>
          <w:sz w:val="24"/>
          <w:szCs w:val="24"/>
        </w:rPr>
        <w:t>February 2023</w:t>
      </w:r>
      <w:r w:rsidRPr="00882EAA">
        <w:rPr>
          <w:rFonts w:ascii="Times New Roman" w:hAnsi="Times New Roman" w:cs="Times New Roman"/>
          <w:sz w:val="24"/>
          <w:szCs w:val="24"/>
        </w:rPr>
        <w:t>. The appeal rest</w:t>
      </w:r>
      <w:r w:rsidR="009877D9" w:rsidRPr="00882EAA">
        <w:rPr>
          <w:rFonts w:ascii="Times New Roman" w:hAnsi="Times New Roman" w:cs="Times New Roman"/>
          <w:sz w:val="24"/>
          <w:szCs w:val="24"/>
        </w:rPr>
        <w:t>s</w:t>
      </w:r>
      <w:r w:rsidRPr="00882EAA">
        <w:rPr>
          <w:rFonts w:ascii="Times New Roman" w:hAnsi="Times New Roman" w:cs="Times New Roman"/>
          <w:sz w:val="24"/>
          <w:szCs w:val="24"/>
        </w:rPr>
        <w:t xml:space="preserve"> on </w:t>
      </w:r>
      <w:r w:rsidR="00C8509C" w:rsidRPr="00882EAA">
        <w:rPr>
          <w:rFonts w:ascii="Times New Roman" w:hAnsi="Times New Roman" w:cs="Times New Roman"/>
          <w:sz w:val="24"/>
          <w:szCs w:val="24"/>
        </w:rPr>
        <w:t>the following grounds –</w:t>
      </w:r>
    </w:p>
    <w:p w14:paraId="5EE47020" w14:textId="77777777" w:rsidR="00C8509C" w:rsidRPr="00882EAA" w:rsidRDefault="00C8509C" w:rsidP="00C8509C">
      <w:pPr>
        <w:tabs>
          <w:tab w:val="left" w:pos="630"/>
        </w:tabs>
        <w:spacing w:line="360" w:lineRule="auto"/>
        <w:jc w:val="both"/>
        <w:rPr>
          <w:i/>
          <w:iCs/>
        </w:rPr>
      </w:pPr>
    </w:p>
    <w:p w14:paraId="0DA103B4" w14:textId="7517C177" w:rsidR="00A055B9" w:rsidRDefault="00C8509C" w:rsidP="00A055B9">
      <w:pPr>
        <w:pStyle w:val="ListParagraph"/>
        <w:numPr>
          <w:ilvl w:val="0"/>
          <w:numId w:val="14"/>
        </w:numPr>
        <w:tabs>
          <w:tab w:val="left" w:pos="993"/>
        </w:tabs>
        <w:spacing w:after="0" w:line="360" w:lineRule="auto"/>
        <w:ind w:left="990" w:hanging="270"/>
        <w:jc w:val="both"/>
        <w:rPr>
          <w:rFonts w:ascii="Times New Roman" w:hAnsi="Times New Roman" w:cs="Times New Roman"/>
          <w:iCs/>
          <w:sz w:val="24"/>
          <w:szCs w:val="24"/>
          <w:lang w:val="en-US"/>
        </w:rPr>
      </w:pPr>
      <w:r w:rsidRPr="00882EAA">
        <w:rPr>
          <w:rFonts w:ascii="Times New Roman" w:hAnsi="Times New Roman" w:cs="Times New Roman"/>
          <w:iCs/>
          <w:sz w:val="24"/>
          <w:szCs w:val="24"/>
          <w:lang w:val="en-US"/>
        </w:rPr>
        <w:t xml:space="preserve">the chairman of the Rent Board erred in law when he failed to uphold the plea in </w:t>
      </w:r>
      <w:proofErr w:type="spellStart"/>
      <w:r w:rsidRPr="00882EAA">
        <w:rPr>
          <w:rFonts w:ascii="Times New Roman" w:hAnsi="Times New Roman" w:cs="Times New Roman"/>
          <w:iCs/>
          <w:sz w:val="24"/>
          <w:szCs w:val="24"/>
          <w:lang w:val="en-US"/>
        </w:rPr>
        <w:t>limine</w:t>
      </w:r>
      <w:proofErr w:type="spellEnd"/>
      <w:r w:rsidRPr="00882EAA">
        <w:rPr>
          <w:rFonts w:ascii="Times New Roman" w:hAnsi="Times New Roman" w:cs="Times New Roman"/>
          <w:iCs/>
          <w:sz w:val="24"/>
          <w:szCs w:val="24"/>
          <w:lang w:val="en-US"/>
        </w:rPr>
        <w:t xml:space="preserve"> </w:t>
      </w:r>
      <w:proofErr w:type="spellStart"/>
      <w:r w:rsidRPr="00882EAA">
        <w:rPr>
          <w:rFonts w:ascii="Times New Roman" w:hAnsi="Times New Roman" w:cs="Times New Roman"/>
          <w:iCs/>
          <w:sz w:val="24"/>
          <w:szCs w:val="24"/>
          <w:lang w:val="en-US"/>
        </w:rPr>
        <w:t>litis</w:t>
      </w:r>
      <w:proofErr w:type="spellEnd"/>
      <w:r w:rsidRPr="00882EAA">
        <w:rPr>
          <w:rFonts w:ascii="Times New Roman" w:hAnsi="Times New Roman" w:cs="Times New Roman"/>
          <w:iCs/>
          <w:sz w:val="24"/>
          <w:szCs w:val="24"/>
          <w:lang w:val="en-US"/>
        </w:rPr>
        <w:t xml:space="preserve"> of the </w:t>
      </w:r>
      <w:r w:rsidR="001A16BA">
        <w:rPr>
          <w:rFonts w:ascii="Times New Roman" w:hAnsi="Times New Roman" w:cs="Times New Roman"/>
          <w:iCs/>
          <w:sz w:val="24"/>
          <w:szCs w:val="24"/>
          <w:lang w:val="en-US"/>
        </w:rPr>
        <w:t>A</w:t>
      </w:r>
      <w:r w:rsidRPr="00882EAA">
        <w:rPr>
          <w:rFonts w:ascii="Times New Roman" w:hAnsi="Times New Roman" w:cs="Times New Roman"/>
          <w:iCs/>
          <w:sz w:val="24"/>
          <w:szCs w:val="24"/>
          <w:lang w:val="en-US"/>
        </w:rPr>
        <w:t>ppellant</w:t>
      </w:r>
      <w:r w:rsidR="001A16BA">
        <w:rPr>
          <w:rFonts w:ascii="Times New Roman" w:hAnsi="Times New Roman" w:cs="Times New Roman"/>
          <w:iCs/>
          <w:sz w:val="24"/>
          <w:szCs w:val="24"/>
          <w:lang w:val="en-US"/>
        </w:rPr>
        <w:t>s</w:t>
      </w:r>
      <w:r w:rsidRPr="00882EAA">
        <w:rPr>
          <w:rFonts w:ascii="Times New Roman" w:hAnsi="Times New Roman" w:cs="Times New Roman"/>
          <w:iCs/>
          <w:sz w:val="24"/>
          <w:szCs w:val="24"/>
          <w:lang w:val="en-US"/>
        </w:rPr>
        <w:t xml:space="preserve"> that the lease agreement upon which the respondent relied to bring her action for eviction against the </w:t>
      </w:r>
      <w:r w:rsidR="001A16BA">
        <w:rPr>
          <w:rFonts w:ascii="Times New Roman" w:hAnsi="Times New Roman" w:cs="Times New Roman"/>
          <w:iCs/>
          <w:sz w:val="24"/>
          <w:szCs w:val="24"/>
          <w:lang w:val="en-US"/>
        </w:rPr>
        <w:t>A</w:t>
      </w:r>
      <w:r w:rsidRPr="00882EAA">
        <w:rPr>
          <w:rFonts w:ascii="Times New Roman" w:hAnsi="Times New Roman" w:cs="Times New Roman"/>
          <w:iCs/>
          <w:sz w:val="24"/>
          <w:szCs w:val="24"/>
          <w:lang w:val="en-US"/>
        </w:rPr>
        <w:t>ppellant</w:t>
      </w:r>
      <w:r w:rsidR="001A16BA">
        <w:rPr>
          <w:rFonts w:ascii="Times New Roman" w:hAnsi="Times New Roman" w:cs="Times New Roman"/>
          <w:iCs/>
          <w:sz w:val="24"/>
          <w:szCs w:val="24"/>
          <w:lang w:val="en-US"/>
        </w:rPr>
        <w:t xml:space="preserve">s </w:t>
      </w:r>
      <w:r w:rsidRPr="00882EAA">
        <w:rPr>
          <w:rFonts w:ascii="Times New Roman" w:hAnsi="Times New Roman" w:cs="Times New Roman"/>
          <w:iCs/>
          <w:sz w:val="24"/>
          <w:szCs w:val="24"/>
          <w:lang w:val="en-US"/>
        </w:rPr>
        <w:t>was invalid in law;</w:t>
      </w:r>
    </w:p>
    <w:p w14:paraId="2B65F176" w14:textId="77777777" w:rsidR="00A055B9" w:rsidRPr="00A055B9" w:rsidRDefault="00A055B9" w:rsidP="00A055B9">
      <w:pPr>
        <w:pStyle w:val="ListParagraph"/>
        <w:tabs>
          <w:tab w:val="left" w:pos="993"/>
        </w:tabs>
        <w:spacing w:after="0" w:line="360" w:lineRule="auto"/>
        <w:ind w:left="990"/>
        <w:jc w:val="both"/>
        <w:rPr>
          <w:rFonts w:ascii="Times New Roman" w:hAnsi="Times New Roman" w:cs="Times New Roman"/>
          <w:iCs/>
          <w:sz w:val="24"/>
          <w:szCs w:val="24"/>
          <w:lang w:val="en-US"/>
        </w:rPr>
      </w:pPr>
    </w:p>
    <w:p w14:paraId="5B2B6E96" w14:textId="41E8736D" w:rsidR="00C8509C" w:rsidRPr="00A055B9" w:rsidRDefault="00C8509C" w:rsidP="005D38D9">
      <w:pPr>
        <w:pStyle w:val="ListParagraph"/>
        <w:numPr>
          <w:ilvl w:val="0"/>
          <w:numId w:val="14"/>
        </w:numPr>
        <w:tabs>
          <w:tab w:val="left" w:pos="1080"/>
        </w:tabs>
        <w:spacing w:after="0" w:line="360" w:lineRule="auto"/>
        <w:ind w:left="990" w:hanging="270"/>
        <w:jc w:val="both"/>
        <w:rPr>
          <w:rFonts w:ascii="Times New Roman" w:hAnsi="Times New Roman" w:cs="Times New Roman"/>
          <w:iCs/>
          <w:sz w:val="24"/>
          <w:szCs w:val="24"/>
          <w:lang w:val="en-US"/>
        </w:rPr>
      </w:pPr>
      <w:r w:rsidRPr="00A055B9">
        <w:rPr>
          <w:rFonts w:ascii="Times New Roman" w:hAnsi="Times New Roman" w:cs="Times New Roman"/>
          <w:iCs/>
          <w:sz w:val="24"/>
          <w:szCs w:val="24"/>
          <w:lang w:val="en-US"/>
        </w:rPr>
        <w:t xml:space="preserve">the chairman of the Rent Board erred in law when he failed to dismiss the application for eviction of the </w:t>
      </w:r>
      <w:r w:rsidR="001A16BA" w:rsidRPr="00A055B9">
        <w:rPr>
          <w:rFonts w:ascii="Times New Roman" w:hAnsi="Times New Roman" w:cs="Times New Roman"/>
          <w:iCs/>
          <w:sz w:val="24"/>
          <w:szCs w:val="24"/>
          <w:lang w:val="en-US"/>
        </w:rPr>
        <w:t>A</w:t>
      </w:r>
      <w:r w:rsidRPr="00A055B9">
        <w:rPr>
          <w:rFonts w:ascii="Times New Roman" w:hAnsi="Times New Roman" w:cs="Times New Roman"/>
          <w:iCs/>
          <w:sz w:val="24"/>
          <w:szCs w:val="24"/>
          <w:lang w:val="en-US"/>
        </w:rPr>
        <w:t>ppellants based on the invalidity of the lease agreement as the Respondent did not bring the action in her capacity as executrix of the estate of her late husband;</w:t>
      </w:r>
    </w:p>
    <w:p w14:paraId="2C3E598B" w14:textId="77777777" w:rsidR="00C8509C" w:rsidRPr="00882EAA" w:rsidRDefault="00C8509C" w:rsidP="00C8509C">
      <w:pPr>
        <w:pStyle w:val="ListParagraph"/>
        <w:rPr>
          <w:rFonts w:ascii="Times New Roman" w:hAnsi="Times New Roman" w:cs="Times New Roman"/>
          <w:iCs/>
          <w:sz w:val="24"/>
          <w:szCs w:val="24"/>
          <w:lang w:val="en-US"/>
        </w:rPr>
      </w:pPr>
    </w:p>
    <w:p w14:paraId="0BC35018" w14:textId="603F3286" w:rsidR="00C8509C" w:rsidRPr="00882EAA" w:rsidRDefault="00C8509C" w:rsidP="00C8509C">
      <w:pPr>
        <w:pStyle w:val="ListParagraph"/>
        <w:numPr>
          <w:ilvl w:val="0"/>
          <w:numId w:val="14"/>
        </w:numPr>
        <w:spacing w:after="0" w:line="360" w:lineRule="auto"/>
        <w:ind w:left="1134" w:hanging="414"/>
        <w:jc w:val="both"/>
        <w:rPr>
          <w:rFonts w:ascii="Times New Roman" w:hAnsi="Times New Roman" w:cs="Times New Roman"/>
          <w:iCs/>
          <w:sz w:val="24"/>
          <w:szCs w:val="24"/>
          <w:lang w:val="en-US"/>
        </w:rPr>
      </w:pPr>
      <w:r w:rsidRPr="00882EAA">
        <w:rPr>
          <w:rFonts w:ascii="Times New Roman" w:hAnsi="Times New Roman" w:cs="Times New Roman"/>
          <w:iCs/>
          <w:sz w:val="24"/>
          <w:szCs w:val="24"/>
          <w:lang w:val="en-US"/>
        </w:rPr>
        <w:t>the chairman of the Rent Board erred in law when he failed to appreciate that the Respondent had brought the action for eviction of the Appellants in her personal capacity and could not therefore rely on the lease agreement unlawfully signed by the Respondent to base her action for eviction;</w:t>
      </w:r>
    </w:p>
    <w:p w14:paraId="01586B40" w14:textId="77777777" w:rsidR="00C8509C" w:rsidRPr="00882EAA" w:rsidRDefault="00C8509C" w:rsidP="00C8509C">
      <w:pPr>
        <w:pStyle w:val="ListParagraph"/>
        <w:tabs>
          <w:tab w:val="left" w:pos="993"/>
        </w:tabs>
        <w:spacing w:after="0" w:line="360" w:lineRule="auto"/>
        <w:ind w:left="709"/>
        <w:jc w:val="both"/>
        <w:rPr>
          <w:rFonts w:ascii="Times New Roman" w:hAnsi="Times New Roman" w:cs="Times New Roman"/>
          <w:i/>
          <w:iCs/>
          <w:sz w:val="24"/>
          <w:szCs w:val="24"/>
        </w:rPr>
      </w:pPr>
    </w:p>
    <w:p w14:paraId="6EBBC3AB" w14:textId="49BED8E0" w:rsidR="002D2AA5" w:rsidRPr="00882EAA" w:rsidRDefault="002D2AA5" w:rsidP="00C8509C">
      <w:pPr>
        <w:pStyle w:val="ListParagraph"/>
        <w:numPr>
          <w:ilvl w:val="0"/>
          <w:numId w:val="12"/>
        </w:numPr>
        <w:tabs>
          <w:tab w:val="left" w:pos="993"/>
        </w:tabs>
        <w:spacing w:after="0" w:line="360" w:lineRule="auto"/>
        <w:ind w:left="709" w:hanging="709"/>
        <w:jc w:val="both"/>
        <w:rPr>
          <w:rFonts w:ascii="Times New Roman" w:hAnsi="Times New Roman" w:cs="Times New Roman"/>
          <w:i/>
          <w:iCs/>
          <w:sz w:val="24"/>
          <w:szCs w:val="24"/>
        </w:rPr>
      </w:pPr>
      <w:r w:rsidRPr="00882EAA">
        <w:rPr>
          <w:rFonts w:ascii="Times New Roman" w:hAnsi="Times New Roman" w:cs="Times New Roman"/>
          <w:sz w:val="24"/>
          <w:szCs w:val="24"/>
          <w:lang w:val="en-US"/>
        </w:rPr>
        <w:lastRenderedPageBreak/>
        <w:t>The parties agreed to proceed with the hearing of th</w:t>
      </w:r>
      <w:r w:rsidR="009A3DFB" w:rsidRPr="00882EAA">
        <w:rPr>
          <w:rFonts w:ascii="Times New Roman" w:hAnsi="Times New Roman" w:cs="Times New Roman"/>
          <w:sz w:val="24"/>
          <w:szCs w:val="24"/>
          <w:lang w:val="en-US"/>
        </w:rPr>
        <w:t>is</w:t>
      </w:r>
      <w:r w:rsidRPr="00882EAA">
        <w:rPr>
          <w:rFonts w:ascii="Times New Roman" w:hAnsi="Times New Roman" w:cs="Times New Roman"/>
          <w:sz w:val="24"/>
          <w:szCs w:val="24"/>
          <w:lang w:val="en-US"/>
        </w:rPr>
        <w:t xml:space="preserve"> </w:t>
      </w:r>
      <w:r w:rsidR="009A3DFB" w:rsidRPr="00882EAA">
        <w:rPr>
          <w:rFonts w:ascii="Times New Roman" w:hAnsi="Times New Roman" w:cs="Times New Roman"/>
          <w:sz w:val="24"/>
          <w:szCs w:val="24"/>
          <w:lang w:val="en-US"/>
        </w:rPr>
        <w:t>appeal</w:t>
      </w:r>
      <w:r w:rsidRPr="00882EAA">
        <w:rPr>
          <w:rFonts w:ascii="Times New Roman" w:hAnsi="Times New Roman" w:cs="Times New Roman"/>
          <w:sz w:val="24"/>
          <w:szCs w:val="24"/>
          <w:lang w:val="en-US"/>
        </w:rPr>
        <w:t xml:space="preserve"> by way of written submission</w:t>
      </w:r>
      <w:r w:rsidR="009A3DFB" w:rsidRPr="00882EAA">
        <w:rPr>
          <w:rFonts w:ascii="Times New Roman" w:hAnsi="Times New Roman" w:cs="Times New Roman"/>
          <w:sz w:val="24"/>
          <w:szCs w:val="24"/>
          <w:lang w:val="en-US"/>
        </w:rPr>
        <w:t>s</w:t>
      </w:r>
      <w:r w:rsidRPr="00882EAA">
        <w:rPr>
          <w:rFonts w:ascii="Times New Roman" w:hAnsi="Times New Roman" w:cs="Times New Roman"/>
          <w:sz w:val="24"/>
          <w:szCs w:val="24"/>
          <w:lang w:val="en-US"/>
        </w:rPr>
        <w:t>. Respective written submissions have been filed and considered by the court, although they are not reproduced in full herein.</w:t>
      </w:r>
    </w:p>
    <w:p w14:paraId="02589D9A" w14:textId="1CA2C050" w:rsidR="00C8509C" w:rsidRPr="00882EAA" w:rsidRDefault="00C8509C" w:rsidP="00C8509C">
      <w:pPr>
        <w:pStyle w:val="ListParagraph"/>
        <w:tabs>
          <w:tab w:val="left" w:pos="993"/>
        </w:tabs>
        <w:spacing w:after="0" w:line="360" w:lineRule="auto"/>
        <w:ind w:left="709"/>
        <w:jc w:val="both"/>
        <w:rPr>
          <w:rFonts w:ascii="Times New Roman" w:hAnsi="Times New Roman" w:cs="Times New Roman"/>
          <w:sz w:val="24"/>
          <w:szCs w:val="24"/>
          <w:lang w:val="en-US"/>
        </w:rPr>
      </w:pPr>
    </w:p>
    <w:p w14:paraId="2AB88CB7" w14:textId="3196C3A4" w:rsidR="00C8509C" w:rsidRPr="00882EAA" w:rsidRDefault="00C8509C" w:rsidP="00C8509C">
      <w:pPr>
        <w:pStyle w:val="ListParagraph"/>
        <w:tabs>
          <w:tab w:val="left" w:pos="993"/>
        </w:tabs>
        <w:spacing w:after="0" w:line="360" w:lineRule="auto"/>
        <w:ind w:left="0"/>
        <w:jc w:val="both"/>
        <w:rPr>
          <w:rFonts w:ascii="Times New Roman" w:hAnsi="Times New Roman" w:cs="Times New Roman"/>
          <w:b/>
          <w:bCs/>
          <w:sz w:val="24"/>
          <w:szCs w:val="24"/>
          <w:lang w:val="en-US"/>
        </w:rPr>
      </w:pPr>
      <w:r w:rsidRPr="00882EAA">
        <w:rPr>
          <w:rFonts w:ascii="Times New Roman" w:hAnsi="Times New Roman" w:cs="Times New Roman"/>
          <w:b/>
          <w:bCs/>
          <w:sz w:val="24"/>
          <w:szCs w:val="24"/>
          <w:lang w:val="en-US"/>
        </w:rPr>
        <w:t xml:space="preserve">Grounds of Appeal </w:t>
      </w:r>
    </w:p>
    <w:p w14:paraId="7FDC3162" w14:textId="77777777" w:rsidR="00C8509C" w:rsidRPr="00882EAA" w:rsidRDefault="00C8509C" w:rsidP="00C8509C">
      <w:pPr>
        <w:pStyle w:val="ListParagraph"/>
        <w:tabs>
          <w:tab w:val="left" w:pos="993"/>
        </w:tabs>
        <w:spacing w:after="0" w:line="360" w:lineRule="auto"/>
        <w:ind w:left="0"/>
        <w:jc w:val="both"/>
        <w:rPr>
          <w:rFonts w:ascii="Times New Roman" w:hAnsi="Times New Roman" w:cs="Times New Roman"/>
          <w:i/>
          <w:iCs/>
          <w:sz w:val="24"/>
          <w:szCs w:val="24"/>
        </w:rPr>
      </w:pPr>
    </w:p>
    <w:p w14:paraId="1A3D39DE" w14:textId="58F44D7C" w:rsidR="002D2AA5" w:rsidRPr="00882EAA" w:rsidRDefault="00C8509C" w:rsidP="00925006">
      <w:pPr>
        <w:spacing w:line="360" w:lineRule="auto"/>
        <w:jc w:val="center"/>
        <w:rPr>
          <w:i/>
          <w:iCs/>
        </w:rPr>
      </w:pPr>
      <w:r w:rsidRPr="00882EAA">
        <w:rPr>
          <w:i/>
          <w:iCs/>
        </w:rPr>
        <w:t>Grounds 1</w:t>
      </w:r>
      <w:r w:rsidR="009A3DFB" w:rsidRPr="00882EAA">
        <w:rPr>
          <w:i/>
          <w:iCs/>
        </w:rPr>
        <w:t>, 2 and 3</w:t>
      </w:r>
      <w:r w:rsidRPr="00882EAA">
        <w:rPr>
          <w:i/>
          <w:iCs/>
        </w:rPr>
        <w:t xml:space="preserve"> </w:t>
      </w:r>
      <w:r w:rsidR="009A3DFB" w:rsidRPr="00882EAA">
        <w:rPr>
          <w:i/>
          <w:iCs/>
        </w:rPr>
        <w:t>– Invalidity of lease agreement</w:t>
      </w:r>
      <w:r w:rsidR="007E695E" w:rsidRPr="00882EAA">
        <w:rPr>
          <w:i/>
          <w:iCs/>
        </w:rPr>
        <w:t xml:space="preserve"> for lack of capacity </w:t>
      </w:r>
      <w:r w:rsidR="009A3DFB" w:rsidRPr="00882EAA">
        <w:rPr>
          <w:i/>
          <w:iCs/>
        </w:rPr>
        <w:t>and absence of locus standi to seek eviction of the Appellant</w:t>
      </w:r>
      <w:r w:rsidR="007964DD" w:rsidRPr="00882EAA">
        <w:rPr>
          <w:i/>
          <w:iCs/>
        </w:rPr>
        <w:t>s</w:t>
      </w:r>
      <w:r w:rsidR="00DD38F3" w:rsidRPr="00882EAA">
        <w:rPr>
          <w:i/>
          <w:iCs/>
        </w:rPr>
        <w:t xml:space="preserve"> on the basis of the invalidity of the lease agreement</w:t>
      </w:r>
    </w:p>
    <w:p w14:paraId="1C194F87" w14:textId="77777777" w:rsidR="00C8509C" w:rsidRPr="00882EAA" w:rsidRDefault="00C8509C" w:rsidP="00C8509C">
      <w:pPr>
        <w:spacing w:line="360" w:lineRule="auto"/>
        <w:jc w:val="both"/>
        <w:rPr>
          <w:i/>
          <w:iCs/>
        </w:rPr>
      </w:pPr>
    </w:p>
    <w:p w14:paraId="416A4020" w14:textId="562C91F5" w:rsidR="005329F4" w:rsidRPr="00882EAA" w:rsidRDefault="009A3DFB" w:rsidP="00911B9A">
      <w:pPr>
        <w:pStyle w:val="ListParagraph"/>
        <w:numPr>
          <w:ilvl w:val="0"/>
          <w:numId w:val="12"/>
        </w:numPr>
        <w:spacing w:after="0" w:line="360" w:lineRule="auto"/>
        <w:ind w:left="720" w:hanging="720"/>
        <w:jc w:val="both"/>
        <w:rPr>
          <w:rFonts w:ascii="Times New Roman" w:hAnsi="Times New Roman" w:cs="Times New Roman"/>
          <w:i/>
          <w:iCs/>
          <w:sz w:val="24"/>
          <w:szCs w:val="24"/>
        </w:rPr>
      </w:pPr>
      <w:r w:rsidRPr="00882EAA">
        <w:rPr>
          <w:rFonts w:ascii="Times New Roman" w:hAnsi="Times New Roman" w:cs="Times New Roman"/>
          <w:sz w:val="24"/>
          <w:szCs w:val="24"/>
          <w:lang w:val="en-US"/>
        </w:rPr>
        <w:t xml:space="preserve">The 3 grounds of appeal are </w:t>
      </w:r>
      <w:r w:rsidR="00A7567E">
        <w:rPr>
          <w:rFonts w:ascii="Times New Roman" w:hAnsi="Times New Roman" w:cs="Times New Roman"/>
          <w:sz w:val="24"/>
          <w:szCs w:val="24"/>
          <w:lang w:val="en-US"/>
        </w:rPr>
        <w:t>related</w:t>
      </w:r>
      <w:r w:rsidR="00473C71">
        <w:rPr>
          <w:rFonts w:ascii="Times New Roman" w:hAnsi="Times New Roman" w:cs="Times New Roman"/>
          <w:sz w:val="24"/>
          <w:szCs w:val="24"/>
          <w:lang w:val="en-US"/>
        </w:rPr>
        <w:t xml:space="preserve"> and are considered together</w:t>
      </w:r>
      <w:r w:rsidRPr="00882EAA">
        <w:rPr>
          <w:rFonts w:ascii="Times New Roman" w:hAnsi="Times New Roman" w:cs="Times New Roman"/>
          <w:sz w:val="24"/>
          <w:szCs w:val="24"/>
          <w:lang w:val="en-US"/>
        </w:rPr>
        <w:t>. In sum</w:t>
      </w:r>
      <w:r w:rsidR="009877D9" w:rsidRPr="00882EAA">
        <w:rPr>
          <w:rFonts w:ascii="Times New Roman" w:hAnsi="Times New Roman" w:cs="Times New Roman"/>
          <w:sz w:val="24"/>
          <w:szCs w:val="24"/>
          <w:lang w:val="en-US"/>
        </w:rPr>
        <w:t xml:space="preserve">, </w:t>
      </w:r>
      <w:r w:rsidRPr="00882EAA">
        <w:rPr>
          <w:rFonts w:ascii="Times New Roman" w:hAnsi="Times New Roman" w:cs="Times New Roman"/>
          <w:sz w:val="24"/>
          <w:szCs w:val="24"/>
          <w:lang w:val="en-US"/>
        </w:rPr>
        <w:t>they argue that –</w:t>
      </w:r>
    </w:p>
    <w:p w14:paraId="6EF44A57" w14:textId="2CD4E704" w:rsidR="009A3DFB" w:rsidRPr="00882EAA" w:rsidRDefault="009A3DFB" w:rsidP="009A3DFB">
      <w:pPr>
        <w:pStyle w:val="ListParagraph"/>
        <w:spacing w:after="0" w:line="360" w:lineRule="auto"/>
        <w:jc w:val="both"/>
        <w:rPr>
          <w:rFonts w:ascii="Times New Roman" w:hAnsi="Times New Roman" w:cs="Times New Roman"/>
          <w:sz w:val="24"/>
          <w:szCs w:val="24"/>
          <w:lang w:val="en-US"/>
        </w:rPr>
      </w:pPr>
    </w:p>
    <w:p w14:paraId="7EAF3E38" w14:textId="263EABE3" w:rsidR="009A3DFB" w:rsidRPr="00882EAA" w:rsidRDefault="009A3DFB" w:rsidP="009A3DFB">
      <w:pPr>
        <w:pStyle w:val="ListParagraph"/>
        <w:numPr>
          <w:ilvl w:val="0"/>
          <w:numId w:val="23"/>
        </w:numPr>
        <w:spacing w:after="0" w:line="360" w:lineRule="auto"/>
        <w:jc w:val="both"/>
        <w:rPr>
          <w:rFonts w:ascii="Times New Roman" w:hAnsi="Times New Roman" w:cs="Times New Roman"/>
          <w:sz w:val="24"/>
          <w:szCs w:val="24"/>
        </w:rPr>
      </w:pPr>
      <w:r w:rsidRPr="00882EAA">
        <w:rPr>
          <w:rFonts w:ascii="Times New Roman" w:hAnsi="Times New Roman" w:cs="Times New Roman"/>
          <w:sz w:val="24"/>
          <w:szCs w:val="24"/>
          <w:lang w:val="en-US"/>
        </w:rPr>
        <w:t xml:space="preserve">The lease agreement is invalid </w:t>
      </w:r>
      <w:r w:rsidR="00DD38F3" w:rsidRPr="00882EAA">
        <w:rPr>
          <w:rFonts w:ascii="Times New Roman" w:hAnsi="Times New Roman" w:cs="Times New Roman"/>
          <w:i/>
          <w:iCs/>
          <w:sz w:val="24"/>
          <w:szCs w:val="24"/>
          <w:lang w:val="en-US"/>
        </w:rPr>
        <w:t>‘void ab initio’</w:t>
      </w:r>
      <w:r w:rsidR="00DD38F3" w:rsidRPr="00882EAA">
        <w:rPr>
          <w:rFonts w:ascii="Times New Roman" w:hAnsi="Times New Roman" w:cs="Times New Roman"/>
          <w:sz w:val="24"/>
          <w:szCs w:val="24"/>
          <w:lang w:val="en-US"/>
        </w:rPr>
        <w:t xml:space="preserve"> </w:t>
      </w:r>
      <w:r w:rsidRPr="00882EAA">
        <w:rPr>
          <w:rFonts w:ascii="Times New Roman" w:hAnsi="Times New Roman" w:cs="Times New Roman"/>
          <w:sz w:val="24"/>
          <w:szCs w:val="24"/>
          <w:lang w:val="en-US"/>
        </w:rPr>
        <w:t xml:space="preserve">and could not </w:t>
      </w:r>
      <w:r w:rsidR="00925006" w:rsidRPr="00882EAA">
        <w:rPr>
          <w:rFonts w:ascii="Times New Roman" w:hAnsi="Times New Roman" w:cs="Times New Roman"/>
          <w:sz w:val="24"/>
          <w:szCs w:val="24"/>
          <w:lang w:val="en-US"/>
        </w:rPr>
        <w:t xml:space="preserve">have </w:t>
      </w:r>
      <w:r w:rsidRPr="00882EAA">
        <w:rPr>
          <w:rFonts w:ascii="Times New Roman" w:hAnsi="Times New Roman" w:cs="Times New Roman"/>
          <w:sz w:val="24"/>
          <w:szCs w:val="24"/>
          <w:lang w:val="en-US"/>
        </w:rPr>
        <w:t>form</w:t>
      </w:r>
      <w:r w:rsidR="00925006" w:rsidRPr="00882EAA">
        <w:rPr>
          <w:rFonts w:ascii="Times New Roman" w:hAnsi="Times New Roman" w:cs="Times New Roman"/>
          <w:sz w:val="24"/>
          <w:szCs w:val="24"/>
          <w:lang w:val="en-US"/>
        </w:rPr>
        <w:t>ed</w:t>
      </w:r>
      <w:r w:rsidRPr="00882EAA">
        <w:rPr>
          <w:rFonts w:ascii="Times New Roman" w:hAnsi="Times New Roman" w:cs="Times New Roman"/>
          <w:sz w:val="24"/>
          <w:szCs w:val="24"/>
          <w:lang w:val="en-US"/>
        </w:rPr>
        <w:t xml:space="preserve"> the basis for the </w:t>
      </w:r>
      <w:r w:rsidR="007964DD" w:rsidRPr="00882EAA">
        <w:rPr>
          <w:rFonts w:ascii="Times New Roman" w:hAnsi="Times New Roman" w:cs="Times New Roman"/>
          <w:sz w:val="24"/>
          <w:szCs w:val="24"/>
          <w:lang w:val="en-US"/>
        </w:rPr>
        <w:t xml:space="preserve">Respondent’s </w:t>
      </w:r>
      <w:r w:rsidRPr="00882EAA">
        <w:rPr>
          <w:rFonts w:ascii="Times New Roman" w:hAnsi="Times New Roman" w:cs="Times New Roman"/>
          <w:sz w:val="24"/>
          <w:szCs w:val="24"/>
          <w:lang w:val="en-US"/>
        </w:rPr>
        <w:t xml:space="preserve">application </w:t>
      </w:r>
      <w:r w:rsidR="00925006" w:rsidRPr="00882EAA">
        <w:rPr>
          <w:rFonts w:ascii="Times New Roman" w:hAnsi="Times New Roman" w:cs="Times New Roman"/>
          <w:sz w:val="24"/>
          <w:szCs w:val="24"/>
          <w:lang w:val="en-US"/>
        </w:rPr>
        <w:t xml:space="preserve">filed in the Rent Board </w:t>
      </w:r>
      <w:r w:rsidR="007964DD" w:rsidRPr="00882EAA">
        <w:rPr>
          <w:rFonts w:ascii="Times New Roman" w:hAnsi="Times New Roman" w:cs="Times New Roman"/>
          <w:sz w:val="24"/>
          <w:szCs w:val="24"/>
          <w:lang w:val="en-US"/>
        </w:rPr>
        <w:t>for the eviction of the Appellant</w:t>
      </w:r>
      <w:r w:rsidR="00925006" w:rsidRPr="00882EAA">
        <w:rPr>
          <w:rFonts w:ascii="Times New Roman" w:hAnsi="Times New Roman" w:cs="Times New Roman"/>
          <w:sz w:val="24"/>
          <w:szCs w:val="24"/>
          <w:lang w:val="en-US"/>
        </w:rPr>
        <w:t>s</w:t>
      </w:r>
      <w:r w:rsidR="007964DD" w:rsidRPr="00882EAA">
        <w:rPr>
          <w:rFonts w:ascii="Times New Roman" w:hAnsi="Times New Roman" w:cs="Times New Roman"/>
          <w:sz w:val="24"/>
          <w:szCs w:val="24"/>
          <w:lang w:val="en-US"/>
        </w:rPr>
        <w:t xml:space="preserve"> </w:t>
      </w:r>
      <w:r w:rsidR="00925006" w:rsidRPr="00882EAA">
        <w:rPr>
          <w:rFonts w:ascii="Times New Roman" w:hAnsi="Times New Roman" w:cs="Times New Roman"/>
          <w:sz w:val="24"/>
          <w:szCs w:val="24"/>
          <w:lang w:val="en-US"/>
        </w:rPr>
        <w:t>from</w:t>
      </w:r>
      <w:r w:rsidR="00AC66D8" w:rsidRPr="00882EAA">
        <w:rPr>
          <w:rFonts w:ascii="Times New Roman" w:hAnsi="Times New Roman" w:cs="Times New Roman"/>
          <w:sz w:val="24"/>
          <w:szCs w:val="24"/>
          <w:lang w:val="en-US"/>
        </w:rPr>
        <w:t xml:space="preserve"> the Premises</w:t>
      </w:r>
      <w:r w:rsidR="00A055B9">
        <w:rPr>
          <w:rFonts w:ascii="Times New Roman" w:hAnsi="Times New Roman" w:cs="Times New Roman"/>
          <w:sz w:val="24"/>
          <w:szCs w:val="24"/>
          <w:lang w:val="en-US"/>
        </w:rPr>
        <w:t xml:space="preserve"> as she did not have capacity to enter into the agreement</w:t>
      </w:r>
      <w:r w:rsidR="007964DD" w:rsidRPr="00882EAA">
        <w:rPr>
          <w:rFonts w:ascii="Times New Roman" w:hAnsi="Times New Roman" w:cs="Times New Roman"/>
          <w:sz w:val="24"/>
          <w:szCs w:val="24"/>
          <w:lang w:val="en-US"/>
        </w:rPr>
        <w:t>; and</w:t>
      </w:r>
    </w:p>
    <w:p w14:paraId="63FA152F" w14:textId="65F7A55D" w:rsidR="009A3DFB" w:rsidRPr="00882EAA" w:rsidRDefault="00DD38F3" w:rsidP="009A3DFB">
      <w:pPr>
        <w:pStyle w:val="ListParagraph"/>
        <w:numPr>
          <w:ilvl w:val="0"/>
          <w:numId w:val="23"/>
        </w:numPr>
        <w:spacing w:after="0" w:line="360" w:lineRule="auto"/>
        <w:jc w:val="both"/>
        <w:rPr>
          <w:rFonts w:ascii="Times New Roman" w:hAnsi="Times New Roman" w:cs="Times New Roman"/>
          <w:sz w:val="24"/>
          <w:szCs w:val="24"/>
        </w:rPr>
      </w:pPr>
      <w:r w:rsidRPr="00882EAA">
        <w:rPr>
          <w:rFonts w:ascii="Times New Roman" w:hAnsi="Times New Roman" w:cs="Times New Roman"/>
          <w:sz w:val="24"/>
          <w:szCs w:val="24"/>
          <w:lang w:val="en-US"/>
        </w:rPr>
        <w:t>By reason of the invalidity of the lease agreement, t</w:t>
      </w:r>
      <w:r w:rsidR="007964DD" w:rsidRPr="00882EAA">
        <w:rPr>
          <w:rFonts w:ascii="Times New Roman" w:hAnsi="Times New Roman" w:cs="Times New Roman"/>
          <w:sz w:val="24"/>
          <w:szCs w:val="24"/>
          <w:lang w:val="en-US"/>
        </w:rPr>
        <w:t>he Respondent did not have locus standi to bring the application for the eviction of the Appellant</w:t>
      </w:r>
      <w:r w:rsidR="001A16BA">
        <w:rPr>
          <w:rFonts w:ascii="Times New Roman" w:hAnsi="Times New Roman" w:cs="Times New Roman"/>
          <w:sz w:val="24"/>
          <w:szCs w:val="24"/>
          <w:lang w:val="en-US"/>
        </w:rPr>
        <w:t>s</w:t>
      </w:r>
      <w:r w:rsidR="007964DD" w:rsidRPr="00882EAA">
        <w:rPr>
          <w:rFonts w:ascii="Times New Roman" w:hAnsi="Times New Roman" w:cs="Times New Roman"/>
          <w:sz w:val="24"/>
          <w:szCs w:val="24"/>
          <w:lang w:val="en-US"/>
        </w:rPr>
        <w:t xml:space="preserve"> before the Rent Board</w:t>
      </w:r>
      <w:r w:rsidR="002B5161" w:rsidRPr="00882EAA">
        <w:rPr>
          <w:rFonts w:ascii="Times New Roman" w:hAnsi="Times New Roman" w:cs="Times New Roman"/>
          <w:sz w:val="24"/>
          <w:szCs w:val="24"/>
          <w:lang w:val="en-US"/>
        </w:rPr>
        <w:t>.</w:t>
      </w:r>
    </w:p>
    <w:p w14:paraId="7AC7FB13" w14:textId="69DAB381" w:rsidR="002B5161" w:rsidRPr="001A16BA" w:rsidRDefault="002B5161" w:rsidP="002B5161">
      <w:pPr>
        <w:spacing w:line="360" w:lineRule="auto"/>
        <w:ind w:left="720"/>
        <w:jc w:val="both"/>
        <w:rPr>
          <w:lang w:val="en-GB"/>
        </w:rPr>
      </w:pPr>
    </w:p>
    <w:p w14:paraId="36B06C59" w14:textId="29396C79" w:rsidR="002B5161" w:rsidRPr="00882EAA" w:rsidRDefault="002B5161" w:rsidP="002B5161">
      <w:pPr>
        <w:spacing w:line="360" w:lineRule="auto"/>
        <w:jc w:val="both"/>
        <w:rPr>
          <w:i/>
          <w:iCs/>
        </w:rPr>
      </w:pPr>
      <w:r w:rsidRPr="00882EAA">
        <w:rPr>
          <w:i/>
          <w:iCs/>
        </w:rPr>
        <w:t>Invalidity of Lease Agreement</w:t>
      </w:r>
    </w:p>
    <w:p w14:paraId="3D25E4A2" w14:textId="77777777" w:rsidR="007964DD" w:rsidRPr="00882EAA" w:rsidRDefault="007964DD" w:rsidP="007964DD">
      <w:pPr>
        <w:pStyle w:val="ListParagraph"/>
        <w:spacing w:after="0" w:line="360" w:lineRule="auto"/>
        <w:ind w:left="1080"/>
        <w:jc w:val="both"/>
        <w:rPr>
          <w:rFonts w:ascii="Times New Roman" w:hAnsi="Times New Roman" w:cs="Times New Roman"/>
          <w:i/>
          <w:iCs/>
          <w:sz w:val="24"/>
          <w:szCs w:val="24"/>
        </w:rPr>
      </w:pPr>
    </w:p>
    <w:p w14:paraId="1B2A4702" w14:textId="085FD912" w:rsidR="0068113B" w:rsidRPr="00882EAA" w:rsidRDefault="002B5161" w:rsidP="00911B9A">
      <w:pPr>
        <w:pStyle w:val="ListParagraph"/>
        <w:numPr>
          <w:ilvl w:val="0"/>
          <w:numId w:val="12"/>
        </w:numPr>
        <w:spacing w:after="0" w:line="360" w:lineRule="auto"/>
        <w:ind w:left="720" w:hanging="720"/>
        <w:jc w:val="both"/>
        <w:rPr>
          <w:rFonts w:ascii="Times New Roman" w:hAnsi="Times New Roman" w:cs="Times New Roman"/>
          <w:i/>
          <w:iCs/>
          <w:sz w:val="24"/>
          <w:szCs w:val="24"/>
        </w:rPr>
      </w:pPr>
      <w:r w:rsidRPr="00882EAA">
        <w:rPr>
          <w:rFonts w:ascii="Times New Roman" w:hAnsi="Times New Roman" w:cs="Times New Roman"/>
          <w:sz w:val="24"/>
          <w:szCs w:val="24"/>
        </w:rPr>
        <w:t xml:space="preserve">The Appellants’ submitted that the Agreement was null and void in law as the </w:t>
      </w:r>
      <w:r w:rsidR="00925006" w:rsidRPr="00882EAA">
        <w:rPr>
          <w:rFonts w:ascii="Times New Roman" w:hAnsi="Times New Roman" w:cs="Times New Roman"/>
          <w:sz w:val="24"/>
          <w:szCs w:val="24"/>
        </w:rPr>
        <w:t xml:space="preserve">sole </w:t>
      </w:r>
      <w:r w:rsidRPr="00882EAA">
        <w:rPr>
          <w:rFonts w:ascii="Times New Roman" w:hAnsi="Times New Roman" w:cs="Times New Roman"/>
          <w:sz w:val="24"/>
          <w:szCs w:val="24"/>
        </w:rPr>
        <w:t>owner of the property</w:t>
      </w:r>
      <w:r w:rsidR="00925006" w:rsidRPr="00882EAA">
        <w:rPr>
          <w:rFonts w:ascii="Times New Roman" w:hAnsi="Times New Roman" w:cs="Times New Roman"/>
          <w:sz w:val="24"/>
          <w:szCs w:val="24"/>
        </w:rPr>
        <w:t>, Mr Philippe Vital,</w:t>
      </w:r>
      <w:r w:rsidRPr="00882EAA">
        <w:rPr>
          <w:rFonts w:ascii="Times New Roman" w:hAnsi="Times New Roman" w:cs="Times New Roman"/>
          <w:sz w:val="24"/>
          <w:szCs w:val="24"/>
        </w:rPr>
        <w:t xml:space="preserve"> never signed the lease agreement and the Respondent lacked the legal capacity to sign the agreement on </w:t>
      </w:r>
      <w:r w:rsidR="00925006" w:rsidRPr="00882EAA">
        <w:rPr>
          <w:rFonts w:ascii="Times New Roman" w:hAnsi="Times New Roman" w:cs="Times New Roman"/>
          <w:sz w:val="24"/>
          <w:szCs w:val="24"/>
        </w:rPr>
        <w:t xml:space="preserve">his </w:t>
      </w:r>
      <w:r w:rsidRPr="00882EAA">
        <w:rPr>
          <w:rFonts w:ascii="Times New Roman" w:hAnsi="Times New Roman" w:cs="Times New Roman"/>
          <w:sz w:val="24"/>
          <w:szCs w:val="24"/>
        </w:rPr>
        <w:t>behalf</w:t>
      </w:r>
      <w:r w:rsidR="009877D9" w:rsidRPr="00882EAA">
        <w:rPr>
          <w:rFonts w:ascii="Times New Roman" w:hAnsi="Times New Roman" w:cs="Times New Roman"/>
          <w:sz w:val="24"/>
          <w:szCs w:val="24"/>
        </w:rPr>
        <w:t xml:space="preserve">. </w:t>
      </w:r>
      <w:r w:rsidRPr="00882EAA">
        <w:rPr>
          <w:rFonts w:ascii="Times New Roman" w:hAnsi="Times New Roman" w:cs="Times New Roman"/>
          <w:sz w:val="24"/>
          <w:szCs w:val="24"/>
        </w:rPr>
        <w:t xml:space="preserve">Thus, the Respondent’s action before the Rent Board was based on </w:t>
      </w:r>
      <w:r w:rsidR="0046691F" w:rsidRPr="00882EAA">
        <w:rPr>
          <w:rFonts w:ascii="Times New Roman" w:hAnsi="Times New Roman" w:cs="Times New Roman"/>
          <w:sz w:val="24"/>
          <w:szCs w:val="24"/>
        </w:rPr>
        <w:t xml:space="preserve">an </w:t>
      </w:r>
      <w:r w:rsidRPr="00882EAA">
        <w:rPr>
          <w:rFonts w:ascii="Times New Roman" w:hAnsi="Times New Roman" w:cs="Times New Roman"/>
          <w:sz w:val="24"/>
          <w:szCs w:val="24"/>
        </w:rPr>
        <w:t xml:space="preserve">invalid document. The Rent Board’ failure to uphold the plea in </w:t>
      </w:r>
      <w:proofErr w:type="spellStart"/>
      <w:r w:rsidRPr="00882EAA">
        <w:rPr>
          <w:rFonts w:ascii="Times New Roman" w:hAnsi="Times New Roman" w:cs="Times New Roman"/>
          <w:sz w:val="24"/>
          <w:szCs w:val="24"/>
        </w:rPr>
        <w:t>limine</w:t>
      </w:r>
      <w:proofErr w:type="spellEnd"/>
      <w:r w:rsidRPr="00882EAA">
        <w:rPr>
          <w:rFonts w:ascii="Times New Roman" w:hAnsi="Times New Roman" w:cs="Times New Roman"/>
          <w:sz w:val="24"/>
          <w:szCs w:val="24"/>
        </w:rPr>
        <w:t xml:space="preserve"> </w:t>
      </w:r>
      <w:proofErr w:type="spellStart"/>
      <w:r w:rsidRPr="00882EAA">
        <w:rPr>
          <w:rFonts w:ascii="Times New Roman" w:hAnsi="Times New Roman" w:cs="Times New Roman"/>
          <w:sz w:val="24"/>
          <w:szCs w:val="24"/>
        </w:rPr>
        <w:t>litis</w:t>
      </w:r>
      <w:proofErr w:type="spellEnd"/>
      <w:r w:rsidRPr="00882EAA">
        <w:rPr>
          <w:rFonts w:ascii="Times New Roman" w:hAnsi="Times New Roman" w:cs="Times New Roman"/>
          <w:sz w:val="24"/>
          <w:szCs w:val="24"/>
        </w:rPr>
        <w:t xml:space="preserve"> that the said Agreement was invalid was therefore erroneous. Further, </w:t>
      </w:r>
      <w:r w:rsidR="00925006" w:rsidRPr="00882EAA">
        <w:rPr>
          <w:rFonts w:ascii="Times New Roman" w:hAnsi="Times New Roman" w:cs="Times New Roman"/>
          <w:sz w:val="24"/>
          <w:szCs w:val="24"/>
        </w:rPr>
        <w:t>the Rent Board’s finding that the 1st Appellant had not raised any challenge to her mother’s capacity to sign the impugned agreement as a party or to institute the instant action was clearly wrong</w:t>
      </w:r>
      <w:r w:rsidR="0046691F" w:rsidRPr="00882EAA">
        <w:rPr>
          <w:rFonts w:ascii="Times New Roman" w:hAnsi="Times New Roman" w:cs="Times New Roman"/>
          <w:sz w:val="24"/>
          <w:szCs w:val="24"/>
        </w:rPr>
        <w:t xml:space="preserve"> because the Appellants are lay </w:t>
      </w:r>
      <w:r w:rsidR="0068113B" w:rsidRPr="00882EAA">
        <w:rPr>
          <w:rFonts w:ascii="Times New Roman" w:hAnsi="Times New Roman" w:cs="Times New Roman"/>
          <w:sz w:val="24"/>
          <w:szCs w:val="24"/>
        </w:rPr>
        <w:t>persons,</w:t>
      </w:r>
      <w:r w:rsidR="0046691F" w:rsidRPr="00882EAA">
        <w:rPr>
          <w:rFonts w:ascii="Times New Roman" w:hAnsi="Times New Roman" w:cs="Times New Roman"/>
          <w:sz w:val="24"/>
          <w:szCs w:val="24"/>
        </w:rPr>
        <w:t xml:space="preserve"> and they could not be expected to testify about </w:t>
      </w:r>
      <w:r w:rsidR="0068113B" w:rsidRPr="00882EAA">
        <w:rPr>
          <w:rFonts w:ascii="Times New Roman" w:hAnsi="Times New Roman" w:cs="Times New Roman"/>
          <w:sz w:val="24"/>
          <w:szCs w:val="24"/>
        </w:rPr>
        <w:t xml:space="preserve">the </w:t>
      </w:r>
      <w:r w:rsidR="0046691F" w:rsidRPr="00882EAA">
        <w:rPr>
          <w:rFonts w:ascii="Times New Roman" w:hAnsi="Times New Roman" w:cs="Times New Roman"/>
          <w:sz w:val="24"/>
          <w:szCs w:val="24"/>
        </w:rPr>
        <w:t>legal capacity of the Respondent. The fact that the Appellants benefitted from the agreement cannot detract from the fact that the Agreement is invalid in law. Th</w:t>
      </w:r>
      <w:r w:rsidR="0068113B" w:rsidRPr="00882EAA">
        <w:rPr>
          <w:rFonts w:ascii="Times New Roman" w:hAnsi="Times New Roman" w:cs="Times New Roman"/>
          <w:sz w:val="24"/>
          <w:szCs w:val="24"/>
        </w:rPr>
        <w:t>us</w:t>
      </w:r>
      <w:r w:rsidR="00AC66D8" w:rsidRPr="00882EAA">
        <w:rPr>
          <w:rFonts w:ascii="Times New Roman" w:hAnsi="Times New Roman" w:cs="Times New Roman"/>
          <w:sz w:val="24"/>
          <w:szCs w:val="24"/>
        </w:rPr>
        <w:t>,</w:t>
      </w:r>
      <w:r w:rsidR="0068113B" w:rsidRPr="00882EAA">
        <w:rPr>
          <w:rFonts w:ascii="Times New Roman" w:hAnsi="Times New Roman" w:cs="Times New Roman"/>
          <w:sz w:val="24"/>
          <w:szCs w:val="24"/>
        </w:rPr>
        <w:t xml:space="preserve"> the</w:t>
      </w:r>
      <w:r w:rsidR="0046691F" w:rsidRPr="00882EAA">
        <w:rPr>
          <w:rFonts w:ascii="Times New Roman" w:hAnsi="Times New Roman" w:cs="Times New Roman"/>
          <w:sz w:val="24"/>
          <w:szCs w:val="24"/>
        </w:rPr>
        <w:t xml:space="preserve"> only consideration for the Rent Board was whether the </w:t>
      </w:r>
      <w:r w:rsidR="00882EAA" w:rsidRPr="00882EAA">
        <w:rPr>
          <w:rFonts w:ascii="Times New Roman" w:hAnsi="Times New Roman" w:cs="Times New Roman"/>
          <w:sz w:val="24"/>
          <w:szCs w:val="24"/>
        </w:rPr>
        <w:t>R</w:t>
      </w:r>
      <w:r w:rsidR="0046691F" w:rsidRPr="00882EAA">
        <w:rPr>
          <w:rFonts w:ascii="Times New Roman" w:hAnsi="Times New Roman" w:cs="Times New Roman"/>
          <w:sz w:val="24"/>
          <w:szCs w:val="24"/>
        </w:rPr>
        <w:t xml:space="preserve">espondent was properly vested with legal capacity to enter into the agreement. </w:t>
      </w:r>
    </w:p>
    <w:p w14:paraId="613C321F" w14:textId="77777777" w:rsidR="0068113B" w:rsidRPr="00882EAA" w:rsidRDefault="0068113B" w:rsidP="0068113B">
      <w:pPr>
        <w:pStyle w:val="ListParagraph"/>
        <w:spacing w:after="0" w:line="360" w:lineRule="auto"/>
        <w:jc w:val="both"/>
        <w:rPr>
          <w:rFonts w:ascii="Times New Roman" w:hAnsi="Times New Roman" w:cs="Times New Roman"/>
          <w:i/>
          <w:iCs/>
          <w:sz w:val="24"/>
          <w:szCs w:val="24"/>
        </w:rPr>
      </w:pPr>
    </w:p>
    <w:p w14:paraId="4295176C" w14:textId="6671C5B4" w:rsidR="000B7F8E" w:rsidRPr="00882EAA" w:rsidRDefault="0046691F" w:rsidP="004C1A23">
      <w:pPr>
        <w:pStyle w:val="ListParagraph"/>
        <w:numPr>
          <w:ilvl w:val="0"/>
          <w:numId w:val="12"/>
        </w:numPr>
        <w:spacing w:after="0" w:line="360" w:lineRule="auto"/>
        <w:ind w:left="720" w:hanging="720"/>
        <w:jc w:val="both"/>
        <w:rPr>
          <w:rFonts w:ascii="Times New Roman" w:hAnsi="Times New Roman" w:cs="Times New Roman"/>
          <w:i/>
          <w:iCs/>
          <w:sz w:val="24"/>
          <w:szCs w:val="24"/>
        </w:rPr>
      </w:pPr>
      <w:r w:rsidRPr="00882EAA">
        <w:rPr>
          <w:rFonts w:ascii="Times New Roman" w:hAnsi="Times New Roman" w:cs="Times New Roman"/>
          <w:sz w:val="24"/>
          <w:szCs w:val="24"/>
        </w:rPr>
        <w:t>Appellants relied on Article 1108 of the Civil Code of Seychelles</w:t>
      </w:r>
      <w:r w:rsidR="000B7F8E" w:rsidRPr="00882EAA">
        <w:rPr>
          <w:rFonts w:ascii="Times New Roman" w:hAnsi="Times New Roman" w:cs="Times New Roman"/>
          <w:sz w:val="24"/>
          <w:szCs w:val="24"/>
        </w:rPr>
        <w:t xml:space="preserve"> </w:t>
      </w:r>
      <w:r w:rsidRPr="00882EAA">
        <w:rPr>
          <w:rFonts w:ascii="Times New Roman" w:hAnsi="Times New Roman" w:cs="Times New Roman"/>
          <w:sz w:val="24"/>
          <w:szCs w:val="24"/>
        </w:rPr>
        <w:t xml:space="preserve">to submit that one of the four essential conditions for the validity of an agreement was absent, namely the Respondent’s capacity to enter into the Agreement. Appellants referred </w:t>
      </w:r>
      <w:r w:rsidR="000B7F8E" w:rsidRPr="00882EAA">
        <w:rPr>
          <w:rFonts w:ascii="Times New Roman" w:hAnsi="Times New Roman" w:cs="Times New Roman"/>
          <w:sz w:val="24"/>
          <w:szCs w:val="24"/>
        </w:rPr>
        <w:t xml:space="preserve">the Court </w:t>
      </w:r>
      <w:r w:rsidRPr="00882EAA">
        <w:rPr>
          <w:rFonts w:ascii="Times New Roman" w:hAnsi="Times New Roman" w:cs="Times New Roman"/>
          <w:sz w:val="24"/>
          <w:szCs w:val="24"/>
        </w:rPr>
        <w:t xml:space="preserve">to the case of </w:t>
      </w:r>
      <w:r w:rsidRPr="00882EAA">
        <w:rPr>
          <w:rFonts w:ascii="Times New Roman" w:hAnsi="Times New Roman" w:cs="Times New Roman"/>
          <w:i/>
          <w:iCs/>
          <w:sz w:val="24"/>
          <w:szCs w:val="24"/>
        </w:rPr>
        <w:t>Monthy v</w:t>
      </w:r>
      <w:r w:rsidR="000B7F8E" w:rsidRPr="00882EAA">
        <w:rPr>
          <w:rFonts w:ascii="Times New Roman" w:hAnsi="Times New Roman" w:cs="Times New Roman"/>
          <w:i/>
          <w:iCs/>
          <w:sz w:val="24"/>
          <w:szCs w:val="24"/>
        </w:rPr>
        <w:t>.</w:t>
      </w:r>
      <w:r w:rsidRPr="00882EAA">
        <w:rPr>
          <w:rFonts w:ascii="Times New Roman" w:hAnsi="Times New Roman" w:cs="Times New Roman"/>
          <w:i/>
          <w:iCs/>
          <w:sz w:val="24"/>
          <w:szCs w:val="24"/>
        </w:rPr>
        <w:t xml:space="preserve"> </w:t>
      </w:r>
      <w:proofErr w:type="spellStart"/>
      <w:r w:rsidRPr="00882EAA">
        <w:rPr>
          <w:rFonts w:ascii="Times New Roman" w:hAnsi="Times New Roman" w:cs="Times New Roman"/>
          <w:i/>
          <w:iCs/>
          <w:sz w:val="24"/>
          <w:szCs w:val="24"/>
        </w:rPr>
        <w:t>Buron</w:t>
      </w:r>
      <w:proofErr w:type="spellEnd"/>
      <w:r w:rsidRPr="00882EAA">
        <w:rPr>
          <w:rFonts w:ascii="Times New Roman" w:hAnsi="Times New Roman" w:cs="Times New Roman"/>
          <w:i/>
          <w:iCs/>
          <w:sz w:val="24"/>
          <w:szCs w:val="24"/>
        </w:rPr>
        <w:t xml:space="preserve"> </w:t>
      </w:r>
      <w:r w:rsidR="000B7F8E" w:rsidRPr="00882EAA">
        <w:rPr>
          <w:rFonts w:ascii="Times New Roman" w:hAnsi="Times New Roman" w:cs="Times New Roman"/>
          <w:i/>
          <w:iCs/>
          <w:sz w:val="24"/>
          <w:szCs w:val="24"/>
        </w:rPr>
        <w:t xml:space="preserve">(SCA 6 of 2013) [2015] SCCA 15 (17 April 2015) </w:t>
      </w:r>
      <w:r w:rsidR="000B7F8E" w:rsidRPr="00882EAA">
        <w:rPr>
          <w:rFonts w:ascii="Times New Roman" w:hAnsi="Times New Roman" w:cs="Times New Roman"/>
          <w:sz w:val="24"/>
          <w:szCs w:val="24"/>
        </w:rPr>
        <w:t>where</w:t>
      </w:r>
      <w:r w:rsidR="009877D9" w:rsidRPr="00882EAA">
        <w:rPr>
          <w:rFonts w:ascii="Times New Roman" w:hAnsi="Times New Roman" w:cs="Times New Roman"/>
          <w:sz w:val="24"/>
          <w:szCs w:val="24"/>
        </w:rPr>
        <w:t>in</w:t>
      </w:r>
      <w:r w:rsidR="000B7F8E" w:rsidRPr="00882EAA">
        <w:rPr>
          <w:rFonts w:ascii="Times New Roman" w:hAnsi="Times New Roman" w:cs="Times New Roman"/>
          <w:sz w:val="24"/>
          <w:szCs w:val="24"/>
        </w:rPr>
        <w:t xml:space="preserve"> the Court of Appeal refused to endorse an agreement on the ground that it was </w:t>
      </w:r>
      <w:r w:rsidR="009877D9" w:rsidRPr="00882EAA">
        <w:rPr>
          <w:rFonts w:ascii="Times New Roman" w:hAnsi="Times New Roman" w:cs="Times New Roman"/>
          <w:sz w:val="24"/>
          <w:szCs w:val="24"/>
        </w:rPr>
        <w:t>contrary to</w:t>
      </w:r>
      <w:r w:rsidR="000B7F8E" w:rsidRPr="00882EAA">
        <w:rPr>
          <w:rFonts w:ascii="Times New Roman" w:hAnsi="Times New Roman" w:cs="Times New Roman"/>
          <w:sz w:val="24"/>
          <w:szCs w:val="24"/>
        </w:rPr>
        <w:t xml:space="preserve"> public policy</w:t>
      </w:r>
      <w:r w:rsidR="0068113B" w:rsidRPr="00882EAA">
        <w:rPr>
          <w:rFonts w:ascii="Times New Roman" w:hAnsi="Times New Roman" w:cs="Times New Roman"/>
          <w:sz w:val="24"/>
          <w:szCs w:val="24"/>
        </w:rPr>
        <w:t xml:space="preserve">. </w:t>
      </w:r>
      <w:r w:rsidR="00AC66D8" w:rsidRPr="00882EAA">
        <w:rPr>
          <w:rFonts w:ascii="Times New Roman" w:hAnsi="Times New Roman" w:cs="Times New Roman"/>
          <w:sz w:val="24"/>
          <w:szCs w:val="24"/>
        </w:rPr>
        <w:t xml:space="preserve">The </w:t>
      </w:r>
      <w:r w:rsidR="0068113B" w:rsidRPr="00882EAA">
        <w:rPr>
          <w:rFonts w:ascii="Times New Roman" w:hAnsi="Times New Roman" w:cs="Times New Roman"/>
          <w:sz w:val="24"/>
          <w:szCs w:val="24"/>
        </w:rPr>
        <w:t>Appellants invited the Court</w:t>
      </w:r>
      <w:r w:rsidR="000B7F8E" w:rsidRPr="00882EAA">
        <w:rPr>
          <w:rFonts w:ascii="Times New Roman" w:hAnsi="Times New Roman" w:cs="Times New Roman"/>
          <w:sz w:val="24"/>
          <w:szCs w:val="24"/>
        </w:rPr>
        <w:t xml:space="preserve"> </w:t>
      </w:r>
      <w:r w:rsidR="0068113B" w:rsidRPr="00882EAA">
        <w:rPr>
          <w:rFonts w:ascii="Times New Roman" w:hAnsi="Times New Roman" w:cs="Times New Roman"/>
          <w:sz w:val="24"/>
          <w:szCs w:val="24"/>
        </w:rPr>
        <w:t>to</w:t>
      </w:r>
      <w:r w:rsidR="00882EAA" w:rsidRPr="00882EAA">
        <w:rPr>
          <w:rFonts w:ascii="Times New Roman" w:hAnsi="Times New Roman" w:cs="Times New Roman"/>
          <w:sz w:val="24"/>
          <w:szCs w:val="24"/>
        </w:rPr>
        <w:t xml:space="preserve"> </w:t>
      </w:r>
      <w:r w:rsidR="001A16BA" w:rsidRPr="00882EAA">
        <w:rPr>
          <w:rFonts w:ascii="Times New Roman" w:hAnsi="Times New Roman" w:cs="Times New Roman"/>
          <w:sz w:val="24"/>
          <w:szCs w:val="24"/>
        </w:rPr>
        <w:t>find</w:t>
      </w:r>
      <w:r w:rsidR="00A055B9">
        <w:rPr>
          <w:rFonts w:ascii="Times New Roman" w:hAnsi="Times New Roman" w:cs="Times New Roman"/>
          <w:sz w:val="24"/>
          <w:szCs w:val="24"/>
        </w:rPr>
        <w:t>,</w:t>
      </w:r>
      <w:r w:rsidR="00882EAA" w:rsidRPr="00882EAA">
        <w:rPr>
          <w:rFonts w:ascii="Times New Roman" w:hAnsi="Times New Roman" w:cs="Times New Roman"/>
          <w:sz w:val="24"/>
          <w:szCs w:val="24"/>
        </w:rPr>
        <w:t xml:space="preserve"> </w:t>
      </w:r>
      <w:r w:rsidR="001F6D28">
        <w:rPr>
          <w:rFonts w:ascii="Times New Roman" w:hAnsi="Times New Roman" w:cs="Times New Roman"/>
          <w:sz w:val="24"/>
          <w:szCs w:val="24"/>
        </w:rPr>
        <w:t>as in</w:t>
      </w:r>
      <w:r w:rsidR="00882EAA" w:rsidRPr="00882EAA">
        <w:rPr>
          <w:rFonts w:ascii="Times New Roman" w:hAnsi="Times New Roman" w:cs="Times New Roman"/>
          <w:sz w:val="24"/>
          <w:szCs w:val="24"/>
        </w:rPr>
        <w:t xml:space="preserve"> </w:t>
      </w:r>
      <w:r w:rsidR="00882EAA" w:rsidRPr="00882EAA">
        <w:rPr>
          <w:rFonts w:ascii="Times New Roman" w:hAnsi="Times New Roman" w:cs="Times New Roman"/>
          <w:i/>
          <w:iCs/>
          <w:sz w:val="24"/>
          <w:szCs w:val="24"/>
        </w:rPr>
        <w:t>Monthy (supra)</w:t>
      </w:r>
      <w:r w:rsidR="00A055B9">
        <w:rPr>
          <w:rFonts w:ascii="Times New Roman" w:hAnsi="Times New Roman" w:cs="Times New Roman"/>
          <w:i/>
          <w:iCs/>
          <w:sz w:val="24"/>
          <w:szCs w:val="24"/>
        </w:rPr>
        <w:t>,</w:t>
      </w:r>
      <w:r w:rsidR="00882EAA" w:rsidRPr="00882EAA">
        <w:rPr>
          <w:rFonts w:ascii="Times New Roman" w:hAnsi="Times New Roman" w:cs="Times New Roman"/>
          <w:i/>
          <w:iCs/>
          <w:sz w:val="24"/>
          <w:szCs w:val="24"/>
        </w:rPr>
        <w:t xml:space="preserve"> </w:t>
      </w:r>
      <w:r w:rsidR="00882EAA" w:rsidRPr="00882EAA">
        <w:rPr>
          <w:rFonts w:ascii="Times New Roman" w:hAnsi="Times New Roman" w:cs="Times New Roman"/>
          <w:sz w:val="24"/>
          <w:szCs w:val="24"/>
        </w:rPr>
        <w:t>that</w:t>
      </w:r>
      <w:r w:rsidR="009877D9" w:rsidRPr="00882EAA">
        <w:rPr>
          <w:rFonts w:ascii="Times New Roman" w:hAnsi="Times New Roman" w:cs="Times New Roman"/>
          <w:sz w:val="24"/>
          <w:szCs w:val="24"/>
        </w:rPr>
        <w:t xml:space="preserve"> the Agreement i</w:t>
      </w:r>
      <w:r w:rsidR="00882EAA" w:rsidRPr="00882EAA">
        <w:rPr>
          <w:rFonts w:ascii="Times New Roman" w:hAnsi="Times New Roman" w:cs="Times New Roman"/>
          <w:sz w:val="24"/>
          <w:szCs w:val="24"/>
        </w:rPr>
        <w:t>nvolved in the present appeal i</w:t>
      </w:r>
      <w:r w:rsidR="009877D9" w:rsidRPr="00882EAA">
        <w:rPr>
          <w:rFonts w:ascii="Times New Roman" w:hAnsi="Times New Roman" w:cs="Times New Roman"/>
          <w:sz w:val="24"/>
          <w:szCs w:val="24"/>
        </w:rPr>
        <w:t xml:space="preserve">s </w:t>
      </w:r>
      <w:r w:rsidR="001A16BA">
        <w:rPr>
          <w:rFonts w:ascii="Times New Roman" w:hAnsi="Times New Roman" w:cs="Times New Roman"/>
          <w:sz w:val="24"/>
          <w:szCs w:val="24"/>
        </w:rPr>
        <w:t xml:space="preserve">also </w:t>
      </w:r>
      <w:r w:rsidR="009877D9" w:rsidRPr="00882EAA">
        <w:rPr>
          <w:rFonts w:ascii="Times New Roman" w:hAnsi="Times New Roman" w:cs="Times New Roman"/>
          <w:sz w:val="24"/>
          <w:szCs w:val="24"/>
        </w:rPr>
        <w:t>null and void</w:t>
      </w:r>
      <w:r w:rsidR="000B7F8E" w:rsidRPr="00882EAA">
        <w:rPr>
          <w:rFonts w:ascii="Times New Roman" w:hAnsi="Times New Roman" w:cs="Times New Roman"/>
          <w:sz w:val="24"/>
          <w:szCs w:val="24"/>
        </w:rPr>
        <w:t xml:space="preserve"> </w:t>
      </w:r>
      <w:r w:rsidR="001A16BA">
        <w:rPr>
          <w:rFonts w:ascii="Times New Roman" w:hAnsi="Times New Roman" w:cs="Times New Roman"/>
          <w:sz w:val="24"/>
          <w:szCs w:val="24"/>
        </w:rPr>
        <w:t>for</w:t>
      </w:r>
      <w:r w:rsidR="000B7F8E" w:rsidRPr="00882EAA">
        <w:rPr>
          <w:rFonts w:ascii="Times New Roman" w:hAnsi="Times New Roman" w:cs="Times New Roman"/>
          <w:sz w:val="24"/>
          <w:szCs w:val="24"/>
        </w:rPr>
        <w:t xml:space="preserve"> lack of capacity</w:t>
      </w:r>
      <w:r w:rsidR="009877D9" w:rsidRPr="00882EAA">
        <w:rPr>
          <w:rFonts w:ascii="Times New Roman" w:hAnsi="Times New Roman" w:cs="Times New Roman"/>
          <w:sz w:val="24"/>
          <w:szCs w:val="24"/>
        </w:rPr>
        <w:t>.</w:t>
      </w:r>
    </w:p>
    <w:p w14:paraId="4174886F" w14:textId="77777777" w:rsidR="009877D9" w:rsidRPr="00882EAA" w:rsidRDefault="009877D9" w:rsidP="00882EAA">
      <w:pPr>
        <w:spacing w:line="360" w:lineRule="auto"/>
        <w:jc w:val="both"/>
        <w:rPr>
          <w:i/>
          <w:iCs/>
        </w:rPr>
      </w:pPr>
    </w:p>
    <w:p w14:paraId="4FF16CC1" w14:textId="04AB3D33" w:rsidR="000B7F8E" w:rsidRPr="00882EAA" w:rsidRDefault="001F6D28" w:rsidP="00911B9A">
      <w:pPr>
        <w:pStyle w:val="ListParagraph"/>
        <w:numPr>
          <w:ilvl w:val="0"/>
          <w:numId w:val="12"/>
        </w:numPr>
        <w:spacing w:after="0" w:line="36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 xml:space="preserve">According to the Respondent’s submission, the essence of the appeal is </w:t>
      </w:r>
      <w:r w:rsidR="00DD38F3" w:rsidRPr="00882EAA">
        <w:rPr>
          <w:rFonts w:ascii="Times New Roman" w:hAnsi="Times New Roman" w:cs="Times New Roman"/>
          <w:sz w:val="24"/>
          <w:szCs w:val="24"/>
        </w:rPr>
        <w:t xml:space="preserve">capacity to enter into </w:t>
      </w:r>
      <w:r>
        <w:rPr>
          <w:rFonts w:ascii="Times New Roman" w:hAnsi="Times New Roman" w:cs="Times New Roman"/>
          <w:sz w:val="24"/>
          <w:szCs w:val="24"/>
        </w:rPr>
        <w:t>the A</w:t>
      </w:r>
      <w:r w:rsidR="00DD38F3" w:rsidRPr="00882EAA">
        <w:rPr>
          <w:rFonts w:ascii="Times New Roman" w:hAnsi="Times New Roman" w:cs="Times New Roman"/>
          <w:sz w:val="24"/>
          <w:szCs w:val="24"/>
        </w:rPr>
        <w:t xml:space="preserve">greement and to file </w:t>
      </w:r>
      <w:r>
        <w:rPr>
          <w:rFonts w:ascii="Times New Roman" w:hAnsi="Times New Roman" w:cs="Times New Roman"/>
          <w:sz w:val="24"/>
          <w:szCs w:val="24"/>
        </w:rPr>
        <w:t xml:space="preserve">a </w:t>
      </w:r>
      <w:r w:rsidR="00DD38F3" w:rsidRPr="00882EAA">
        <w:rPr>
          <w:rFonts w:ascii="Times New Roman" w:hAnsi="Times New Roman" w:cs="Times New Roman"/>
          <w:sz w:val="24"/>
          <w:szCs w:val="24"/>
        </w:rPr>
        <w:t xml:space="preserve">case before the </w:t>
      </w:r>
      <w:r>
        <w:rPr>
          <w:rFonts w:ascii="Times New Roman" w:hAnsi="Times New Roman" w:cs="Times New Roman"/>
          <w:sz w:val="24"/>
          <w:szCs w:val="24"/>
        </w:rPr>
        <w:t>R</w:t>
      </w:r>
      <w:r w:rsidR="00DD38F3" w:rsidRPr="00882EAA">
        <w:rPr>
          <w:rFonts w:ascii="Times New Roman" w:hAnsi="Times New Roman" w:cs="Times New Roman"/>
          <w:sz w:val="24"/>
          <w:szCs w:val="24"/>
        </w:rPr>
        <w:t xml:space="preserve">ent </w:t>
      </w:r>
      <w:r>
        <w:rPr>
          <w:rFonts w:ascii="Times New Roman" w:hAnsi="Times New Roman" w:cs="Times New Roman"/>
          <w:sz w:val="24"/>
          <w:szCs w:val="24"/>
        </w:rPr>
        <w:t>B</w:t>
      </w:r>
      <w:r w:rsidR="00DD38F3" w:rsidRPr="00882EAA">
        <w:rPr>
          <w:rFonts w:ascii="Times New Roman" w:hAnsi="Times New Roman" w:cs="Times New Roman"/>
          <w:sz w:val="24"/>
          <w:szCs w:val="24"/>
        </w:rPr>
        <w:t xml:space="preserve">oard. </w:t>
      </w:r>
      <w:r>
        <w:rPr>
          <w:rFonts w:ascii="Times New Roman" w:hAnsi="Times New Roman" w:cs="Times New Roman"/>
          <w:sz w:val="24"/>
          <w:szCs w:val="24"/>
        </w:rPr>
        <w:t xml:space="preserve">The tenancy between the parties is created under the Agreement and, at the very least, </w:t>
      </w:r>
      <w:r w:rsidRPr="00882EAA">
        <w:rPr>
          <w:rFonts w:ascii="Times New Roman" w:hAnsi="Times New Roman" w:cs="Times New Roman"/>
          <w:sz w:val="24"/>
          <w:szCs w:val="24"/>
        </w:rPr>
        <w:t>is</w:t>
      </w:r>
      <w:r w:rsidR="00DD38F3" w:rsidRPr="00882EAA">
        <w:rPr>
          <w:rFonts w:ascii="Times New Roman" w:hAnsi="Times New Roman" w:cs="Times New Roman"/>
          <w:sz w:val="24"/>
          <w:szCs w:val="24"/>
        </w:rPr>
        <w:t xml:space="preserve"> </w:t>
      </w:r>
      <w:r w:rsidR="00F55CB1" w:rsidRPr="00882EAA">
        <w:rPr>
          <w:rFonts w:ascii="Times New Roman" w:hAnsi="Times New Roman" w:cs="Times New Roman"/>
          <w:sz w:val="24"/>
          <w:szCs w:val="24"/>
        </w:rPr>
        <w:t>to be inferred from the</w:t>
      </w:r>
      <w:r w:rsidR="00DD38F3" w:rsidRPr="00882EAA">
        <w:rPr>
          <w:rFonts w:ascii="Times New Roman" w:hAnsi="Times New Roman" w:cs="Times New Roman"/>
          <w:sz w:val="24"/>
          <w:szCs w:val="24"/>
        </w:rPr>
        <w:t xml:space="preserve"> definition of lease, lessee and lessor</w:t>
      </w:r>
      <w:r w:rsidR="00F55CB1" w:rsidRPr="00882EAA">
        <w:rPr>
          <w:rFonts w:ascii="Times New Roman" w:hAnsi="Times New Roman" w:cs="Times New Roman"/>
          <w:sz w:val="24"/>
          <w:szCs w:val="24"/>
        </w:rPr>
        <w:t xml:space="preserve"> under section 2 of the Control of Rent and Tenancy Agreements Act</w:t>
      </w:r>
      <w:r w:rsidR="00882EAA" w:rsidRPr="00882EAA">
        <w:rPr>
          <w:rFonts w:ascii="Times New Roman" w:hAnsi="Times New Roman" w:cs="Times New Roman"/>
          <w:sz w:val="24"/>
          <w:szCs w:val="24"/>
        </w:rPr>
        <w:t xml:space="preserve"> as has rightly been found by the Rent Board.</w:t>
      </w:r>
    </w:p>
    <w:p w14:paraId="63154891" w14:textId="77777777" w:rsidR="00F55CB1" w:rsidRPr="00882EAA" w:rsidRDefault="00F55CB1" w:rsidP="00F55CB1">
      <w:pPr>
        <w:pStyle w:val="ListParagraph"/>
        <w:spacing w:after="0" w:line="360" w:lineRule="auto"/>
        <w:jc w:val="both"/>
        <w:rPr>
          <w:rFonts w:ascii="Times New Roman" w:hAnsi="Times New Roman" w:cs="Times New Roman"/>
          <w:i/>
          <w:iCs/>
          <w:sz w:val="24"/>
          <w:szCs w:val="24"/>
        </w:rPr>
      </w:pPr>
    </w:p>
    <w:p w14:paraId="668005CD" w14:textId="5178CEA2" w:rsidR="00F55CB1" w:rsidRPr="00882EAA" w:rsidRDefault="00F55CB1" w:rsidP="00911B9A">
      <w:pPr>
        <w:pStyle w:val="ListParagraph"/>
        <w:numPr>
          <w:ilvl w:val="0"/>
          <w:numId w:val="12"/>
        </w:numPr>
        <w:spacing w:after="0" w:line="360" w:lineRule="auto"/>
        <w:ind w:left="720" w:hanging="720"/>
        <w:jc w:val="both"/>
        <w:rPr>
          <w:rFonts w:ascii="Times New Roman" w:hAnsi="Times New Roman" w:cs="Times New Roman"/>
          <w:i/>
          <w:iCs/>
          <w:sz w:val="24"/>
          <w:szCs w:val="24"/>
        </w:rPr>
      </w:pPr>
      <w:r w:rsidRPr="00882EAA">
        <w:rPr>
          <w:rFonts w:ascii="Times New Roman" w:hAnsi="Times New Roman" w:cs="Times New Roman"/>
          <w:sz w:val="24"/>
          <w:szCs w:val="24"/>
        </w:rPr>
        <w:t xml:space="preserve">The Respondent </w:t>
      </w:r>
      <w:r w:rsidR="001F6D28">
        <w:rPr>
          <w:rFonts w:ascii="Times New Roman" w:hAnsi="Times New Roman" w:cs="Times New Roman"/>
          <w:sz w:val="24"/>
          <w:szCs w:val="24"/>
        </w:rPr>
        <w:t xml:space="preserve">also </w:t>
      </w:r>
      <w:r w:rsidRPr="00882EAA">
        <w:rPr>
          <w:rFonts w:ascii="Times New Roman" w:hAnsi="Times New Roman" w:cs="Times New Roman"/>
          <w:sz w:val="24"/>
          <w:szCs w:val="24"/>
        </w:rPr>
        <w:t xml:space="preserve">emphasised that despite repudiating the </w:t>
      </w:r>
      <w:r w:rsidR="001F6D28">
        <w:rPr>
          <w:rFonts w:ascii="Times New Roman" w:hAnsi="Times New Roman" w:cs="Times New Roman"/>
          <w:sz w:val="24"/>
          <w:szCs w:val="24"/>
        </w:rPr>
        <w:t>A</w:t>
      </w:r>
      <w:r w:rsidRPr="00882EAA">
        <w:rPr>
          <w:rFonts w:ascii="Times New Roman" w:hAnsi="Times New Roman" w:cs="Times New Roman"/>
          <w:sz w:val="24"/>
          <w:szCs w:val="24"/>
        </w:rPr>
        <w:t xml:space="preserve">greement, the Appellants have acted in line with it until </w:t>
      </w:r>
      <w:r w:rsidR="001F6D28">
        <w:rPr>
          <w:rFonts w:ascii="Times New Roman" w:hAnsi="Times New Roman" w:cs="Times New Roman"/>
          <w:sz w:val="24"/>
          <w:szCs w:val="24"/>
        </w:rPr>
        <w:t xml:space="preserve">the </w:t>
      </w:r>
      <w:r w:rsidRPr="00882EAA">
        <w:rPr>
          <w:rFonts w:ascii="Times New Roman" w:hAnsi="Times New Roman" w:cs="Times New Roman"/>
          <w:sz w:val="24"/>
          <w:szCs w:val="24"/>
        </w:rPr>
        <w:t xml:space="preserve">rental payment set off period ended, and rent became due and payable under the </w:t>
      </w:r>
      <w:r w:rsidR="001A16BA">
        <w:rPr>
          <w:rFonts w:ascii="Times New Roman" w:hAnsi="Times New Roman" w:cs="Times New Roman"/>
          <w:sz w:val="24"/>
          <w:szCs w:val="24"/>
        </w:rPr>
        <w:t>A</w:t>
      </w:r>
      <w:r w:rsidRPr="00882EAA">
        <w:rPr>
          <w:rFonts w:ascii="Times New Roman" w:hAnsi="Times New Roman" w:cs="Times New Roman"/>
          <w:sz w:val="24"/>
          <w:szCs w:val="24"/>
        </w:rPr>
        <w:t xml:space="preserve">greement. They complied with the process to calculate the rental set off period by providing receipts of their expenses, confirming the amount that they paid and confirming that this amounted to 36 months of rent. They provided the receipts for this to be calculated and no objections were </w:t>
      </w:r>
      <w:r w:rsidR="00882EAA" w:rsidRPr="00882EAA">
        <w:rPr>
          <w:rFonts w:ascii="Times New Roman" w:hAnsi="Times New Roman" w:cs="Times New Roman"/>
          <w:sz w:val="24"/>
          <w:szCs w:val="24"/>
        </w:rPr>
        <w:t>taken,</w:t>
      </w:r>
      <w:r w:rsidRPr="00882EAA">
        <w:rPr>
          <w:rFonts w:ascii="Times New Roman" w:hAnsi="Times New Roman" w:cs="Times New Roman"/>
          <w:sz w:val="24"/>
          <w:szCs w:val="24"/>
        </w:rPr>
        <w:t xml:space="preserve"> and this affirms their acceptance of the terms of the </w:t>
      </w:r>
      <w:r w:rsidR="001A16BA" w:rsidRPr="00882EAA">
        <w:rPr>
          <w:rFonts w:ascii="Times New Roman" w:hAnsi="Times New Roman" w:cs="Times New Roman"/>
          <w:sz w:val="24"/>
          <w:szCs w:val="24"/>
        </w:rPr>
        <w:t>1</w:t>
      </w:r>
      <w:r w:rsidR="005D38D9" w:rsidRPr="005D38D9">
        <w:rPr>
          <w:rFonts w:ascii="Times New Roman" w:hAnsi="Times New Roman" w:cs="Times New Roman"/>
          <w:sz w:val="24"/>
          <w:szCs w:val="24"/>
          <w:vertAlign w:val="superscript"/>
        </w:rPr>
        <w:t>st</w:t>
      </w:r>
      <w:r w:rsidR="005D38D9">
        <w:rPr>
          <w:rFonts w:ascii="Times New Roman" w:hAnsi="Times New Roman" w:cs="Times New Roman"/>
          <w:sz w:val="24"/>
          <w:szCs w:val="24"/>
        </w:rPr>
        <w:t xml:space="preserve"> </w:t>
      </w:r>
      <w:r w:rsidR="001A16BA" w:rsidRPr="00882EAA">
        <w:rPr>
          <w:rFonts w:ascii="Times New Roman" w:hAnsi="Times New Roman" w:cs="Times New Roman"/>
          <w:sz w:val="24"/>
          <w:szCs w:val="24"/>
        </w:rPr>
        <w:t>of</w:t>
      </w:r>
      <w:r w:rsidRPr="00882EAA">
        <w:rPr>
          <w:rFonts w:ascii="Times New Roman" w:hAnsi="Times New Roman" w:cs="Times New Roman"/>
          <w:sz w:val="24"/>
          <w:szCs w:val="24"/>
        </w:rPr>
        <w:t xml:space="preserve"> August 2017 agreement. </w:t>
      </w:r>
    </w:p>
    <w:p w14:paraId="581EA44C" w14:textId="77777777" w:rsidR="00F55CB1" w:rsidRPr="00882EAA" w:rsidRDefault="00F55CB1" w:rsidP="00F55CB1">
      <w:pPr>
        <w:pStyle w:val="ListParagraph"/>
        <w:rPr>
          <w:rFonts w:ascii="Times New Roman" w:hAnsi="Times New Roman" w:cs="Times New Roman"/>
          <w:i/>
          <w:iCs/>
          <w:sz w:val="24"/>
          <w:szCs w:val="24"/>
        </w:rPr>
      </w:pPr>
    </w:p>
    <w:p w14:paraId="153973DD" w14:textId="0D55CD85" w:rsidR="00F55CB1" w:rsidRPr="00882EAA" w:rsidRDefault="00F55CB1" w:rsidP="00F55CB1">
      <w:pPr>
        <w:pStyle w:val="ListParagraph"/>
        <w:numPr>
          <w:ilvl w:val="0"/>
          <w:numId w:val="12"/>
        </w:numPr>
        <w:spacing w:after="0" w:line="360" w:lineRule="auto"/>
        <w:ind w:left="720" w:hanging="720"/>
        <w:jc w:val="both"/>
        <w:rPr>
          <w:rFonts w:ascii="Times New Roman" w:hAnsi="Times New Roman" w:cs="Times New Roman"/>
          <w:i/>
          <w:iCs/>
          <w:sz w:val="24"/>
          <w:szCs w:val="24"/>
        </w:rPr>
      </w:pPr>
      <w:r w:rsidRPr="00882EAA">
        <w:rPr>
          <w:rFonts w:ascii="Times New Roman" w:hAnsi="Times New Roman" w:cs="Times New Roman"/>
          <w:sz w:val="24"/>
          <w:szCs w:val="24"/>
        </w:rPr>
        <w:t xml:space="preserve">In determining whether the </w:t>
      </w:r>
      <w:r w:rsidR="001A16BA">
        <w:rPr>
          <w:rFonts w:ascii="Times New Roman" w:hAnsi="Times New Roman" w:cs="Times New Roman"/>
          <w:sz w:val="24"/>
          <w:szCs w:val="24"/>
        </w:rPr>
        <w:t>r</w:t>
      </w:r>
      <w:r w:rsidRPr="00882EAA">
        <w:rPr>
          <w:rFonts w:ascii="Times New Roman" w:hAnsi="Times New Roman" w:cs="Times New Roman"/>
          <w:sz w:val="24"/>
          <w:szCs w:val="24"/>
        </w:rPr>
        <w:t xml:space="preserve">espondent had legal capacity to bring proceedings before the </w:t>
      </w:r>
      <w:r w:rsidR="001A16BA">
        <w:rPr>
          <w:rFonts w:ascii="Times New Roman" w:hAnsi="Times New Roman" w:cs="Times New Roman"/>
          <w:sz w:val="24"/>
          <w:szCs w:val="24"/>
        </w:rPr>
        <w:t>R</w:t>
      </w:r>
      <w:r w:rsidRPr="00882EAA">
        <w:rPr>
          <w:rFonts w:ascii="Times New Roman" w:hAnsi="Times New Roman" w:cs="Times New Roman"/>
          <w:sz w:val="24"/>
          <w:szCs w:val="24"/>
        </w:rPr>
        <w:t xml:space="preserve">ent </w:t>
      </w:r>
      <w:r w:rsidR="001A16BA">
        <w:rPr>
          <w:rFonts w:ascii="Times New Roman" w:hAnsi="Times New Roman" w:cs="Times New Roman"/>
          <w:sz w:val="24"/>
          <w:szCs w:val="24"/>
        </w:rPr>
        <w:t>B</w:t>
      </w:r>
      <w:r w:rsidRPr="00882EAA">
        <w:rPr>
          <w:rFonts w:ascii="Times New Roman" w:hAnsi="Times New Roman" w:cs="Times New Roman"/>
          <w:sz w:val="24"/>
          <w:szCs w:val="24"/>
        </w:rPr>
        <w:t xml:space="preserve">oard, the </w:t>
      </w:r>
      <w:r w:rsidR="001A16BA">
        <w:rPr>
          <w:rFonts w:ascii="Times New Roman" w:hAnsi="Times New Roman" w:cs="Times New Roman"/>
          <w:sz w:val="24"/>
          <w:szCs w:val="24"/>
        </w:rPr>
        <w:t>C</w:t>
      </w:r>
      <w:r w:rsidRPr="00882EAA">
        <w:rPr>
          <w:rFonts w:ascii="Times New Roman" w:hAnsi="Times New Roman" w:cs="Times New Roman"/>
          <w:sz w:val="24"/>
          <w:szCs w:val="24"/>
        </w:rPr>
        <w:t>ourt should have regard to the powers and jurisdiction of the Rent Board.</w:t>
      </w:r>
    </w:p>
    <w:p w14:paraId="20443CAD" w14:textId="77777777" w:rsidR="00F55CB1" w:rsidRPr="00882EAA" w:rsidRDefault="00F55CB1" w:rsidP="00F55CB1">
      <w:pPr>
        <w:pStyle w:val="ListParagraph"/>
        <w:rPr>
          <w:rFonts w:ascii="Times New Roman" w:hAnsi="Times New Roman" w:cs="Times New Roman"/>
          <w:i/>
          <w:iCs/>
          <w:sz w:val="24"/>
          <w:szCs w:val="24"/>
        </w:rPr>
      </w:pPr>
    </w:p>
    <w:p w14:paraId="4E0E93AD" w14:textId="6EDF30BB" w:rsidR="00F55CB1" w:rsidRPr="00882EAA" w:rsidRDefault="00F55CB1" w:rsidP="00F55CB1">
      <w:pPr>
        <w:pStyle w:val="ListParagraph"/>
        <w:numPr>
          <w:ilvl w:val="0"/>
          <w:numId w:val="12"/>
        </w:numPr>
        <w:spacing w:after="0" w:line="360" w:lineRule="auto"/>
        <w:ind w:left="720" w:hanging="720"/>
        <w:jc w:val="both"/>
        <w:rPr>
          <w:rFonts w:ascii="Times New Roman" w:hAnsi="Times New Roman" w:cs="Times New Roman"/>
          <w:i/>
          <w:iCs/>
          <w:sz w:val="24"/>
          <w:szCs w:val="24"/>
        </w:rPr>
      </w:pPr>
      <w:r w:rsidRPr="00882EAA">
        <w:rPr>
          <w:rFonts w:ascii="Times New Roman" w:hAnsi="Times New Roman" w:cs="Times New Roman"/>
          <w:sz w:val="24"/>
          <w:szCs w:val="24"/>
        </w:rPr>
        <w:t xml:space="preserve">The facts of the case indicate that at the very least the Respondent was a lessor as per the definition section of the </w:t>
      </w:r>
      <w:r w:rsidR="00882EAA" w:rsidRPr="00882EAA">
        <w:rPr>
          <w:rFonts w:ascii="Times New Roman" w:hAnsi="Times New Roman" w:cs="Times New Roman"/>
          <w:sz w:val="24"/>
          <w:szCs w:val="24"/>
        </w:rPr>
        <w:t xml:space="preserve">Control of Rent and Tenancy Agreements </w:t>
      </w:r>
      <w:r w:rsidRPr="00882EAA">
        <w:rPr>
          <w:rFonts w:ascii="Times New Roman" w:hAnsi="Times New Roman" w:cs="Times New Roman"/>
          <w:sz w:val="24"/>
          <w:szCs w:val="24"/>
        </w:rPr>
        <w:t>Act in that she allowed the Appellants to use the occupation of the dwelling house. I</w:t>
      </w:r>
      <w:r w:rsidR="00882EAA" w:rsidRPr="00882EAA">
        <w:rPr>
          <w:rFonts w:ascii="Times New Roman" w:hAnsi="Times New Roman" w:cs="Times New Roman"/>
          <w:sz w:val="24"/>
          <w:szCs w:val="24"/>
        </w:rPr>
        <w:t>n</w:t>
      </w:r>
      <w:r w:rsidRPr="00882EAA">
        <w:rPr>
          <w:rFonts w:ascii="Times New Roman" w:hAnsi="Times New Roman" w:cs="Times New Roman"/>
          <w:sz w:val="24"/>
          <w:szCs w:val="24"/>
        </w:rPr>
        <w:t xml:space="preserve"> the alternative</w:t>
      </w:r>
      <w:r w:rsidR="00882EAA" w:rsidRPr="00882EAA">
        <w:rPr>
          <w:rFonts w:ascii="Times New Roman" w:hAnsi="Times New Roman" w:cs="Times New Roman"/>
          <w:sz w:val="24"/>
          <w:szCs w:val="24"/>
        </w:rPr>
        <w:t>,</w:t>
      </w:r>
      <w:r w:rsidRPr="00882EAA">
        <w:rPr>
          <w:rFonts w:ascii="Times New Roman" w:hAnsi="Times New Roman" w:cs="Times New Roman"/>
          <w:sz w:val="24"/>
          <w:szCs w:val="24"/>
        </w:rPr>
        <w:t xml:space="preserve"> that she derived title from the late Mr Philip Vital. In the same way, the Appellants are lessees by the mere fact that they enjoy the use and occupation of the dwelling house.</w:t>
      </w:r>
    </w:p>
    <w:p w14:paraId="3112D7DC" w14:textId="77777777" w:rsidR="00E100BA" w:rsidRPr="00E100BA" w:rsidRDefault="00E100BA" w:rsidP="00E100BA">
      <w:pPr>
        <w:pStyle w:val="ListParagraph"/>
        <w:rPr>
          <w:rFonts w:ascii="Times New Roman" w:hAnsi="Times New Roman" w:cs="Times New Roman"/>
          <w:i/>
          <w:iCs/>
        </w:rPr>
      </w:pPr>
    </w:p>
    <w:p w14:paraId="123C5EF0" w14:textId="2D07A27F" w:rsidR="00E100BA" w:rsidRPr="00A055B9" w:rsidRDefault="00E100BA" w:rsidP="00E100BA">
      <w:pPr>
        <w:spacing w:line="360" w:lineRule="auto"/>
        <w:jc w:val="both"/>
        <w:rPr>
          <w:i/>
          <w:iCs/>
        </w:rPr>
      </w:pPr>
      <w:r w:rsidRPr="00E100BA">
        <w:rPr>
          <w:i/>
          <w:iCs/>
        </w:rPr>
        <w:lastRenderedPageBreak/>
        <w:t>Law and Analysis</w:t>
      </w:r>
      <w:r w:rsidR="00A055B9">
        <w:rPr>
          <w:i/>
          <w:iCs/>
        </w:rPr>
        <w:t xml:space="preserve">  </w:t>
      </w:r>
    </w:p>
    <w:p w14:paraId="4A180CA9" w14:textId="77777777" w:rsidR="00882EAA" w:rsidRPr="00A055B9" w:rsidRDefault="00882EAA" w:rsidP="00E100BA">
      <w:pPr>
        <w:spacing w:line="360" w:lineRule="auto"/>
        <w:jc w:val="both"/>
        <w:rPr>
          <w:i/>
          <w:iCs/>
        </w:rPr>
      </w:pPr>
    </w:p>
    <w:p w14:paraId="51E1C86E" w14:textId="77777777" w:rsidR="00E100BA" w:rsidRPr="00E100BA" w:rsidRDefault="00E100BA" w:rsidP="00E100BA">
      <w:pPr>
        <w:pStyle w:val="ListParagraph"/>
        <w:rPr>
          <w:rFonts w:ascii="Times New Roman" w:hAnsi="Times New Roman" w:cs="Times New Roman"/>
          <w:i/>
          <w:iCs/>
        </w:rPr>
      </w:pPr>
    </w:p>
    <w:p w14:paraId="1B996147" w14:textId="4AD39E16" w:rsidR="00882EAA" w:rsidRPr="00473C71" w:rsidRDefault="0040063C" w:rsidP="00473C71">
      <w:pPr>
        <w:pStyle w:val="ListParagraph"/>
        <w:numPr>
          <w:ilvl w:val="0"/>
          <w:numId w:val="12"/>
        </w:numPr>
        <w:spacing w:after="0" w:line="360" w:lineRule="auto"/>
        <w:ind w:left="720" w:hanging="720"/>
        <w:jc w:val="both"/>
        <w:rPr>
          <w:rFonts w:ascii="Times New Roman" w:hAnsi="Times New Roman" w:cs="Times New Roman"/>
          <w:i/>
          <w:iCs/>
          <w:sz w:val="24"/>
          <w:szCs w:val="24"/>
        </w:rPr>
      </w:pPr>
      <w:r w:rsidRPr="00882EAA">
        <w:rPr>
          <w:rFonts w:ascii="Times New Roman" w:hAnsi="Times New Roman" w:cs="Times New Roman"/>
          <w:sz w:val="24"/>
          <w:szCs w:val="24"/>
        </w:rPr>
        <w:t xml:space="preserve">The Civil Code of Seychelles Act, 2020 (hereinafter </w:t>
      </w:r>
      <w:r w:rsidR="00882EAA" w:rsidRPr="00882EAA">
        <w:rPr>
          <w:rFonts w:ascii="Times New Roman" w:hAnsi="Times New Roman" w:cs="Times New Roman"/>
          <w:sz w:val="24"/>
          <w:szCs w:val="24"/>
        </w:rPr>
        <w:t xml:space="preserve">referred to as </w:t>
      </w:r>
      <w:r w:rsidRPr="00882EAA">
        <w:rPr>
          <w:rFonts w:ascii="Times New Roman" w:hAnsi="Times New Roman" w:cs="Times New Roman"/>
          <w:sz w:val="24"/>
          <w:szCs w:val="24"/>
        </w:rPr>
        <w:t xml:space="preserve">the “Civil Code”) </w:t>
      </w:r>
      <w:r w:rsidR="00A055B9">
        <w:rPr>
          <w:rFonts w:ascii="Times New Roman" w:hAnsi="Times New Roman" w:cs="Times New Roman"/>
          <w:sz w:val="24"/>
          <w:szCs w:val="24"/>
        </w:rPr>
        <w:t xml:space="preserve">stipulates </w:t>
      </w:r>
      <w:r w:rsidR="00882EAA" w:rsidRPr="00882EAA">
        <w:rPr>
          <w:rFonts w:ascii="Times New Roman" w:hAnsi="Times New Roman" w:cs="Times New Roman"/>
          <w:sz w:val="24"/>
          <w:szCs w:val="24"/>
        </w:rPr>
        <w:t xml:space="preserve">that a </w:t>
      </w:r>
      <w:r w:rsidR="00473C71">
        <w:rPr>
          <w:rFonts w:ascii="Times New Roman" w:hAnsi="Times New Roman" w:cs="Times New Roman"/>
          <w:sz w:val="24"/>
          <w:szCs w:val="24"/>
        </w:rPr>
        <w:t xml:space="preserve">valid </w:t>
      </w:r>
      <w:r w:rsidR="00882EAA" w:rsidRPr="00882EAA">
        <w:rPr>
          <w:rFonts w:ascii="Times New Roman" w:hAnsi="Times New Roman" w:cs="Times New Roman"/>
          <w:sz w:val="24"/>
          <w:szCs w:val="24"/>
        </w:rPr>
        <w:t>contract must fulfil 4 essential conditions</w:t>
      </w:r>
      <w:r w:rsidR="00473C71">
        <w:rPr>
          <w:rFonts w:ascii="Times New Roman" w:hAnsi="Times New Roman" w:cs="Times New Roman"/>
          <w:sz w:val="24"/>
          <w:szCs w:val="24"/>
        </w:rPr>
        <w:t>.</w:t>
      </w:r>
      <w:r w:rsidR="00882EAA">
        <w:rPr>
          <w:rFonts w:ascii="Times New Roman" w:hAnsi="Times New Roman" w:cs="Times New Roman"/>
          <w:sz w:val="24"/>
          <w:szCs w:val="24"/>
        </w:rPr>
        <w:t xml:space="preserve"> </w:t>
      </w:r>
      <w:r w:rsidR="00882EAA" w:rsidRPr="00473C71">
        <w:rPr>
          <w:rFonts w:ascii="Times New Roman" w:hAnsi="Times New Roman" w:cs="Times New Roman"/>
          <w:sz w:val="24"/>
          <w:szCs w:val="24"/>
        </w:rPr>
        <w:t xml:space="preserve">Thus, Article 1108 of the Civil Code </w:t>
      </w:r>
      <w:r w:rsidR="00A055B9">
        <w:rPr>
          <w:rFonts w:ascii="Times New Roman" w:hAnsi="Times New Roman" w:cs="Times New Roman"/>
          <w:sz w:val="24"/>
          <w:szCs w:val="24"/>
        </w:rPr>
        <w:t xml:space="preserve">provides that </w:t>
      </w:r>
      <w:r w:rsidR="00882EAA" w:rsidRPr="00473C71">
        <w:t>—</w:t>
      </w:r>
    </w:p>
    <w:p w14:paraId="0A82C069" w14:textId="77777777" w:rsidR="00882EAA" w:rsidRPr="00A055B9" w:rsidRDefault="00882EAA" w:rsidP="001F6D28">
      <w:pPr>
        <w:pStyle w:val="Heading2"/>
        <w:spacing w:before="0" w:beforeAutospacing="0" w:after="0" w:afterAutospacing="0" w:line="276" w:lineRule="auto"/>
        <w:ind w:right="855"/>
        <w:rPr>
          <w:i/>
          <w:iCs/>
          <w:color w:val="212529"/>
          <w:sz w:val="22"/>
          <w:szCs w:val="22"/>
        </w:rPr>
      </w:pPr>
    </w:p>
    <w:p w14:paraId="50F200A0" w14:textId="7F0280EC" w:rsidR="00570915" w:rsidRPr="00A055B9" w:rsidRDefault="00882EAA" w:rsidP="001F6D28">
      <w:pPr>
        <w:pStyle w:val="Heading2"/>
        <w:spacing w:before="0" w:beforeAutospacing="0" w:after="0" w:afterAutospacing="0" w:line="360" w:lineRule="auto"/>
        <w:ind w:left="1134" w:right="855"/>
        <w:rPr>
          <w:b w:val="0"/>
          <w:bCs w:val="0"/>
          <w:i/>
          <w:iCs/>
          <w:color w:val="212529"/>
          <w:sz w:val="22"/>
          <w:szCs w:val="22"/>
        </w:rPr>
      </w:pPr>
      <w:r w:rsidRPr="00A055B9">
        <w:rPr>
          <w:i/>
          <w:iCs/>
          <w:color w:val="212529"/>
          <w:sz w:val="22"/>
          <w:szCs w:val="22"/>
        </w:rPr>
        <w:t xml:space="preserve">“1108.  </w:t>
      </w:r>
      <w:r w:rsidR="00570915" w:rsidRPr="00A055B9">
        <w:rPr>
          <w:b w:val="0"/>
          <w:bCs w:val="0"/>
          <w:i/>
          <w:iCs/>
          <w:color w:val="212529"/>
          <w:sz w:val="22"/>
          <w:szCs w:val="22"/>
        </w:rPr>
        <w:t>Four conditions are required for a contract to be valid</w:t>
      </w:r>
      <w:r w:rsidRPr="00A055B9">
        <w:rPr>
          <w:b w:val="0"/>
          <w:bCs w:val="0"/>
          <w:i/>
          <w:iCs/>
          <w:color w:val="212529"/>
          <w:sz w:val="22"/>
          <w:szCs w:val="22"/>
        </w:rPr>
        <w:t xml:space="preserve"> </w:t>
      </w:r>
      <w:r w:rsidR="00570915" w:rsidRPr="00A055B9">
        <w:rPr>
          <w:b w:val="0"/>
          <w:bCs w:val="0"/>
          <w:i/>
          <w:iCs/>
          <w:color w:val="212529"/>
          <w:sz w:val="22"/>
          <w:szCs w:val="22"/>
        </w:rPr>
        <w:t>—</w:t>
      </w:r>
    </w:p>
    <w:p w14:paraId="299B3D3D" w14:textId="77777777" w:rsidR="00570915" w:rsidRPr="00A055B9" w:rsidRDefault="00570915" w:rsidP="001F6D28">
      <w:pPr>
        <w:spacing w:line="360" w:lineRule="auto"/>
        <w:ind w:left="1134" w:right="855"/>
        <w:jc w:val="both"/>
        <w:rPr>
          <w:i/>
          <w:iCs/>
          <w:sz w:val="22"/>
          <w:szCs w:val="22"/>
        </w:rPr>
      </w:pPr>
      <w:r w:rsidRPr="00A055B9">
        <w:rPr>
          <w:i/>
          <w:iCs/>
          <w:sz w:val="22"/>
          <w:szCs w:val="22"/>
        </w:rPr>
        <w:t>(a)The consent of the party who binds him or herself,</w:t>
      </w:r>
    </w:p>
    <w:p w14:paraId="7A7FB829" w14:textId="77777777" w:rsidR="00570915" w:rsidRPr="00A055B9" w:rsidRDefault="00570915" w:rsidP="001F6D28">
      <w:pPr>
        <w:spacing w:line="360" w:lineRule="auto"/>
        <w:ind w:left="1134" w:right="855"/>
        <w:jc w:val="both"/>
        <w:rPr>
          <w:i/>
          <w:iCs/>
          <w:sz w:val="22"/>
          <w:szCs w:val="22"/>
        </w:rPr>
      </w:pPr>
      <w:r w:rsidRPr="00A055B9">
        <w:rPr>
          <w:i/>
          <w:iCs/>
          <w:sz w:val="22"/>
          <w:szCs w:val="22"/>
        </w:rPr>
        <w:t>(b)His or her capacity to enter into a contract,</w:t>
      </w:r>
    </w:p>
    <w:p w14:paraId="0632E168" w14:textId="77777777" w:rsidR="00570915" w:rsidRPr="00A055B9" w:rsidRDefault="00570915" w:rsidP="001F6D28">
      <w:pPr>
        <w:spacing w:line="360" w:lineRule="auto"/>
        <w:ind w:left="1134" w:right="855"/>
        <w:jc w:val="both"/>
        <w:rPr>
          <w:i/>
          <w:iCs/>
          <w:sz w:val="22"/>
          <w:szCs w:val="22"/>
        </w:rPr>
      </w:pPr>
      <w:r w:rsidRPr="00A055B9">
        <w:rPr>
          <w:i/>
          <w:iCs/>
          <w:sz w:val="22"/>
          <w:szCs w:val="22"/>
        </w:rPr>
        <w:t>(c)A definite object (objet certain) which forms part of the contract, and</w:t>
      </w:r>
    </w:p>
    <w:p w14:paraId="32E1CC77" w14:textId="636A47A2" w:rsidR="00570915" w:rsidRPr="00A055B9" w:rsidRDefault="00570915" w:rsidP="001F6D28">
      <w:pPr>
        <w:spacing w:line="360" w:lineRule="auto"/>
        <w:ind w:left="1134" w:right="855"/>
        <w:jc w:val="both"/>
        <w:rPr>
          <w:i/>
          <w:iCs/>
          <w:sz w:val="22"/>
          <w:szCs w:val="22"/>
        </w:rPr>
      </w:pPr>
      <w:r w:rsidRPr="00A055B9">
        <w:rPr>
          <w:i/>
          <w:iCs/>
          <w:sz w:val="22"/>
          <w:szCs w:val="22"/>
        </w:rPr>
        <w:t>(d)The contract must not be against the law or public policy.</w:t>
      </w:r>
      <w:r w:rsidR="00882EAA" w:rsidRPr="00A055B9">
        <w:rPr>
          <w:i/>
          <w:iCs/>
          <w:sz w:val="22"/>
          <w:szCs w:val="22"/>
        </w:rPr>
        <w:t>”</w:t>
      </w:r>
    </w:p>
    <w:p w14:paraId="747F40EE" w14:textId="50EAE066" w:rsidR="00570915" w:rsidRPr="00882EAA" w:rsidRDefault="00570915" w:rsidP="00882EAA">
      <w:pPr>
        <w:spacing w:line="276" w:lineRule="auto"/>
        <w:ind w:left="709"/>
        <w:rPr>
          <w:i/>
          <w:iCs/>
          <w:sz w:val="20"/>
          <w:szCs w:val="20"/>
        </w:rPr>
      </w:pPr>
    </w:p>
    <w:p w14:paraId="5DAF7F4C" w14:textId="5E2A73C2" w:rsidR="00570915" w:rsidRPr="00882EAA" w:rsidRDefault="00570915" w:rsidP="00882EAA">
      <w:pPr>
        <w:spacing w:line="276" w:lineRule="auto"/>
        <w:ind w:left="709"/>
        <w:rPr>
          <w:i/>
          <w:iCs/>
          <w:sz w:val="20"/>
          <w:szCs w:val="20"/>
        </w:rPr>
      </w:pPr>
    </w:p>
    <w:p w14:paraId="18ABECA0" w14:textId="3B70E8CE" w:rsidR="00630514" w:rsidRPr="00882EAA" w:rsidRDefault="00630514" w:rsidP="00882EAA">
      <w:pPr>
        <w:spacing w:line="276" w:lineRule="auto"/>
      </w:pPr>
    </w:p>
    <w:p w14:paraId="7D166B61" w14:textId="26697079" w:rsidR="00882EAA" w:rsidRPr="00882EAA" w:rsidRDefault="00A055B9" w:rsidP="00882EAA">
      <w:pPr>
        <w:pStyle w:val="ListParagraph"/>
        <w:numPr>
          <w:ilvl w:val="0"/>
          <w:numId w:val="12"/>
        </w:numPr>
        <w:spacing w:after="0" w:line="36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It follows that valid c</w:t>
      </w:r>
      <w:r w:rsidR="00882EAA" w:rsidRPr="00882EAA">
        <w:rPr>
          <w:rFonts w:ascii="Times New Roman" w:hAnsi="Times New Roman" w:cs="Times New Roman"/>
          <w:sz w:val="24"/>
          <w:szCs w:val="24"/>
        </w:rPr>
        <w:t xml:space="preserve">ontracts </w:t>
      </w:r>
      <w:r w:rsidR="00882EAA">
        <w:rPr>
          <w:rFonts w:ascii="Times New Roman" w:hAnsi="Times New Roman" w:cs="Times New Roman"/>
          <w:sz w:val="24"/>
          <w:szCs w:val="24"/>
        </w:rPr>
        <w:t>create</w:t>
      </w:r>
      <w:r w:rsidR="00882EAA" w:rsidRPr="00882EAA">
        <w:rPr>
          <w:rFonts w:ascii="Times New Roman" w:hAnsi="Times New Roman" w:cs="Times New Roman"/>
          <w:sz w:val="24"/>
          <w:szCs w:val="24"/>
        </w:rPr>
        <w:t xml:space="preserve"> </w:t>
      </w:r>
      <w:r w:rsidR="00DA7E42">
        <w:rPr>
          <w:rFonts w:ascii="Times New Roman" w:hAnsi="Times New Roman" w:cs="Times New Roman"/>
          <w:sz w:val="24"/>
          <w:szCs w:val="24"/>
        </w:rPr>
        <w:t xml:space="preserve">binding </w:t>
      </w:r>
      <w:r w:rsidR="00882EAA" w:rsidRPr="00882EAA">
        <w:rPr>
          <w:rFonts w:ascii="Times New Roman" w:hAnsi="Times New Roman" w:cs="Times New Roman"/>
          <w:sz w:val="24"/>
          <w:szCs w:val="24"/>
        </w:rPr>
        <w:t>obligation</w:t>
      </w:r>
      <w:r w:rsidR="00882EAA">
        <w:rPr>
          <w:rFonts w:ascii="Times New Roman" w:hAnsi="Times New Roman" w:cs="Times New Roman"/>
          <w:sz w:val="24"/>
          <w:szCs w:val="24"/>
        </w:rPr>
        <w:t>s</w:t>
      </w:r>
      <w:r w:rsidR="00882EAA" w:rsidRPr="00882EAA">
        <w:rPr>
          <w:rFonts w:ascii="Times New Roman" w:hAnsi="Times New Roman" w:cs="Times New Roman"/>
          <w:sz w:val="24"/>
          <w:szCs w:val="24"/>
        </w:rPr>
        <w:t xml:space="preserve"> </w:t>
      </w:r>
      <w:r w:rsidR="00882EAA">
        <w:rPr>
          <w:rFonts w:ascii="Times New Roman" w:hAnsi="Times New Roman" w:cs="Times New Roman"/>
          <w:sz w:val="24"/>
          <w:szCs w:val="24"/>
        </w:rPr>
        <w:t>for</w:t>
      </w:r>
      <w:r w:rsidR="00882EAA" w:rsidRPr="00882EAA">
        <w:rPr>
          <w:rFonts w:ascii="Times New Roman" w:hAnsi="Times New Roman" w:cs="Times New Roman"/>
          <w:sz w:val="24"/>
          <w:szCs w:val="24"/>
        </w:rPr>
        <w:t xml:space="preserve"> the parties</w:t>
      </w:r>
      <w:r w:rsidR="00473C71">
        <w:rPr>
          <w:rFonts w:ascii="Times New Roman" w:hAnsi="Times New Roman" w:cs="Times New Roman"/>
          <w:sz w:val="24"/>
          <w:szCs w:val="24"/>
        </w:rPr>
        <w:t xml:space="preserve"> </w:t>
      </w:r>
      <w:r w:rsidR="001A16BA">
        <w:rPr>
          <w:rFonts w:ascii="Times New Roman" w:hAnsi="Times New Roman" w:cs="Times New Roman"/>
          <w:sz w:val="24"/>
          <w:szCs w:val="24"/>
        </w:rPr>
        <w:t>and</w:t>
      </w:r>
      <w:r w:rsidR="00473C71">
        <w:rPr>
          <w:rFonts w:ascii="Times New Roman" w:hAnsi="Times New Roman" w:cs="Times New Roman"/>
          <w:sz w:val="24"/>
          <w:szCs w:val="24"/>
        </w:rPr>
        <w:t xml:space="preserve"> produce effects</w:t>
      </w:r>
      <w:r w:rsidR="00882EAA" w:rsidRPr="00882EAA">
        <w:rPr>
          <w:rFonts w:ascii="Times New Roman" w:hAnsi="Times New Roman" w:cs="Times New Roman"/>
          <w:sz w:val="24"/>
          <w:szCs w:val="24"/>
        </w:rPr>
        <w:t xml:space="preserve"> in accordance with Articles 1134 and 1135</w:t>
      </w:r>
      <w:r>
        <w:rPr>
          <w:rFonts w:ascii="Times New Roman" w:hAnsi="Times New Roman" w:cs="Times New Roman"/>
          <w:sz w:val="24"/>
          <w:szCs w:val="24"/>
        </w:rPr>
        <w:t xml:space="preserve"> of the Civil Code.</w:t>
      </w:r>
      <w:r w:rsidR="00882EAA" w:rsidRPr="00882EAA">
        <w:rPr>
          <w:rFonts w:ascii="Times New Roman" w:hAnsi="Times New Roman" w:cs="Times New Roman"/>
          <w:sz w:val="24"/>
          <w:szCs w:val="24"/>
        </w:rPr>
        <w:t xml:space="preserve"> </w:t>
      </w:r>
      <w:r w:rsidR="00473C71">
        <w:rPr>
          <w:rFonts w:ascii="Times New Roman" w:hAnsi="Times New Roman" w:cs="Times New Roman"/>
          <w:sz w:val="24"/>
          <w:szCs w:val="24"/>
        </w:rPr>
        <w:t xml:space="preserve">The said articles </w:t>
      </w:r>
      <w:r>
        <w:rPr>
          <w:rFonts w:ascii="Times New Roman" w:hAnsi="Times New Roman" w:cs="Times New Roman"/>
          <w:sz w:val="24"/>
          <w:szCs w:val="24"/>
        </w:rPr>
        <w:t>provide that —</w:t>
      </w:r>
      <w:r w:rsidR="00882EAA" w:rsidRPr="00882EAA">
        <w:rPr>
          <w:rFonts w:ascii="Times New Roman" w:hAnsi="Times New Roman" w:cs="Times New Roman"/>
          <w:sz w:val="24"/>
          <w:szCs w:val="24"/>
        </w:rPr>
        <w:t xml:space="preserve">  </w:t>
      </w:r>
    </w:p>
    <w:p w14:paraId="3B176E59" w14:textId="77777777" w:rsidR="00882EAA" w:rsidRPr="00882EAA" w:rsidRDefault="00882EAA" w:rsidP="00882EAA">
      <w:pPr>
        <w:pStyle w:val="ListParagraph"/>
        <w:spacing w:after="0" w:line="360" w:lineRule="auto"/>
        <w:jc w:val="both"/>
        <w:rPr>
          <w:rFonts w:ascii="Times New Roman" w:hAnsi="Times New Roman" w:cs="Times New Roman"/>
          <w:i/>
          <w:iCs/>
        </w:rPr>
      </w:pPr>
    </w:p>
    <w:p w14:paraId="602267B1" w14:textId="72EABEC1" w:rsidR="00882EAA" w:rsidRPr="001A16BA" w:rsidRDefault="00882EAA" w:rsidP="001F6D28">
      <w:pPr>
        <w:spacing w:line="360" w:lineRule="auto"/>
        <w:ind w:left="1134" w:right="855"/>
        <w:jc w:val="center"/>
        <w:outlineLvl w:val="1"/>
        <w:rPr>
          <w:b/>
          <w:bCs/>
          <w:i/>
          <w:iCs/>
          <w:sz w:val="22"/>
          <w:szCs w:val="22"/>
        </w:rPr>
      </w:pPr>
      <w:r w:rsidRPr="001A16BA">
        <w:rPr>
          <w:b/>
          <w:bCs/>
          <w:i/>
          <w:iCs/>
          <w:sz w:val="22"/>
          <w:szCs w:val="22"/>
        </w:rPr>
        <w:t>“Effect of obligations</w:t>
      </w:r>
    </w:p>
    <w:p w14:paraId="0A85B790" w14:textId="57C48347" w:rsidR="00882EAA" w:rsidRPr="001A16BA" w:rsidRDefault="00882EAA" w:rsidP="001F6D28">
      <w:pPr>
        <w:spacing w:line="360" w:lineRule="auto"/>
        <w:ind w:left="1134" w:right="855"/>
        <w:outlineLvl w:val="1"/>
        <w:rPr>
          <w:b/>
          <w:bCs/>
          <w:i/>
          <w:iCs/>
          <w:sz w:val="22"/>
          <w:szCs w:val="22"/>
        </w:rPr>
      </w:pPr>
      <w:r w:rsidRPr="001A16BA">
        <w:rPr>
          <w:b/>
          <w:bCs/>
          <w:i/>
          <w:iCs/>
          <w:sz w:val="22"/>
          <w:szCs w:val="22"/>
        </w:rPr>
        <w:t>1134</w:t>
      </w:r>
      <w:r w:rsidR="001A16BA" w:rsidRPr="001A16BA">
        <w:rPr>
          <w:b/>
          <w:bCs/>
          <w:i/>
          <w:iCs/>
          <w:sz w:val="22"/>
          <w:szCs w:val="22"/>
        </w:rPr>
        <w:t xml:space="preserve">. </w:t>
      </w:r>
      <w:r w:rsidR="001A16BA" w:rsidRPr="001A16BA">
        <w:rPr>
          <w:i/>
          <w:iCs/>
          <w:sz w:val="22"/>
          <w:szCs w:val="22"/>
        </w:rPr>
        <w:t>(</w:t>
      </w:r>
      <w:r w:rsidR="00A055B9" w:rsidRPr="001A16BA">
        <w:rPr>
          <w:i/>
          <w:iCs/>
          <w:sz w:val="22"/>
          <w:szCs w:val="22"/>
        </w:rPr>
        <w:t>1) Contracts</w:t>
      </w:r>
      <w:r w:rsidRPr="001A16BA">
        <w:rPr>
          <w:i/>
          <w:iCs/>
          <w:sz w:val="22"/>
          <w:szCs w:val="22"/>
        </w:rPr>
        <w:t xml:space="preserve"> lawfully concluded </w:t>
      </w:r>
      <w:r w:rsidRPr="001A16BA">
        <w:rPr>
          <w:i/>
          <w:iCs/>
          <w:sz w:val="22"/>
          <w:szCs w:val="22"/>
          <w:u w:val="single"/>
        </w:rPr>
        <w:t>have the force of law for those who have entered into them</w:t>
      </w:r>
      <w:r w:rsidRPr="001A16BA">
        <w:rPr>
          <w:i/>
          <w:iCs/>
          <w:sz w:val="22"/>
          <w:szCs w:val="22"/>
        </w:rPr>
        <w:t>.</w:t>
      </w:r>
    </w:p>
    <w:p w14:paraId="46DFD5AC" w14:textId="11569405" w:rsidR="00882EAA" w:rsidRPr="001A16BA" w:rsidRDefault="001A16BA" w:rsidP="001F6D28">
      <w:pPr>
        <w:pStyle w:val="ListParagraph"/>
        <w:tabs>
          <w:tab w:val="center" w:pos="1134"/>
        </w:tabs>
        <w:spacing w:line="360" w:lineRule="auto"/>
        <w:ind w:left="1080" w:right="855"/>
        <w:jc w:val="both"/>
        <w:rPr>
          <w:rFonts w:ascii="Times New Roman" w:hAnsi="Times New Roman" w:cs="Times New Roman"/>
          <w:i/>
          <w:iCs/>
        </w:rPr>
      </w:pPr>
      <w:r w:rsidRPr="001A16BA">
        <w:rPr>
          <w:rFonts w:ascii="Times New Roman" w:hAnsi="Times New Roman" w:cs="Times New Roman"/>
          <w:i/>
          <w:iCs/>
          <w:lang w:val="en-US"/>
        </w:rPr>
        <w:t>(</w:t>
      </w:r>
      <w:r w:rsidR="00A055B9" w:rsidRPr="001A16BA">
        <w:rPr>
          <w:rFonts w:ascii="Times New Roman" w:hAnsi="Times New Roman" w:cs="Times New Roman"/>
          <w:i/>
          <w:iCs/>
          <w:lang w:val="en-US"/>
        </w:rPr>
        <w:t>2)</w:t>
      </w:r>
      <w:r w:rsidR="00A055B9" w:rsidRPr="001A16BA">
        <w:rPr>
          <w:rFonts w:ascii="Times New Roman" w:hAnsi="Times New Roman" w:cs="Times New Roman"/>
          <w:i/>
          <w:iCs/>
        </w:rPr>
        <w:t xml:space="preserve"> Contracts</w:t>
      </w:r>
      <w:r w:rsidR="00882EAA" w:rsidRPr="001A16BA">
        <w:rPr>
          <w:rFonts w:ascii="Times New Roman" w:hAnsi="Times New Roman" w:cs="Times New Roman"/>
          <w:i/>
          <w:iCs/>
        </w:rPr>
        <w:t xml:space="preserve"> </w:t>
      </w:r>
      <w:r w:rsidR="00882EAA" w:rsidRPr="001A16BA">
        <w:rPr>
          <w:rFonts w:ascii="Times New Roman" w:hAnsi="Times New Roman" w:cs="Times New Roman"/>
          <w:i/>
          <w:iCs/>
          <w:u w:val="single"/>
        </w:rPr>
        <w:t>cannot be revoked except by mutual consent</w:t>
      </w:r>
      <w:r w:rsidR="00882EAA" w:rsidRPr="001A16BA">
        <w:rPr>
          <w:rFonts w:ascii="Times New Roman" w:hAnsi="Times New Roman" w:cs="Times New Roman"/>
          <w:i/>
          <w:iCs/>
        </w:rPr>
        <w:t xml:space="preserve"> or for reasons authorised by legislation.</w:t>
      </w:r>
    </w:p>
    <w:p w14:paraId="1414F078" w14:textId="1A62A527" w:rsidR="00882EAA" w:rsidRPr="001A16BA" w:rsidRDefault="001A16BA" w:rsidP="001F6D28">
      <w:pPr>
        <w:pStyle w:val="ListParagraph"/>
        <w:tabs>
          <w:tab w:val="center" w:pos="1134"/>
        </w:tabs>
        <w:spacing w:after="0" w:line="360" w:lineRule="auto"/>
        <w:ind w:left="1069" w:right="855"/>
        <w:jc w:val="both"/>
        <w:rPr>
          <w:rFonts w:ascii="Times New Roman" w:eastAsia="Times New Roman" w:hAnsi="Times New Roman" w:cs="Times New Roman"/>
          <w:i/>
          <w:iCs/>
          <w:lang w:eastAsia="en-GB"/>
        </w:rPr>
      </w:pPr>
      <w:r w:rsidRPr="001A16BA">
        <w:rPr>
          <w:rFonts w:ascii="Times New Roman" w:eastAsia="Times New Roman" w:hAnsi="Times New Roman" w:cs="Times New Roman"/>
          <w:i/>
          <w:iCs/>
          <w:lang w:eastAsia="en-GB"/>
        </w:rPr>
        <w:t>(</w:t>
      </w:r>
      <w:r w:rsidR="00A055B9" w:rsidRPr="001A16BA">
        <w:rPr>
          <w:rFonts w:ascii="Times New Roman" w:eastAsia="Times New Roman" w:hAnsi="Times New Roman" w:cs="Times New Roman"/>
          <w:i/>
          <w:iCs/>
          <w:lang w:eastAsia="en-GB"/>
        </w:rPr>
        <w:t>3) Contracts</w:t>
      </w:r>
      <w:r w:rsidR="00882EAA" w:rsidRPr="001A16BA">
        <w:rPr>
          <w:rFonts w:ascii="Times New Roman" w:eastAsia="Times New Roman" w:hAnsi="Times New Roman" w:cs="Times New Roman"/>
          <w:i/>
          <w:iCs/>
          <w:lang w:eastAsia="en-GB"/>
        </w:rPr>
        <w:t xml:space="preserve"> </w:t>
      </w:r>
      <w:r w:rsidR="00882EAA" w:rsidRPr="001A16BA">
        <w:rPr>
          <w:rFonts w:ascii="Times New Roman" w:eastAsia="Times New Roman" w:hAnsi="Times New Roman" w:cs="Times New Roman"/>
          <w:i/>
          <w:iCs/>
          <w:u w:val="single"/>
          <w:lang w:eastAsia="en-GB"/>
        </w:rPr>
        <w:t>must be performed in good faith</w:t>
      </w:r>
      <w:r w:rsidR="00882EAA" w:rsidRPr="001A16BA">
        <w:rPr>
          <w:rFonts w:ascii="Times New Roman" w:eastAsia="Times New Roman" w:hAnsi="Times New Roman" w:cs="Times New Roman"/>
          <w:i/>
          <w:iCs/>
          <w:lang w:eastAsia="en-GB"/>
        </w:rPr>
        <w:t>.</w:t>
      </w:r>
    </w:p>
    <w:p w14:paraId="0D9F210B" w14:textId="77777777" w:rsidR="00882EAA" w:rsidRPr="001A16BA" w:rsidRDefault="00882EAA" w:rsidP="001F6D28">
      <w:pPr>
        <w:tabs>
          <w:tab w:val="center" w:pos="1134"/>
        </w:tabs>
        <w:spacing w:line="360" w:lineRule="auto"/>
        <w:ind w:right="855"/>
        <w:jc w:val="both"/>
        <w:rPr>
          <w:i/>
          <w:iCs/>
          <w:sz w:val="22"/>
          <w:szCs w:val="22"/>
        </w:rPr>
      </w:pPr>
    </w:p>
    <w:p w14:paraId="0259DBED" w14:textId="77777777" w:rsidR="00882EAA" w:rsidRPr="001A16BA" w:rsidRDefault="00882EAA" w:rsidP="001F6D28">
      <w:pPr>
        <w:pStyle w:val="ListParagraph"/>
        <w:spacing w:after="0" w:line="360" w:lineRule="auto"/>
        <w:ind w:left="1134" w:right="855"/>
        <w:jc w:val="both"/>
        <w:rPr>
          <w:rFonts w:ascii="Times New Roman" w:eastAsia="Times New Roman" w:hAnsi="Times New Roman" w:cs="Times New Roman"/>
          <w:lang w:eastAsia="en-GB"/>
        </w:rPr>
      </w:pPr>
    </w:p>
    <w:p w14:paraId="2B307572" w14:textId="553DCFF3" w:rsidR="00882EAA" w:rsidRDefault="00882EAA" w:rsidP="001F6D28">
      <w:pPr>
        <w:spacing w:line="360" w:lineRule="auto"/>
        <w:ind w:left="1134" w:right="855"/>
        <w:outlineLvl w:val="1"/>
        <w:rPr>
          <w:b/>
          <w:bCs/>
          <w:i/>
          <w:iCs/>
          <w:sz w:val="22"/>
          <w:szCs w:val="22"/>
        </w:rPr>
      </w:pPr>
      <w:r w:rsidRPr="001A16BA">
        <w:rPr>
          <w:b/>
          <w:bCs/>
          <w:i/>
          <w:iCs/>
          <w:sz w:val="22"/>
          <w:szCs w:val="22"/>
        </w:rPr>
        <w:t>1135</w:t>
      </w:r>
      <w:r w:rsidR="001A16BA" w:rsidRPr="001A16BA">
        <w:rPr>
          <w:b/>
          <w:bCs/>
          <w:i/>
          <w:iCs/>
          <w:sz w:val="22"/>
          <w:szCs w:val="22"/>
        </w:rPr>
        <w:t xml:space="preserve">.  </w:t>
      </w:r>
      <w:r w:rsidRPr="001A16BA">
        <w:rPr>
          <w:i/>
          <w:iCs/>
          <w:sz w:val="22"/>
          <w:szCs w:val="22"/>
        </w:rPr>
        <w:t xml:space="preserve">A contract binds the parties not only in respect of what is expressed in the contract, </w:t>
      </w:r>
      <w:r w:rsidRPr="001F6D28">
        <w:rPr>
          <w:i/>
          <w:iCs/>
          <w:sz w:val="22"/>
          <w:szCs w:val="22"/>
          <w:u w:val="single"/>
        </w:rPr>
        <w:t>but also to all the consequences of the contract which are implied by equity (equité)</w:t>
      </w:r>
      <w:r w:rsidRPr="001A16BA">
        <w:rPr>
          <w:i/>
          <w:iCs/>
          <w:sz w:val="22"/>
          <w:szCs w:val="22"/>
        </w:rPr>
        <w:t>, practice, or legislation.</w:t>
      </w:r>
      <w:r w:rsidRPr="001A16BA">
        <w:rPr>
          <w:b/>
          <w:bCs/>
          <w:i/>
          <w:iCs/>
          <w:sz w:val="22"/>
          <w:szCs w:val="22"/>
        </w:rPr>
        <w:t>”</w:t>
      </w:r>
    </w:p>
    <w:p w14:paraId="3F5F8773" w14:textId="4EDC2F60" w:rsidR="001A16BA" w:rsidRDefault="001A16BA" w:rsidP="001A16BA">
      <w:pPr>
        <w:spacing w:line="276" w:lineRule="auto"/>
        <w:ind w:left="1134" w:right="288"/>
        <w:outlineLvl w:val="1"/>
        <w:rPr>
          <w:b/>
          <w:bCs/>
          <w:i/>
          <w:iCs/>
          <w:sz w:val="22"/>
          <w:szCs w:val="22"/>
        </w:rPr>
      </w:pPr>
    </w:p>
    <w:p w14:paraId="70126597" w14:textId="08657A17" w:rsidR="001A16BA" w:rsidRPr="001A16BA" w:rsidRDefault="001A16BA" w:rsidP="001A16BA">
      <w:pPr>
        <w:spacing w:line="276" w:lineRule="auto"/>
        <w:ind w:left="1134" w:right="288"/>
        <w:outlineLvl w:val="1"/>
      </w:pPr>
      <w:r w:rsidRPr="001A16BA">
        <w:t>(Emphasis added)</w:t>
      </w:r>
    </w:p>
    <w:p w14:paraId="58952372" w14:textId="77777777" w:rsidR="00882EAA" w:rsidRPr="00882EAA" w:rsidRDefault="00882EAA" w:rsidP="00882EAA">
      <w:pPr>
        <w:spacing w:line="360" w:lineRule="auto"/>
        <w:jc w:val="both"/>
        <w:rPr>
          <w:i/>
          <w:iCs/>
        </w:rPr>
      </w:pPr>
    </w:p>
    <w:p w14:paraId="0F69BF4E" w14:textId="00B6F2AB" w:rsidR="00882EAA" w:rsidRPr="00882EAA" w:rsidRDefault="00A055B9" w:rsidP="00882EAA">
      <w:pPr>
        <w:pStyle w:val="ListParagraph"/>
        <w:numPr>
          <w:ilvl w:val="0"/>
          <w:numId w:val="12"/>
        </w:numPr>
        <w:spacing w:after="0" w:line="360" w:lineRule="auto"/>
        <w:ind w:left="720" w:hanging="720"/>
        <w:jc w:val="both"/>
        <w:rPr>
          <w:rFonts w:ascii="Times New Roman" w:eastAsia="Times New Roman" w:hAnsi="Times New Roman" w:cs="Times New Roman"/>
          <w:i/>
          <w:iCs/>
          <w:sz w:val="24"/>
          <w:szCs w:val="24"/>
          <w:lang w:val="en-US" w:eastAsia="en-GB"/>
        </w:rPr>
      </w:pPr>
      <w:r>
        <w:rPr>
          <w:rFonts w:ascii="Times New Roman" w:hAnsi="Times New Roman" w:cs="Times New Roman"/>
          <w:sz w:val="24"/>
          <w:szCs w:val="24"/>
        </w:rPr>
        <w:lastRenderedPageBreak/>
        <w:t>A contract that does not fulfil one</w:t>
      </w:r>
      <w:r w:rsidR="00882EAA" w:rsidRPr="00882EAA">
        <w:rPr>
          <w:rFonts w:ascii="Times New Roman" w:hAnsi="Times New Roman" w:cs="Times New Roman"/>
          <w:sz w:val="24"/>
          <w:szCs w:val="24"/>
        </w:rPr>
        <w:t xml:space="preserve"> or more of the essential conditions </w:t>
      </w:r>
      <w:r>
        <w:rPr>
          <w:rFonts w:ascii="Times New Roman" w:hAnsi="Times New Roman" w:cs="Times New Roman"/>
          <w:sz w:val="24"/>
          <w:szCs w:val="24"/>
        </w:rPr>
        <w:t xml:space="preserve">for its validity, </w:t>
      </w:r>
      <w:r w:rsidR="00882EAA" w:rsidRPr="00882EAA">
        <w:rPr>
          <w:rFonts w:ascii="Times New Roman" w:hAnsi="Times New Roman" w:cs="Times New Roman"/>
          <w:sz w:val="24"/>
          <w:szCs w:val="24"/>
        </w:rPr>
        <w:t xml:space="preserve">is </w:t>
      </w:r>
      <w:r>
        <w:rPr>
          <w:rFonts w:ascii="Times New Roman" w:hAnsi="Times New Roman" w:cs="Times New Roman"/>
          <w:sz w:val="24"/>
          <w:szCs w:val="24"/>
        </w:rPr>
        <w:t xml:space="preserve">liable to be annulled. </w:t>
      </w:r>
      <w:r w:rsidR="00473C71">
        <w:rPr>
          <w:rFonts w:ascii="Times New Roman" w:hAnsi="Times New Roman" w:cs="Times New Roman"/>
          <w:sz w:val="24"/>
          <w:szCs w:val="24"/>
        </w:rPr>
        <w:t xml:space="preserve"> </w:t>
      </w:r>
      <w:r>
        <w:rPr>
          <w:rFonts w:ascii="Times New Roman" w:hAnsi="Times New Roman" w:cs="Times New Roman"/>
          <w:sz w:val="24"/>
          <w:szCs w:val="24"/>
        </w:rPr>
        <w:t xml:space="preserve">If annulled, </w:t>
      </w:r>
      <w:r w:rsidR="00882EAA" w:rsidRPr="00882EAA">
        <w:rPr>
          <w:rFonts w:ascii="Times New Roman" w:hAnsi="Times New Roman" w:cs="Times New Roman"/>
          <w:sz w:val="24"/>
          <w:szCs w:val="24"/>
        </w:rPr>
        <w:t>obligations</w:t>
      </w:r>
      <w:r w:rsidR="00473C71">
        <w:rPr>
          <w:rFonts w:ascii="Times New Roman" w:hAnsi="Times New Roman" w:cs="Times New Roman"/>
          <w:sz w:val="24"/>
          <w:szCs w:val="24"/>
        </w:rPr>
        <w:t xml:space="preserve"> thereby</w:t>
      </w:r>
      <w:r w:rsidR="00882EAA" w:rsidRPr="00882EAA">
        <w:rPr>
          <w:rFonts w:ascii="Times New Roman" w:hAnsi="Times New Roman" w:cs="Times New Roman"/>
          <w:sz w:val="24"/>
          <w:szCs w:val="24"/>
        </w:rPr>
        <w:t xml:space="preserve"> created</w:t>
      </w:r>
      <w:r>
        <w:rPr>
          <w:rFonts w:ascii="Times New Roman" w:hAnsi="Times New Roman" w:cs="Times New Roman"/>
          <w:sz w:val="24"/>
          <w:szCs w:val="24"/>
        </w:rPr>
        <w:t xml:space="preserve"> are discharged by operation of </w:t>
      </w:r>
      <w:r w:rsidR="00882EAA" w:rsidRPr="00882EAA">
        <w:rPr>
          <w:rFonts w:ascii="Times New Roman" w:hAnsi="Times New Roman" w:cs="Times New Roman"/>
          <w:sz w:val="24"/>
          <w:szCs w:val="24"/>
        </w:rPr>
        <w:t>Article 1234(g)</w:t>
      </w:r>
      <w:r w:rsidR="00CD5552">
        <w:rPr>
          <w:rStyle w:val="FootnoteReference"/>
          <w:rFonts w:ascii="Times New Roman" w:hAnsi="Times New Roman" w:cs="Times New Roman"/>
          <w:sz w:val="24"/>
          <w:szCs w:val="24"/>
        </w:rPr>
        <w:footnoteReference w:id="1"/>
      </w:r>
      <w:r w:rsidR="00882EAA" w:rsidRPr="00882EAA">
        <w:rPr>
          <w:rFonts w:ascii="Times New Roman" w:hAnsi="Times New Roman" w:cs="Times New Roman"/>
          <w:sz w:val="24"/>
          <w:szCs w:val="24"/>
        </w:rPr>
        <w:t xml:space="preserve"> of the Civil Code</w:t>
      </w:r>
      <w:r>
        <w:rPr>
          <w:rFonts w:ascii="Times New Roman" w:hAnsi="Times New Roman" w:cs="Times New Roman"/>
          <w:sz w:val="24"/>
          <w:szCs w:val="24"/>
        </w:rPr>
        <w:t xml:space="preserve">. </w:t>
      </w:r>
      <w:r w:rsidR="00882EAA" w:rsidRPr="00882EAA">
        <w:rPr>
          <w:rFonts w:ascii="Times New Roman" w:hAnsi="Times New Roman" w:cs="Times New Roman"/>
          <w:sz w:val="24"/>
          <w:szCs w:val="24"/>
        </w:rPr>
        <w:t xml:space="preserve"> </w:t>
      </w:r>
    </w:p>
    <w:p w14:paraId="71616347" w14:textId="77777777" w:rsidR="00882EAA" w:rsidRPr="00882EAA" w:rsidRDefault="00882EAA" w:rsidP="00882EAA">
      <w:pPr>
        <w:pStyle w:val="ListParagraph"/>
        <w:spacing w:after="0" w:line="360" w:lineRule="auto"/>
        <w:jc w:val="both"/>
        <w:rPr>
          <w:rFonts w:ascii="Times New Roman" w:eastAsia="Times New Roman" w:hAnsi="Times New Roman" w:cs="Times New Roman"/>
          <w:i/>
          <w:iCs/>
          <w:sz w:val="24"/>
          <w:szCs w:val="24"/>
          <w:lang w:val="en-US" w:eastAsia="en-GB"/>
        </w:rPr>
      </w:pPr>
    </w:p>
    <w:p w14:paraId="392CC3B2" w14:textId="71D05623" w:rsidR="00A055B9" w:rsidRPr="00A055B9" w:rsidRDefault="00882EAA" w:rsidP="00A055B9">
      <w:pPr>
        <w:pStyle w:val="ListParagraph"/>
        <w:numPr>
          <w:ilvl w:val="0"/>
          <w:numId w:val="12"/>
        </w:numPr>
        <w:spacing w:after="0" w:line="360" w:lineRule="auto"/>
        <w:ind w:left="720" w:hanging="720"/>
        <w:jc w:val="both"/>
        <w:rPr>
          <w:rFonts w:ascii="Times New Roman" w:eastAsia="Times New Roman" w:hAnsi="Times New Roman" w:cs="Times New Roman"/>
          <w:i/>
          <w:iCs/>
          <w:sz w:val="24"/>
          <w:szCs w:val="24"/>
          <w:lang w:val="en-US" w:eastAsia="en-GB"/>
        </w:rPr>
      </w:pPr>
      <w:r w:rsidRPr="00882EAA">
        <w:rPr>
          <w:rFonts w:ascii="Times New Roman" w:eastAsia="Times New Roman" w:hAnsi="Times New Roman" w:cs="Times New Roman"/>
          <w:sz w:val="24"/>
          <w:szCs w:val="24"/>
          <w:lang w:val="en-US" w:eastAsia="en-GB"/>
        </w:rPr>
        <w:t>The following</w:t>
      </w:r>
      <w:r w:rsidR="00A055B9">
        <w:rPr>
          <w:rFonts w:ascii="Times New Roman" w:eastAsia="Times New Roman" w:hAnsi="Times New Roman" w:cs="Times New Roman"/>
          <w:sz w:val="24"/>
          <w:szCs w:val="24"/>
          <w:lang w:val="en-US" w:eastAsia="en-GB"/>
        </w:rPr>
        <w:t xml:space="preserve"> </w:t>
      </w:r>
      <w:r w:rsidR="00A7567E">
        <w:rPr>
          <w:rFonts w:ascii="Times New Roman" w:eastAsia="Times New Roman" w:hAnsi="Times New Roman" w:cs="Times New Roman"/>
          <w:sz w:val="24"/>
          <w:szCs w:val="24"/>
          <w:lang w:val="en-US" w:eastAsia="en-GB"/>
        </w:rPr>
        <w:t>extracts quoted</w:t>
      </w:r>
      <w:r w:rsidR="00A055B9">
        <w:rPr>
          <w:rFonts w:ascii="Times New Roman" w:eastAsia="Times New Roman" w:hAnsi="Times New Roman" w:cs="Times New Roman"/>
          <w:sz w:val="24"/>
          <w:szCs w:val="24"/>
          <w:lang w:val="en-US" w:eastAsia="en-GB"/>
        </w:rPr>
        <w:t xml:space="preserve"> </w:t>
      </w:r>
      <w:r w:rsidRPr="00882EAA">
        <w:rPr>
          <w:rFonts w:ascii="Times New Roman" w:eastAsia="Times New Roman" w:hAnsi="Times New Roman" w:cs="Times New Roman"/>
          <w:sz w:val="24"/>
          <w:szCs w:val="24"/>
          <w:lang w:val="en-US" w:eastAsia="en-GB"/>
        </w:rPr>
        <w:t>from</w:t>
      </w:r>
      <w:r w:rsidR="00A055B9">
        <w:rPr>
          <w:rFonts w:ascii="Times New Roman" w:eastAsia="Times New Roman" w:hAnsi="Times New Roman" w:cs="Times New Roman"/>
          <w:sz w:val="24"/>
          <w:szCs w:val="24"/>
          <w:lang w:val="en-US" w:eastAsia="en-GB"/>
        </w:rPr>
        <w:t xml:space="preserve"> </w:t>
      </w:r>
      <w:r w:rsidRPr="00882EAA">
        <w:rPr>
          <w:rFonts w:ascii="Times New Roman" w:eastAsia="Times New Roman" w:hAnsi="Times New Roman" w:cs="Times New Roman"/>
          <w:i/>
          <w:iCs/>
          <w:sz w:val="24"/>
          <w:szCs w:val="24"/>
          <w:lang w:val="en-US" w:eastAsia="en-GB"/>
        </w:rPr>
        <w:t>Droit Civil, Yvaine Buffelan-Lanore</w:t>
      </w:r>
      <w:r w:rsidRPr="00882EAA">
        <w:rPr>
          <w:rStyle w:val="FootnoteReference"/>
          <w:rFonts w:ascii="Times New Roman" w:eastAsia="Times New Roman" w:hAnsi="Times New Roman" w:cs="Times New Roman"/>
          <w:sz w:val="24"/>
          <w:szCs w:val="24"/>
          <w:lang w:val="en-US" w:eastAsia="en-GB"/>
        </w:rPr>
        <w:footnoteReference w:id="2"/>
      </w:r>
      <w:r w:rsidRPr="00882EAA">
        <w:rPr>
          <w:rFonts w:ascii="Times New Roman" w:eastAsia="Times New Roman" w:hAnsi="Times New Roman" w:cs="Times New Roman"/>
          <w:sz w:val="24"/>
          <w:szCs w:val="24"/>
          <w:lang w:val="en-US" w:eastAsia="en-GB"/>
        </w:rPr>
        <w:t xml:space="preserve"> </w:t>
      </w:r>
      <w:r w:rsidR="00A055B9">
        <w:rPr>
          <w:rFonts w:ascii="Times New Roman" w:eastAsia="Times New Roman" w:hAnsi="Times New Roman" w:cs="Times New Roman"/>
          <w:sz w:val="24"/>
          <w:szCs w:val="24"/>
          <w:lang w:val="en-US" w:eastAsia="en-GB"/>
        </w:rPr>
        <w:t>on nullity of contracts are relevant</w:t>
      </w:r>
      <w:r w:rsidRPr="00882EAA">
        <w:rPr>
          <w:rFonts w:ascii="Times New Roman" w:eastAsia="Times New Roman" w:hAnsi="Times New Roman" w:cs="Times New Roman"/>
          <w:sz w:val="24"/>
          <w:szCs w:val="24"/>
          <w:lang w:val="en-US" w:eastAsia="en-GB"/>
        </w:rPr>
        <w:t xml:space="preserve"> </w:t>
      </w:r>
      <w:r w:rsidR="00A055B9">
        <w:rPr>
          <w:rFonts w:ascii="Times New Roman" w:eastAsia="Times New Roman" w:hAnsi="Times New Roman" w:cs="Times New Roman"/>
          <w:sz w:val="24"/>
          <w:szCs w:val="24"/>
          <w:lang w:val="en-US" w:eastAsia="en-GB"/>
        </w:rPr>
        <w:t>to the question of validity of the Agreement raised in this appeal:</w:t>
      </w:r>
    </w:p>
    <w:p w14:paraId="212590B2" w14:textId="77777777" w:rsidR="00A055B9" w:rsidRPr="00882EAA" w:rsidRDefault="00A055B9" w:rsidP="001F6D28">
      <w:pPr>
        <w:pStyle w:val="ListParagraph"/>
        <w:spacing w:after="0" w:line="360" w:lineRule="auto"/>
        <w:jc w:val="both"/>
        <w:rPr>
          <w:rFonts w:ascii="Times New Roman" w:eastAsia="Times New Roman" w:hAnsi="Times New Roman" w:cs="Times New Roman"/>
          <w:i/>
          <w:iCs/>
          <w:sz w:val="24"/>
          <w:szCs w:val="24"/>
          <w:lang w:val="en-US" w:eastAsia="en-GB"/>
        </w:rPr>
      </w:pPr>
    </w:p>
    <w:p w14:paraId="0B9A4207" w14:textId="06E846B0" w:rsidR="00882EAA" w:rsidRPr="00CD5552" w:rsidRDefault="00A055B9" w:rsidP="001F6D28">
      <w:pPr>
        <w:spacing w:line="360" w:lineRule="auto"/>
        <w:ind w:left="1134" w:right="855"/>
        <w:jc w:val="both"/>
        <w:rPr>
          <w:sz w:val="22"/>
          <w:szCs w:val="22"/>
          <w:lang w:val="fr-FR"/>
        </w:rPr>
      </w:pPr>
      <w:r w:rsidRPr="00CD5552">
        <w:rPr>
          <w:i/>
          <w:iCs/>
          <w:sz w:val="22"/>
          <w:szCs w:val="22"/>
        </w:rPr>
        <w:t xml:space="preserve"> </w:t>
      </w:r>
      <w:r w:rsidR="00882EAA" w:rsidRPr="00CD5552">
        <w:rPr>
          <w:i/>
          <w:iCs/>
          <w:sz w:val="22"/>
          <w:szCs w:val="22"/>
          <w:lang w:val="fr-FR"/>
        </w:rPr>
        <w:t>«</w:t>
      </w:r>
      <w:r w:rsidR="00882EAA" w:rsidRPr="00CD5552">
        <w:rPr>
          <w:sz w:val="22"/>
          <w:szCs w:val="22"/>
          <w:lang w:val="fr-FR"/>
        </w:rPr>
        <w:t xml:space="preserve"> </w:t>
      </w:r>
      <w:r w:rsidR="00882EAA" w:rsidRPr="00CD5552">
        <w:rPr>
          <w:i/>
          <w:iCs/>
          <w:sz w:val="22"/>
          <w:szCs w:val="22"/>
          <w:lang w:val="fr-FR"/>
        </w:rPr>
        <w:t xml:space="preserve">Nullité : </w:t>
      </w:r>
      <w:r w:rsidR="00882EAA" w:rsidRPr="00CD5552">
        <w:rPr>
          <w:sz w:val="22"/>
          <w:szCs w:val="22"/>
          <w:lang w:val="fr-FR"/>
        </w:rPr>
        <w:t>Un contrat est annulable quand il ne peut produire d’effets par volonté du législateur, en raison d’un vice</w:t>
      </w:r>
      <w:r w:rsidR="00882EAA" w:rsidRPr="00CD5552">
        <w:rPr>
          <w:i/>
          <w:iCs/>
          <w:sz w:val="22"/>
          <w:szCs w:val="22"/>
          <w:lang w:val="fr-FR"/>
        </w:rPr>
        <w:t xml:space="preserve"> contemporain de sa formation.</w:t>
      </w:r>
      <w:r w:rsidR="00882EAA" w:rsidRPr="00CD5552">
        <w:rPr>
          <w:sz w:val="22"/>
          <w:szCs w:val="22"/>
          <w:lang w:val="fr-FR"/>
        </w:rPr>
        <w:t xml:space="preserve"> La nullité est rétroactive. C’est la sanction d’une irrégularité lors de la formation du contrat.</w:t>
      </w:r>
    </w:p>
    <w:p w14:paraId="5E082B6E" w14:textId="77777777" w:rsidR="00882EAA" w:rsidRPr="00CD5552" w:rsidRDefault="00882EAA" w:rsidP="001F6D28">
      <w:pPr>
        <w:spacing w:line="360" w:lineRule="auto"/>
        <w:ind w:left="1134" w:right="855"/>
        <w:jc w:val="both"/>
        <w:rPr>
          <w:sz w:val="22"/>
          <w:szCs w:val="22"/>
          <w:lang w:val="fr-FR"/>
        </w:rPr>
      </w:pPr>
    </w:p>
    <w:p w14:paraId="72DD0522" w14:textId="71057C6E" w:rsidR="00882EAA" w:rsidRPr="00CD5552" w:rsidRDefault="00882EAA" w:rsidP="001F6D28">
      <w:pPr>
        <w:pStyle w:val="ListParagraph"/>
        <w:numPr>
          <w:ilvl w:val="0"/>
          <w:numId w:val="28"/>
        </w:numPr>
        <w:spacing w:after="0" w:line="360" w:lineRule="auto"/>
        <w:ind w:left="1134" w:right="855" w:firstLine="0"/>
        <w:jc w:val="both"/>
        <w:rPr>
          <w:rFonts w:ascii="Times New Roman" w:eastAsia="Times New Roman" w:hAnsi="Times New Roman" w:cs="Times New Roman"/>
          <w:lang w:val="fr-FR" w:eastAsia="en-GB"/>
        </w:rPr>
      </w:pPr>
      <w:r w:rsidRPr="00CD5552">
        <w:rPr>
          <w:rFonts w:ascii="Times New Roman" w:eastAsia="Times New Roman" w:hAnsi="Times New Roman" w:cs="Times New Roman"/>
          <w:lang w:val="fr-FR" w:eastAsia="en-GB"/>
        </w:rPr>
        <w:t xml:space="preserve">Il s’agit de </w:t>
      </w:r>
      <w:r w:rsidRPr="00CD5552">
        <w:rPr>
          <w:rFonts w:ascii="Times New Roman" w:eastAsia="Times New Roman" w:hAnsi="Times New Roman" w:cs="Times New Roman"/>
          <w:i/>
          <w:iCs/>
          <w:lang w:val="fr-FR" w:eastAsia="en-GB"/>
        </w:rPr>
        <w:t>nullité absolue</w:t>
      </w:r>
      <w:r w:rsidRPr="00CD5552">
        <w:rPr>
          <w:rFonts w:ascii="Times New Roman" w:eastAsia="Times New Roman" w:hAnsi="Times New Roman" w:cs="Times New Roman"/>
          <w:lang w:val="fr-FR" w:eastAsia="en-GB"/>
        </w:rPr>
        <w:t xml:space="preserve"> l’orsque il y a atteinte à un intérêt général car le contrat a été passé en violation d’une prescription de la loi quant au fond ou quant à la forme (ex. contrat contraire aux bonnes mœurs ou à l’ordre public, contrat solennel pass</w:t>
      </w:r>
      <w:r w:rsidR="001F6D28">
        <w:rPr>
          <w:rFonts w:ascii="Times New Roman" w:eastAsia="Times New Roman" w:hAnsi="Times New Roman" w:cs="Times New Roman"/>
          <w:lang w:val="fr-FR" w:eastAsia="en-GB"/>
        </w:rPr>
        <w:t xml:space="preserve">é </w:t>
      </w:r>
      <w:r w:rsidRPr="00CD5552">
        <w:rPr>
          <w:rFonts w:ascii="Times New Roman" w:eastAsia="Times New Roman" w:hAnsi="Times New Roman" w:cs="Times New Roman"/>
          <w:lang w:val="fr-FR" w:eastAsia="en-GB"/>
        </w:rPr>
        <w:t>en la forme de sous seing privé): à ces cas, on ajoute souvent les cas dits d’inexistence.</w:t>
      </w:r>
    </w:p>
    <w:p w14:paraId="407D6F70" w14:textId="77777777" w:rsidR="00882EAA" w:rsidRPr="00CD5552" w:rsidRDefault="00882EAA" w:rsidP="001F6D28">
      <w:pPr>
        <w:pStyle w:val="ListParagraph"/>
        <w:spacing w:after="0" w:line="360" w:lineRule="auto"/>
        <w:ind w:left="1134" w:right="855"/>
        <w:jc w:val="both"/>
        <w:rPr>
          <w:rFonts w:ascii="Times New Roman" w:eastAsia="Times New Roman" w:hAnsi="Times New Roman" w:cs="Times New Roman"/>
          <w:lang w:val="fr-FR" w:eastAsia="en-GB"/>
        </w:rPr>
      </w:pPr>
    </w:p>
    <w:p w14:paraId="1F9C9B0D" w14:textId="5E3E6EAB" w:rsidR="00882EAA" w:rsidRPr="00CD5552" w:rsidRDefault="00882EAA" w:rsidP="001F6D28">
      <w:pPr>
        <w:pStyle w:val="ListParagraph"/>
        <w:numPr>
          <w:ilvl w:val="0"/>
          <w:numId w:val="28"/>
        </w:numPr>
        <w:spacing w:after="0" w:line="360" w:lineRule="auto"/>
        <w:ind w:left="1134" w:right="855" w:firstLine="0"/>
        <w:jc w:val="both"/>
        <w:rPr>
          <w:rFonts w:ascii="Times New Roman" w:eastAsia="Times New Roman" w:hAnsi="Times New Roman" w:cs="Times New Roman"/>
          <w:lang w:val="fr-FR" w:eastAsia="en-GB"/>
        </w:rPr>
      </w:pPr>
      <w:r w:rsidRPr="00CD5552">
        <w:rPr>
          <w:rFonts w:ascii="Times New Roman" w:eastAsia="Times New Roman" w:hAnsi="Times New Roman" w:cs="Times New Roman"/>
          <w:lang w:val="fr-FR" w:eastAsia="en-GB"/>
        </w:rPr>
        <w:t xml:space="preserve">It s’agit de </w:t>
      </w:r>
      <w:r w:rsidRPr="00CD5552">
        <w:rPr>
          <w:rFonts w:ascii="Times New Roman" w:eastAsia="Times New Roman" w:hAnsi="Times New Roman" w:cs="Times New Roman"/>
          <w:i/>
          <w:iCs/>
          <w:lang w:val="fr-FR" w:eastAsia="en-GB"/>
        </w:rPr>
        <w:t>nullité relative</w:t>
      </w:r>
      <w:r w:rsidRPr="00CD5552">
        <w:rPr>
          <w:rFonts w:ascii="Times New Roman" w:eastAsia="Times New Roman" w:hAnsi="Times New Roman" w:cs="Times New Roman"/>
          <w:lang w:val="fr-FR" w:eastAsia="en-GB"/>
        </w:rPr>
        <w:t xml:space="preserve"> lorsqu’il faut protéger l’un de contractants soit parce que la manifestation de sa volonté est imparfaite (vices du consentement) soit parce qu’il est incapable (mineur, personne atteinte d’insanité d’esprit</w:t>
      </w:r>
      <w:r w:rsidR="00A055B9" w:rsidRPr="00CD5552">
        <w:rPr>
          <w:rFonts w:ascii="Times New Roman" w:eastAsia="Times New Roman" w:hAnsi="Times New Roman" w:cs="Times New Roman"/>
          <w:i/>
          <w:iCs/>
          <w:lang w:val="fr-FR" w:eastAsia="en-GB"/>
        </w:rPr>
        <w:t>) »</w:t>
      </w:r>
      <w:r w:rsidR="00A055B9" w:rsidRPr="00CD5552">
        <w:rPr>
          <w:rStyle w:val="FootnoteReference"/>
          <w:rFonts w:ascii="Times New Roman" w:eastAsia="Times New Roman" w:hAnsi="Times New Roman" w:cs="Times New Roman"/>
          <w:i/>
          <w:iCs/>
          <w:lang w:val="fr-FR" w:eastAsia="en-GB"/>
        </w:rPr>
        <w:footnoteReference w:id="3"/>
      </w:r>
    </w:p>
    <w:p w14:paraId="2F28AA10" w14:textId="75BD2E3C" w:rsidR="00882EAA" w:rsidRPr="00CD5552" w:rsidRDefault="00882EAA" w:rsidP="00CD5552">
      <w:pPr>
        <w:spacing w:line="276" w:lineRule="auto"/>
        <w:ind w:left="1134" w:right="855"/>
        <w:jc w:val="both"/>
        <w:rPr>
          <w:i/>
          <w:iCs/>
          <w:sz w:val="22"/>
          <w:szCs w:val="22"/>
          <w:lang w:val="fr-FR"/>
        </w:rPr>
      </w:pPr>
    </w:p>
    <w:p w14:paraId="2007462C" w14:textId="77777777" w:rsidR="00A055B9" w:rsidRPr="005D38D9" w:rsidRDefault="00A055B9" w:rsidP="001F6D28">
      <w:pPr>
        <w:spacing w:line="360" w:lineRule="auto"/>
        <w:ind w:left="1134" w:right="855"/>
        <w:jc w:val="both"/>
        <w:rPr>
          <w:i/>
          <w:iCs/>
          <w:sz w:val="22"/>
          <w:szCs w:val="22"/>
          <w:lang w:val="fr-FR"/>
        </w:rPr>
      </w:pPr>
      <w:r w:rsidRPr="00CD5552">
        <w:rPr>
          <w:i/>
          <w:iCs/>
          <w:sz w:val="22"/>
          <w:szCs w:val="22"/>
          <w:lang w:val="fr-FR"/>
        </w:rPr>
        <w:t>« </w:t>
      </w:r>
      <w:r w:rsidRPr="005D38D9">
        <w:rPr>
          <w:i/>
          <w:iCs/>
          <w:sz w:val="22"/>
          <w:szCs w:val="22"/>
          <w:lang w:val="fr-FR"/>
        </w:rPr>
        <w:t>3. EFFETS DU JUGEMENT D’ANNULATION</w:t>
      </w:r>
    </w:p>
    <w:p w14:paraId="521BC3F3" w14:textId="77777777" w:rsidR="00A055B9" w:rsidRPr="005D38D9" w:rsidRDefault="00A055B9" w:rsidP="001F6D28">
      <w:pPr>
        <w:spacing w:line="360" w:lineRule="auto"/>
        <w:ind w:left="1134" w:right="855"/>
        <w:jc w:val="both"/>
        <w:rPr>
          <w:i/>
          <w:iCs/>
          <w:sz w:val="22"/>
          <w:szCs w:val="22"/>
          <w:lang w:val="fr-FR"/>
        </w:rPr>
      </w:pPr>
    </w:p>
    <w:p w14:paraId="0E392370" w14:textId="77777777" w:rsidR="00A055B9" w:rsidRPr="00CD5552" w:rsidRDefault="00A055B9" w:rsidP="001F6D28">
      <w:pPr>
        <w:spacing w:line="360" w:lineRule="auto"/>
        <w:ind w:left="1134" w:right="855"/>
        <w:jc w:val="both"/>
        <w:rPr>
          <w:i/>
          <w:iCs/>
          <w:sz w:val="22"/>
          <w:szCs w:val="22"/>
          <w:lang w:val="fr-FR"/>
        </w:rPr>
      </w:pPr>
      <w:r w:rsidRPr="00CD5552">
        <w:rPr>
          <w:i/>
          <w:iCs/>
          <w:sz w:val="22"/>
          <w:szCs w:val="22"/>
          <w:lang w:val="fr-FR"/>
        </w:rPr>
        <w:t>168- La nullité des lors qu’elle est constatée, est encourue de plein droit, c’est-à -dire que le juges doivent annuler le contrat.</w:t>
      </w:r>
    </w:p>
    <w:p w14:paraId="41113137" w14:textId="1130996C" w:rsidR="00A055B9" w:rsidRPr="00CD5552" w:rsidRDefault="00A055B9" w:rsidP="001F6D28">
      <w:pPr>
        <w:spacing w:line="360" w:lineRule="auto"/>
        <w:ind w:left="1134" w:right="855"/>
        <w:jc w:val="both"/>
        <w:rPr>
          <w:i/>
          <w:iCs/>
          <w:sz w:val="22"/>
          <w:szCs w:val="22"/>
          <w:lang w:val="fr-FR"/>
        </w:rPr>
      </w:pPr>
      <w:r w:rsidRPr="00CD5552">
        <w:rPr>
          <w:i/>
          <w:iCs/>
          <w:sz w:val="22"/>
          <w:szCs w:val="22"/>
          <w:lang w:val="fr-FR"/>
        </w:rPr>
        <w:tab/>
      </w:r>
      <w:r w:rsidRPr="00CD5552">
        <w:rPr>
          <w:i/>
          <w:iCs/>
          <w:sz w:val="22"/>
          <w:szCs w:val="22"/>
          <w:u w:val="single"/>
          <w:lang w:val="fr-FR"/>
        </w:rPr>
        <w:t>L’annulation, qu’il s’agisse d’une nullité absolue ou relative, est toujours rétroactive. Le contrat est complètement anéanti, il est considéré comme n’ayant jamais existé et les parties doivent être remises dans l’état ou elles se trouvaient avant sa conclusion</w:t>
      </w:r>
      <w:r w:rsidRPr="00CD5552">
        <w:rPr>
          <w:i/>
          <w:iCs/>
          <w:sz w:val="22"/>
          <w:szCs w:val="22"/>
          <w:lang w:val="fr-FR"/>
        </w:rPr>
        <w:t xml:space="preserve">, c’est qui entraine deux </w:t>
      </w:r>
      <w:r w:rsidR="001F6D28" w:rsidRPr="00CD5552">
        <w:rPr>
          <w:i/>
          <w:iCs/>
          <w:sz w:val="22"/>
          <w:szCs w:val="22"/>
          <w:lang w:val="fr-FR"/>
        </w:rPr>
        <w:t>conséquences :</w:t>
      </w:r>
      <w:r w:rsidRPr="00CD5552">
        <w:rPr>
          <w:i/>
          <w:iCs/>
          <w:sz w:val="22"/>
          <w:szCs w:val="22"/>
          <w:lang w:val="fr-FR"/>
        </w:rPr>
        <w:t xml:space="preserve"> la nécessité d’opérer le restitutions et l’irresponsabilité contractuelle des parties.</w:t>
      </w:r>
    </w:p>
    <w:p w14:paraId="4B99E74B" w14:textId="77777777" w:rsidR="00A055B9" w:rsidRPr="00CD5552" w:rsidRDefault="00A055B9" w:rsidP="001F6D28">
      <w:pPr>
        <w:spacing w:line="360" w:lineRule="auto"/>
        <w:ind w:left="1134" w:right="855"/>
        <w:jc w:val="both"/>
        <w:rPr>
          <w:i/>
          <w:iCs/>
          <w:sz w:val="22"/>
          <w:szCs w:val="22"/>
          <w:lang w:val="fr-FR"/>
        </w:rPr>
      </w:pPr>
    </w:p>
    <w:p w14:paraId="6A4AF9B1" w14:textId="44D0D87B" w:rsidR="00A055B9" w:rsidRPr="00CD5552" w:rsidRDefault="00A055B9" w:rsidP="001F6D28">
      <w:pPr>
        <w:spacing w:line="360" w:lineRule="auto"/>
        <w:ind w:left="1134" w:right="855"/>
        <w:jc w:val="both"/>
        <w:rPr>
          <w:i/>
          <w:iCs/>
          <w:sz w:val="22"/>
          <w:szCs w:val="22"/>
          <w:lang w:val="fr-FR"/>
        </w:rPr>
      </w:pPr>
      <w:r w:rsidRPr="00CD5552">
        <w:rPr>
          <w:i/>
          <w:iCs/>
          <w:sz w:val="22"/>
          <w:szCs w:val="22"/>
          <w:lang w:val="fr-FR"/>
        </w:rPr>
        <w:lastRenderedPageBreak/>
        <w:t xml:space="preserve">169- </w:t>
      </w:r>
      <w:r w:rsidRPr="00CD5552">
        <w:rPr>
          <w:i/>
          <w:iCs/>
          <w:sz w:val="22"/>
          <w:szCs w:val="22"/>
          <w:u w:val="single"/>
          <w:lang w:val="fr-FR"/>
        </w:rPr>
        <w:t>Toutefois, certains contrats ne peuvent être rétroactivement anéantis : ce sont les contrats à exécution successive (contrat de bail, contrat de travail, par exemple), L’annulation pour eux, n’agira que pour l’avenir. Mais le règlement de la situation de fait découlant de l’annulation du contrat se fera selon des réglés différentes, par ex: indemnité d’occupation au lieu de loyer</w:t>
      </w:r>
      <w:r w:rsidRPr="00CD5552">
        <w:rPr>
          <w:i/>
          <w:iCs/>
          <w:sz w:val="22"/>
          <w:szCs w:val="22"/>
          <w:lang w:val="fr-FR"/>
        </w:rPr>
        <w:t>, par ex. encore règlement entre associes proportionnels aux apports de chacun et non selon les règles fixées dans le pacte social entache de nullités. On considère ici qu’il y a application de la théorie de l’enrichissement sans cause (no. 1296) »</w:t>
      </w:r>
      <w:r w:rsidRPr="00CD5552">
        <w:rPr>
          <w:rStyle w:val="FootnoteReference"/>
          <w:i/>
          <w:iCs/>
          <w:sz w:val="22"/>
          <w:szCs w:val="22"/>
          <w:lang w:val="fr-FR"/>
        </w:rPr>
        <w:footnoteReference w:id="4"/>
      </w:r>
    </w:p>
    <w:p w14:paraId="75A397E6" w14:textId="77777777" w:rsidR="00A055B9" w:rsidRPr="00882EAA" w:rsidRDefault="00A055B9" w:rsidP="00A055B9">
      <w:pPr>
        <w:spacing w:line="276" w:lineRule="auto"/>
        <w:ind w:left="851"/>
        <w:jc w:val="both"/>
        <w:rPr>
          <w:i/>
          <w:iCs/>
          <w:lang w:val="fr-FR"/>
        </w:rPr>
      </w:pPr>
    </w:p>
    <w:p w14:paraId="799DA509" w14:textId="0FEBB554" w:rsidR="00A055B9" w:rsidRPr="00882EAA" w:rsidRDefault="00A055B9" w:rsidP="00A055B9">
      <w:pPr>
        <w:pStyle w:val="ListParagraph"/>
        <w:numPr>
          <w:ilvl w:val="0"/>
          <w:numId w:val="12"/>
        </w:numPr>
        <w:spacing w:after="0" w:line="36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 xml:space="preserve">Article 1338 of the Civil Code </w:t>
      </w:r>
      <w:r w:rsidR="00A7567E">
        <w:rPr>
          <w:rFonts w:ascii="Times New Roman" w:hAnsi="Times New Roman" w:cs="Times New Roman"/>
          <w:sz w:val="24"/>
          <w:szCs w:val="24"/>
        </w:rPr>
        <w:t xml:space="preserve">recognizes that </w:t>
      </w:r>
      <w:r>
        <w:rPr>
          <w:rFonts w:ascii="Times New Roman" w:hAnsi="Times New Roman" w:cs="Times New Roman"/>
          <w:sz w:val="24"/>
          <w:szCs w:val="24"/>
        </w:rPr>
        <w:t xml:space="preserve">obligations that are voidable </w:t>
      </w:r>
      <w:r w:rsidR="00CD5552">
        <w:rPr>
          <w:rFonts w:ascii="Times New Roman" w:hAnsi="Times New Roman" w:cs="Times New Roman"/>
          <w:sz w:val="24"/>
          <w:szCs w:val="24"/>
        </w:rPr>
        <w:t>on</w:t>
      </w:r>
      <w:r>
        <w:rPr>
          <w:rFonts w:ascii="Times New Roman" w:hAnsi="Times New Roman" w:cs="Times New Roman"/>
          <w:sz w:val="24"/>
          <w:szCs w:val="24"/>
        </w:rPr>
        <w:t xml:space="preserve"> grounds of nullity or rescission</w:t>
      </w:r>
      <w:r w:rsidR="00A7567E">
        <w:rPr>
          <w:rFonts w:ascii="Times New Roman" w:hAnsi="Times New Roman" w:cs="Times New Roman"/>
          <w:sz w:val="24"/>
          <w:szCs w:val="24"/>
        </w:rPr>
        <w:t xml:space="preserve"> may be confirmed or ratified. </w:t>
      </w:r>
      <w:r>
        <w:rPr>
          <w:rFonts w:ascii="Times New Roman" w:hAnsi="Times New Roman" w:cs="Times New Roman"/>
          <w:sz w:val="24"/>
          <w:szCs w:val="24"/>
        </w:rPr>
        <w:t>It stipulates that —</w:t>
      </w:r>
    </w:p>
    <w:p w14:paraId="2FD14048" w14:textId="77777777" w:rsidR="00A055B9" w:rsidRDefault="00A055B9" w:rsidP="00A055B9">
      <w:pPr>
        <w:pStyle w:val="ListParagraph"/>
        <w:spacing w:after="0" w:line="360" w:lineRule="auto"/>
        <w:jc w:val="both"/>
        <w:rPr>
          <w:rFonts w:ascii="Times New Roman" w:hAnsi="Times New Roman" w:cs="Times New Roman"/>
          <w:sz w:val="24"/>
          <w:szCs w:val="24"/>
        </w:rPr>
      </w:pPr>
    </w:p>
    <w:p w14:paraId="099BE74C" w14:textId="77777777" w:rsidR="00A055B9" w:rsidRPr="00882EAA" w:rsidRDefault="00A055B9" w:rsidP="001F6D28">
      <w:pPr>
        <w:pStyle w:val="Heading2"/>
        <w:spacing w:before="0" w:beforeAutospacing="0" w:after="192" w:afterAutospacing="0" w:line="360" w:lineRule="auto"/>
        <w:ind w:left="1134" w:right="855"/>
        <w:jc w:val="both"/>
        <w:rPr>
          <w:rStyle w:val="akn-p"/>
          <w:b w:val="0"/>
          <w:bCs w:val="0"/>
          <w:i/>
          <w:iCs/>
          <w:sz w:val="22"/>
          <w:szCs w:val="22"/>
        </w:rPr>
      </w:pPr>
      <w:r w:rsidRPr="00882EAA">
        <w:rPr>
          <w:i/>
          <w:iCs/>
          <w:color w:val="212529"/>
          <w:sz w:val="22"/>
          <w:szCs w:val="22"/>
        </w:rPr>
        <w:t xml:space="preserve">“1338. </w:t>
      </w:r>
      <w:r w:rsidRPr="00882EAA">
        <w:rPr>
          <w:b w:val="0"/>
          <w:bCs w:val="0"/>
          <w:i/>
          <w:iCs/>
          <w:color w:val="212529"/>
          <w:sz w:val="22"/>
          <w:szCs w:val="22"/>
        </w:rPr>
        <w:t xml:space="preserve">(1) </w:t>
      </w:r>
      <w:r w:rsidRPr="00882EAA">
        <w:rPr>
          <w:rStyle w:val="akn-p"/>
          <w:b w:val="0"/>
          <w:bCs w:val="0"/>
          <w:i/>
          <w:iCs/>
          <w:sz w:val="22"/>
          <w:szCs w:val="22"/>
        </w:rPr>
        <w:t xml:space="preserve">A document of </w:t>
      </w:r>
      <w:r w:rsidRPr="00882EAA">
        <w:rPr>
          <w:rStyle w:val="akn-p"/>
          <w:b w:val="0"/>
          <w:bCs w:val="0"/>
          <w:i/>
          <w:iCs/>
          <w:sz w:val="22"/>
          <w:szCs w:val="22"/>
          <w:u w:val="single"/>
        </w:rPr>
        <w:t>confirmation or ratification of an obligation which is, by law, subject to an action for nullity or rescission</w:t>
      </w:r>
      <w:r w:rsidRPr="00882EAA">
        <w:rPr>
          <w:rStyle w:val="akn-p"/>
          <w:b w:val="0"/>
          <w:bCs w:val="0"/>
          <w:i/>
          <w:iCs/>
          <w:sz w:val="22"/>
          <w:szCs w:val="22"/>
        </w:rPr>
        <w:t xml:space="preserve"> shall only be valid if that document contains the substance of that obligation, a reference to the cause of the action for rescission and the intention to rectify the defect upon which that action is founded.</w:t>
      </w:r>
    </w:p>
    <w:p w14:paraId="3D04F99E" w14:textId="77777777" w:rsidR="00A055B9" w:rsidRPr="00882EAA" w:rsidRDefault="00A055B9" w:rsidP="001F6D28">
      <w:pPr>
        <w:pStyle w:val="Heading2"/>
        <w:spacing w:before="0" w:beforeAutospacing="0" w:after="192" w:afterAutospacing="0" w:line="360" w:lineRule="auto"/>
        <w:ind w:left="1134" w:right="855" w:firstLine="720"/>
        <w:jc w:val="both"/>
        <w:rPr>
          <w:rStyle w:val="akn-p"/>
          <w:b w:val="0"/>
          <w:bCs w:val="0"/>
          <w:i/>
          <w:iCs/>
          <w:sz w:val="22"/>
          <w:szCs w:val="22"/>
        </w:rPr>
      </w:pPr>
      <w:r w:rsidRPr="00882EAA">
        <w:rPr>
          <w:rStyle w:val="akn-p"/>
          <w:b w:val="0"/>
          <w:bCs w:val="0"/>
          <w:i/>
          <w:iCs/>
          <w:sz w:val="22"/>
          <w:szCs w:val="22"/>
        </w:rPr>
        <w:t xml:space="preserve">(2) </w:t>
      </w:r>
      <w:r w:rsidRPr="00882EAA">
        <w:rPr>
          <w:rStyle w:val="akn-p"/>
          <w:b w:val="0"/>
          <w:bCs w:val="0"/>
          <w:i/>
          <w:iCs/>
          <w:sz w:val="22"/>
          <w:szCs w:val="22"/>
          <w:u w:val="single"/>
        </w:rPr>
        <w:t>In the absence of a document of confirmation or ratification, it shall be sufficient if the obligation is performed voluntarily subsequent to the period during which the obligation was capable of being validly confirmed or ratified</w:t>
      </w:r>
      <w:r w:rsidRPr="00882EAA">
        <w:rPr>
          <w:rStyle w:val="akn-p"/>
          <w:b w:val="0"/>
          <w:bCs w:val="0"/>
          <w:i/>
          <w:iCs/>
          <w:sz w:val="22"/>
          <w:szCs w:val="22"/>
        </w:rPr>
        <w:t>.</w:t>
      </w:r>
    </w:p>
    <w:p w14:paraId="02E90648" w14:textId="77777777" w:rsidR="00A055B9" w:rsidRDefault="00A055B9" w:rsidP="001F6D28">
      <w:pPr>
        <w:pStyle w:val="Heading2"/>
        <w:spacing w:before="0" w:beforeAutospacing="0" w:after="192" w:afterAutospacing="0" w:line="360" w:lineRule="auto"/>
        <w:ind w:left="1134" w:right="855" w:firstLine="720"/>
        <w:jc w:val="both"/>
        <w:rPr>
          <w:rStyle w:val="akn-num"/>
          <w:b w:val="0"/>
          <w:bCs w:val="0"/>
          <w:i/>
          <w:iCs/>
          <w:sz w:val="22"/>
          <w:szCs w:val="22"/>
        </w:rPr>
      </w:pPr>
      <w:r w:rsidRPr="00882EAA">
        <w:rPr>
          <w:rStyle w:val="akn-p"/>
          <w:b w:val="0"/>
          <w:bCs w:val="0"/>
          <w:i/>
          <w:iCs/>
          <w:sz w:val="22"/>
          <w:szCs w:val="22"/>
        </w:rPr>
        <w:t xml:space="preserve">(3) The confirmation, ratification, </w:t>
      </w:r>
      <w:r w:rsidRPr="00882EAA">
        <w:rPr>
          <w:rStyle w:val="akn-p"/>
          <w:b w:val="0"/>
          <w:bCs w:val="0"/>
          <w:i/>
          <w:iCs/>
          <w:sz w:val="22"/>
          <w:szCs w:val="22"/>
          <w:u w:val="single"/>
        </w:rPr>
        <w:t>or voluntary performance in the form of, and during the period determined by, the law carries with it the waiver of the defences and denials which could be pleaded against that document, without prejudice, however, to the rights of third parties.</w:t>
      </w:r>
    </w:p>
    <w:p w14:paraId="40A2B081" w14:textId="77777777" w:rsidR="00A055B9" w:rsidRDefault="00A055B9" w:rsidP="001F6D28">
      <w:pPr>
        <w:pStyle w:val="Heading2"/>
        <w:spacing w:before="0" w:beforeAutospacing="0" w:after="192" w:afterAutospacing="0" w:line="360" w:lineRule="auto"/>
        <w:ind w:left="1134" w:right="855" w:firstLine="720"/>
        <w:jc w:val="both"/>
        <w:rPr>
          <w:rStyle w:val="akn-p"/>
          <w:b w:val="0"/>
          <w:bCs w:val="0"/>
          <w:i/>
          <w:iCs/>
          <w:sz w:val="22"/>
          <w:szCs w:val="22"/>
        </w:rPr>
      </w:pPr>
      <w:r>
        <w:rPr>
          <w:rStyle w:val="akn-p"/>
          <w:b w:val="0"/>
          <w:bCs w:val="0"/>
          <w:i/>
          <w:iCs/>
          <w:sz w:val="22"/>
          <w:szCs w:val="22"/>
        </w:rPr>
        <w:t xml:space="preserve">(4) </w:t>
      </w:r>
      <w:r w:rsidRPr="00882EAA">
        <w:rPr>
          <w:rStyle w:val="akn-p"/>
          <w:b w:val="0"/>
          <w:bCs w:val="0"/>
          <w:i/>
          <w:iCs/>
          <w:sz w:val="22"/>
          <w:szCs w:val="22"/>
        </w:rPr>
        <w:t>The respective rights of the parties as under paragraph 1 of this article shall not be affected by the fact that a bill of exchange is drawn or indorsed by a minor or a corporation.</w:t>
      </w:r>
      <w:r>
        <w:rPr>
          <w:rStyle w:val="akn-p"/>
          <w:b w:val="0"/>
          <w:bCs w:val="0"/>
          <w:i/>
          <w:iCs/>
          <w:sz w:val="22"/>
          <w:szCs w:val="22"/>
        </w:rPr>
        <w:t>”</w:t>
      </w:r>
    </w:p>
    <w:p w14:paraId="3C5A0F1F" w14:textId="77777777" w:rsidR="00A055B9" w:rsidRPr="00A055B9" w:rsidRDefault="00A055B9" w:rsidP="00A055B9">
      <w:pPr>
        <w:pStyle w:val="Heading2"/>
        <w:spacing w:before="0" w:beforeAutospacing="0" w:after="192" w:afterAutospacing="0" w:line="276" w:lineRule="auto"/>
        <w:ind w:left="709" w:right="429"/>
        <w:jc w:val="both"/>
        <w:rPr>
          <w:b w:val="0"/>
          <w:bCs w:val="0"/>
          <w:color w:val="212529"/>
          <w:sz w:val="24"/>
          <w:szCs w:val="24"/>
        </w:rPr>
      </w:pPr>
      <w:r w:rsidRPr="00A055B9">
        <w:rPr>
          <w:rStyle w:val="akn-p"/>
          <w:b w:val="0"/>
          <w:bCs w:val="0"/>
          <w:sz w:val="22"/>
          <w:szCs w:val="22"/>
        </w:rPr>
        <w:t>(Emphasis added)</w:t>
      </w:r>
    </w:p>
    <w:p w14:paraId="1674578F" w14:textId="77777777" w:rsidR="00882EAA" w:rsidRPr="00FB0291" w:rsidRDefault="00882EAA" w:rsidP="00FB0291">
      <w:pPr>
        <w:spacing w:line="360" w:lineRule="auto"/>
        <w:jc w:val="both"/>
        <w:rPr>
          <w:lang w:val="fr-FR"/>
        </w:rPr>
      </w:pPr>
    </w:p>
    <w:p w14:paraId="3AC26A88" w14:textId="7229D535" w:rsidR="00A055B9" w:rsidRDefault="00A7567E" w:rsidP="00A055B9">
      <w:pPr>
        <w:pStyle w:val="ListParagraph"/>
        <w:numPr>
          <w:ilvl w:val="0"/>
          <w:numId w:val="12"/>
        </w:numPr>
        <w:spacing w:after="0"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follows </w:t>
      </w:r>
      <w:r w:rsidR="00FB0291">
        <w:rPr>
          <w:rFonts w:ascii="Times New Roman" w:hAnsi="Times New Roman" w:cs="Times New Roman"/>
          <w:sz w:val="24"/>
          <w:szCs w:val="24"/>
          <w:lang w:val="en-US"/>
        </w:rPr>
        <w:t xml:space="preserve">from the above citations </w:t>
      </w:r>
      <w:r>
        <w:rPr>
          <w:rFonts w:ascii="Times New Roman" w:hAnsi="Times New Roman" w:cs="Times New Roman"/>
          <w:sz w:val="24"/>
          <w:szCs w:val="24"/>
          <w:lang w:val="en-US"/>
        </w:rPr>
        <w:t>that</w:t>
      </w:r>
      <w:r w:rsidR="00CD5552">
        <w:rPr>
          <w:rFonts w:ascii="Times New Roman" w:hAnsi="Times New Roman" w:cs="Times New Roman"/>
          <w:sz w:val="24"/>
          <w:szCs w:val="24"/>
          <w:lang w:val="en-US"/>
        </w:rPr>
        <w:t xml:space="preserve"> if a ground of nullity exists in a contract, the said contract is merely voidable. Nullity must be declared by the court.  Where</w:t>
      </w:r>
      <w:r>
        <w:rPr>
          <w:rFonts w:ascii="Times New Roman" w:hAnsi="Times New Roman" w:cs="Times New Roman"/>
          <w:sz w:val="24"/>
          <w:szCs w:val="24"/>
          <w:lang w:val="en-US"/>
        </w:rPr>
        <w:t xml:space="preserve"> a </w:t>
      </w:r>
      <w:r w:rsidR="00A055B9" w:rsidRPr="00A055B9">
        <w:rPr>
          <w:rFonts w:ascii="Times New Roman" w:hAnsi="Times New Roman" w:cs="Times New Roman"/>
          <w:sz w:val="24"/>
          <w:szCs w:val="24"/>
          <w:lang w:val="en-US"/>
        </w:rPr>
        <w:t xml:space="preserve">contract is </w:t>
      </w:r>
      <w:r w:rsidR="00DB5700">
        <w:rPr>
          <w:rFonts w:ascii="Times New Roman" w:hAnsi="Times New Roman" w:cs="Times New Roman"/>
          <w:sz w:val="24"/>
          <w:szCs w:val="24"/>
          <w:lang w:val="en-US"/>
        </w:rPr>
        <w:lastRenderedPageBreak/>
        <w:t>declared</w:t>
      </w:r>
      <w:r w:rsidR="00A055B9">
        <w:rPr>
          <w:rFonts w:ascii="Times New Roman" w:hAnsi="Times New Roman" w:cs="Times New Roman"/>
          <w:sz w:val="24"/>
          <w:szCs w:val="24"/>
          <w:lang w:val="en-US"/>
        </w:rPr>
        <w:t xml:space="preserve"> </w:t>
      </w:r>
      <w:r w:rsidR="00CD5552">
        <w:rPr>
          <w:rFonts w:ascii="Times New Roman" w:hAnsi="Times New Roman" w:cs="Times New Roman"/>
          <w:sz w:val="24"/>
          <w:szCs w:val="24"/>
          <w:lang w:val="en-US"/>
        </w:rPr>
        <w:t xml:space="preserve">to be </w:t>
      </w:r>
      <w:r w:rsidR="00A055B9" w:rsidRPr="00A055B9">
        <w:rPr>
          <w:rFonts w:ascii="Times New Roman" w:hAnsi="Times New Roman" w:cs="Times New Roman"/>
          <w:sz w:val="24"/>
          <w:szCs w:val="24"/>
          <w:lang w:val="en-US"/>
        </w:rPr>
        <w:t>null</w:t>
      </w:r>
      <w:r>
        <w:rPr>
          <w:rFonts w:ascii="Times New Roman" w:hAnsi="Times New Roman" w:cs="Times New Roman"/>
          <w:sz w:val="24"/>
          <w:szCs w:val="24"/>
          <w:lang w:val="en-US"/>
        </w:rPr>
        <w:t>,</w:t>
      </w:r>
      <w:r w:rsidR="00A055B9">
        <w:rPr>
          <w:rFonts w:ascii="Times New Roman" w:hAnsi="Times New Roman" w:cs="Times New Roman"/>
          <w:sz w:val="24"/>
          <w:szCs w:val="24"/>
          <w:lang w:val="en-US"/>
        </w:rPr>
        <w:t xml:space="preserve"> it </w:t>
      </w:r>
      <w:r w:rsidR="00882EAA" w:rsidRPr="00A055B9">
        <w:rPr>
          <w:rFonts w:ascii="Times New Roman" w:hAnsi="Times New Roman" w:cs="Times New Roman"/>
          <w:sz w:val="24"/>
          <w:szCs w:val="24"/>
          <w:lang w:val="en-US"/>
        </w:rPr>
        <w:t xml:space="preserve">is </w:t>
      </w:r>
      <w:r>
        <w:rPr>
          <w:rFonts w:ascii="Times New Roman" w:hAnsi="Times New Roman" w:cs="Times New Roman"/>
          <w:sz w:val="24"/>
          <w:szCs w:val="24"/>
          <w:lang w:val="en-US"/>
        </w:rPr>
        <w:t>void</w:t>
      </w:r>
      <w:r w:rsidR="00882EAA" w:rsidRPr="00A055B9">
        <w:rPr>
          <w:rFonts w:ascii="Times New Roman" w:hAnsi="Times New Roman" w:cs="Times New Roman"/>
          <w:sz w:val="24"/>
          <w:szCs w:val="24"/>
          <w:lang w:val="en-US"/>
        </w:rPr>
        <w:t xml:space="preserve"> </w:t>
      </w:r>
      <w:r w:rsidR="00882EAA" w:rsidRPr="00A055B9">
        <w:rPr>
          <w:rFonts w:ascii="Times New Roman" w:hAnsi="Times New Roman" w:cs="Times New Roman"/>
          <w:i/>
          <w:iCs/>
          <w:sz w:val="24"/>
          <w:szCs w:val="24"/>
          <w:lang w:val="en-US"/>
        </w:rPr>
        <w:t>ab initio</w:t>
      </w:r>
      <w:r w:rsidR="001A16BA" w:rsidRPr="00A055B9">
        <w:rPr>
          <w:rFonts w:ascii="Times New Roman" w:hAnsi="Times New Roman" w:cs="Times New Roman"/>
          <w:i/>
          <w:iCs/>
          <w:sz w:val="24"/>
          <w:szCs w:val="24"/>
          <w:lang w:val="en-US"/>
        </w:rPr>
        <w:t xml:space="preserve"> (retroactively)</w:t>
      </w:r>
      <w:r w:rsidR="00882EAA" w:rsidRPr="00A055B9">
        <w:rPr>
          <w:rFonts w:ascii="Times New Roman" w:hAnsi="Times New Roman" w:cs="Times New Roman"/>
          <w:i/>
          <w:iCs/>
          <w:sz w:val="24"/>
          <w:szCs w:val="24"/>
          <w:lang w:val="en-US"/>
        </w:rPr>
        <w:t xml:space="preserve"> </w:t>
      </w:r>
      <w:r w:rsidR="00882EAA" w:rsidRPr="00A055B9">
        <w:rPr>
          <w:rFonts w:ascii="Times New Roman" w:hAnsi="Times New Roman" w:cs="Times New Roman"/>
          <w:sz w:val="24"/>
          <w:szCs w:val="24"/>
          <w:lang w:val="en-US"/>
        </w:rPr>
        <w:t xml:space="preserve">in its entirety. It is as if the contract never existed, and the parties </w:t>
      </w:r>
      <w:r w:rsidR="00CD5552">
        <w:rPr>
          <w:rFonts w:ascii="Times New Roman" w:hAnsi="Times New Roman" w:cs="Times New Roman"/>
          <w:sz w:val="24"/>
          <w:szCs w:val="24"/>
          <w:lang w:val="en-US"/>
        </w:rPr>
        <w:t>are</w:t>
      </w:r>
      <w:r w:rsidR="00882EAA" w:rsidRPr="00A055B9">
        <w:rPr>
          <w:rFonts w:ascii="Times New Roman" w:hAnsi="Times New Roman" w:cs="Times New Roman"/>
          <w:sz w:val="24"/>
          <w:szCs w:val="24"/>
          <w:lang w:val="en-US"/>
        </w:rPr>
        <w:t xml:space="preserve"> </w:t>
      </w:r>
      <w:r w:rsidR="00CD5552">
        <w:rPr>
          <w:rFonts w:ascii="Times New Roman" w:hAnsi="Times New Roman" w:cs="Times New Roman"/>
          <w:sz w:val="24"/>
          <w:szCs w:val="24"/>
          <w:lang w:val="en-US"/>
        </w:rPr>
        <w:t xml:space="preserve">thereby </w:t>
      </w:r>
      <w:r w:rsidR="00882EAA" w:rsidRPr="00A055B9">
        <w:rPr>
          <w:rFonts w:ascii="Times New Roman" w:hAnsi="Times New Roman" w:cs="Times New Roman"/>
          <w:sz w:val="24"/>
          <w:szCs w:val="24"/>
          <w:lang w:val="en-US"/>
        </w:rPr>
        <w:t xml:space="preserve">returned </w:t>
      </w:r>
      <w:r>
        <w:rPr>
          <w:rFonts w:ascii="Times New Roman" w:hAnsi="Times New Roman" w:cs="Times New Roman"/>
          <w:sz w:val="24"/>
          <w:szCs w:val="24"/>
          <w:lang w:val="en-US"/>
        </w:rPr>
        <w:t>to</w:t>
      </w:r>
      <w:r w:rsidR="00882EAA" w:rsidRPr="00A055B9">
        <w:rPr>
          <w:rFonts w:ascii="Times New Roman" w:hAnsi="Times New Roman" w:cs="Times New Roman"/>
          <w:sz w:val="24"/>
          <w:szCs w:val="24"/>
          <w:lang w:val="en-US"/>
        </w:rPr>
        <w:t xml:space="preserve"> their respective status quo at the time of the agreement. </w:t>
      </w:r>
      <w:r>
        <w:rPr>
          <w:rFonts w:ascii="Times New Roman" w:hAnsi="Times New Roman" w:cs="Times New Roman"/>
          <w:sz w:val="24"/>
          <w:szCs w:val="24"/>
          <w:lang w:val="en-US"/>
        </w:rPr>
        <w:t>If the contract is</w:t>
      </w:r>
      <w:r w:rsidR="00882EAA" w:rsidRPr="00A055B9">
        <w:rPr>
          <w:rFonts w:ascii="Times New Roman" w:hAnsi="Times New Roman" w:cs="Times New Roman"/>
          <w:sz w:val="24"/>
          <w:szCs w:val="24"/>
          <w:lang w:val="en-US"/>
        </w:rPr>
        <w:t xml:space="preserve"> subject to “</w:t>
      </w:r>
      <w:r w:rsidR="00882EAA" w:rsidRPr="00A055B9">
        <w:rPr>
          <w:rFonts w:ascii="Times New Roman" w:hAnsi="Times New Roman" w:cs="Times New Roman"/>
          <w:i/>
          <w:iCs/>
          <w:sz w:val="24"/>
          <w:szCs w:val="24"/>
          <w:lang w:val="en-US"/>
        </w:rPr>
        <w:t>ex</w:t>
      </w:r>
      <w:r w:rsidR="001F6D28">
        <w:rPr>
          <w:rFonts w:ascii="Times New Roman" w:hAnsi="Times New Roman" w:cs="Times New Roman"/>
          <w:i/>
          <w:iCs/>
          <w:sz w:val="24"/>
          <w:szCs w:val="24"/>
          <w:lang w:val="en-US"/>
        </w:rPr>
        <w:t>é</w:t>
      </w:r>
      <w:r w:rsidR="00882EAA" w:rsidRPr="00A055B9">
        <w:rPr>
          <w:rFonts w:ascii="Times New Roman" w:hAnsi="Times New Roman" w:cs="Times New Roman"/>
          <w:i/>
          <w:iCs/>
          <w:sz w:val="24"/>
          <w:szCs w:val="24"/>
          <w:lang w:val="en-US"/>
        </w:rPr>
        <w:t>cution successive”</w:t>
      </w:r>
      <w:r w:rsidR="00882EAA" w:rsidRPr="00A055B9">
        <w:rPr>
          <w:rFonts w:ascii="Times New Roman" w:hAnsi="Times New Roman" w:cs="Times New Roman"/>
          <w:sz w:val="24"/>
          <w:szCs w:val="24"/>
          <w:lang w:val="en-US"/>
        </w:rPr>
        <w:t xml:space="preserve"> such as the</w:t>
      </w:r>
      <w:r w:rsidR="00A055B9">
        <w:rPr>
          <w:rFonts w:ascii="Times New Roman" w:hAnsi="Times New Roman" w:cs="Times New Roman"/>
          <w:sz w:val="24"/>
          <w:szCs w:val="24"/>
          <w:lang w:val="en-US"/>
        </w:rPr>
        <w:t xml:space="preserve"> rental component of the</w:t>
      </w:r>
      <w:r w:rsidR="00882EAA" w:rsidRPr="00A055B9">
        <w:rPr>
          <w:rFonts w:ascii="Times New Roman" w:hAnsi="Times New Roman" w:cs="Times New Roman"/>
          <w:sz w:val="24"/>
          <w:szCs w:val="24"/>
          <w:lang w:val="en-US"/>
        </w:rPr>
        <w:t xml:space="preserve"> Agreement signed by the parties to </w:t>
      </w:r>
      <w:r w:rsidR="00A055B9" w:rsidRPr="00A055B9">
        <w:rPr>
          <w:rFonts w:ascii="Times New Roman" w:hAnsi="Times New Roman" w:cs="Times New Roman"/>
          <w:sz w:val="24"/>
          <w:szCs w:val="24"/>
          <w:lang w:val="en-US"/>
        </w:rPr>
        <w:t xml:space="preserve">the </w:t>
      </w:r>
      <w:r w:rsidR="00882EAA" w:rsidRPr="00A055B9">
        <w:rPr>
          <w:rFonts w:ascii="Times New Roman" w:hAnsi="Times New Roman" w:cs="Times New Roman"/>
          <w:sz w:val="24"/>
          <w:szCs w:val="24"/>
          <w:lang w:val="en-US"/>
        </w:rPr>
        <w:t xml:space="preserve">present appeal, annulment </w:t>
      </w:r>
      <w:r>
        <w:rPr>
          <w:rFonts w:ascii="Times New Roman" w:hAnsi="Times New Roman" w:cs="Times New Roman"/>
          <w:sz w:val="24"/>
          <w:szCs w:val="24"/>
          <w:lang w:val="en-US"/>
        </w:rPr>
        <w:t>operates</w:t>
      </w:r>
      <w:r w:rsidR="00A055B9">
        <w:rPr>
          <w:rFonts w:ascii="Times New Roman" w:hAnsi="Times New Roman" w:cs="Times New Roman"/>
          <w:sz w:val="24"/>
          <w:szCs w:val="24"/>
          <w:lang w:val="en-US"/>
        </w:rPr>
        <w:t xml:space="preserve"> </w:t>
      </w:r>
      <w:r w:rsidR="00CD5552">
        <w:rPr>
          <w:rFonts w:ascii="Times New Roman" w:hAnsi="Times New Roman" w:cs="Times New Roman"/>
          <w:sz w:val="24"/>
          <w:szCs w:val="24"/>
          <w:lang w:val="en-US"/>
        </w:rPr>
        <w:t>for the future</w:t>
      </w:r>
      <w:r w:rsidR="00882EAA" w:rsidRPr="00A055B9">
        <w:rPr>
          <w:rFonts w:ascii="Times New Roman" w:hAnsi="Times New Roman" w:cs="Times New Roman"/>
          <w:sz w:val="24"/>
          <w:szCs w:val="24"/>
          <w:lang w:val="en-US"/>
        </w:rPr>
        <w:t xml:space="preserve">. </w:t>
      </w:r>
    </w:p>
    <w:p w14:paraId="25AC8D3E" w14:textId="77777777" w:rsidR="00A055B9" w:rsidRDefault="00A055B9" w:rsidP="00A055B9">
      <w:pPr>
        <w:pStyle w:val="ListParagraph"/>
        <w:spacing w:after="0" w:line="360" w:lineRule="auto"/>
        <w:jc w:val="both"/>
        <w:rPr>
          <w:rFonts w:ascii="Times New Roman" w:hAnsi="Times New Roman" w:cs="Times New Roman"/>
          <w:sz w:val="24"/>
          <w:szCs w:val="24"/>
          <w:lang w:val="en-US"/>
        </w:rPr>
      </w:pPr>
    </w:p>
    <w:p w14:paraId="129B8448" w14:textId="5B06CA28" w:rsidR="007E3566" w:rsidRPr="007E3566" w:rsidRDefault="007E3566" w:rsidP="007E3566">
      <w:pPr>
        <w:pStyle w:val="ListParagraph"/>
        <w:numPr>
          <w:ilvl w:val="0"/>
          <w:numId w:val="12"/>
        </w:numPr>
        <w:tabs>
          <w:tab w:val="left" w:pos="993"/>
        </w:tabs>
        <w:spacing w:after="0" w:line="360" w:lineRule="auto"/>
        <w:ind w:left="720" w:hanging="720"/>
        <w:jc w:val="both"/>
        <w:rPr>
          <w:rFonts w:ascii="Times New Roman" w:hAnsi="Times New Roman" w:cs="Times New Roman"/>
          <w:i/>
          <w:iCs/>
          <w:sz w:val="24"/>
          <w:szCs w:val="24"/>
          <w:lang w:val="en-US"/>
        </w:rPr>
      </w:pPr>
      <w:r>
        <w:rPr>
          <w:rFonts w:ascii="Times New Roman" w:hAnsi="Times New Roman" w:cs="Times New Roman"/>
          <w:sz w:val="24"/>
          <w:szCs w:val="24"/>
        </w:rPr>
        <w:t xml:space="preserve">The </w:t>
      </w:r>
      <w:r w:rsidRPr="00882EAA">
        <w:rPr>
          <w:rFonts w:ascii="Times New Roman" w:hAnsi="Times New Roman" w:cs="Times New Roman"/>
          <w:sz w:val="24"/>
          <w:szCs w:val="24"/>
        </w:rPr>
        <w:t xml:space="preserve">Appellants </w:t>
      </w:r>
      <w:r w:rsidR="00CD5552">
        <w:rPr>
          <w:rFonts w:ascii="Times New Roman" w:hAnsi="Times New Roman" w:cs="Times New Roman"/>
          <w:sz w:val="24"/>
          <w:szCs w:val="24"/>
        </w:rPr>
        <w:t>argue</w:t>
      </w:r>
      <w:r>
        <w:rPr>
          <w:rFonts w:ascii="Times New Roman" w:hAnsi="Times New Roman" w:cs="Times New Roman"/>
          <w:sz w:val="24"/>
          <w:szCs w:val="24"/>
        </w:rPr>
        <w:t xml:space="preserve"> </w:t>
      </w:r>
      <w:r w:rsidRPr="00882EAA">
        <w:rPr>
          <w:rFonts w:ascii="Times New Roman" w:hAnsi="Times New Roman" w:cs="Times New Roman"/>
          <w:sz w:val="24"/>
          <w:szCs w:val="24"/>
        </w:rPr>
        <w:t xml:space="preserve">that the Agreement </w:t>
      </w:r>
      <w:r w:rsidR="00CD5552">
        <w:rPr>
          <w:rFonts w:ascii="Times New Roman" w:hAnsi="Times New Roman" w:cs="Times New Roman"/>
          <w:sz w:val="24"/>
          <w:szCs w:val="24"/>
        </w:rPr>
        <w:t>wa</w:t>
      </w:r>
      <w:r w:rsidRPr="00882EAA">
        <w:rPr>
          <w:rFonts w:ascii="Times New Roman" w:hAnsi="Times New Roman" w:cs="Times New Roman"/>
          <w:sz w:val="24"/>
          <w:szCs w:val="24"/>
        </w:rPr>
        <w:t>s not valid at the time</w:t>
      </w:r>
      <w:r>
        <w:rPr>
          <w:rFonts w:ascii="Times New Roman" w:hAnsi="Times New Roman" w:cs="Times New Roman"/>
          <w:sz w:val="24"/>
          <w:szCs w:val="24"/>
        </w:rPr>
        <w:t xml:space="preserve"> that</w:t>
      </w:r>
      <w:r w:rsidRPr="00882EAA">
        <w:rPr>
          <w:rFonts w:ascii="Times New Roman" w:hAnsi="Times New Roman" w:cs="Times New Roman"/>
          <w:sz w:val="24"/>
          <w:szCs w:val="24"/>
        </w:rPr>
        <w:t xml:space="preserve"> it was entered into as one the essential elements of a valid contract was absent namely the capacity of the Respondent to bind the late Mr Philippe Vital by the Agreement. As the sole owner of the land on which the Premises are located, only Mr Philippe Vital could have validly signed the Agreement</w:t>
      </w:r>
      <w:r w:rsidRPr="007E3566">
        <w:rPr>
          <w:rFonts w:ascii="Times New Roman" w:hAnsi="Times New Roman" w:cs="Times New Roman"/>
          <w:sz w:val="24"/>
          <w:szCs w:val="24"/>
        </w:rPr>
        <w:t xml:space="preserve">. </w:t>
      </w:r>
    </w:p>
    <w:p w14:paraId="732E79F2" w14:textId="77777777" w:rsidR="007E3566" w:rsidRPr="007E3566" w:rsidRDefault="007E3566" w:rsidP="007E3566">
      <w:pPr>
        <w:pStyle w:val="ListParagraph"/>
        <w:rPr>
          <w:rFonts w:ascii="Times New Roman" w:hAnsi="Times New Roman" w:cs="Times New Roman"/>
          <w:sz w:val="24"/>
          <w:szCs w:val="24"/>
          <w:lang w:val="en-US"/>
        </w:rPr>
      </w:pPr>
    </w:p>
    <w:p w14:paraId="721E65AB" w14:textId="48184DC4" w:rsidR="007E3566" w:rsidRPr="007E3566" w:rsidRDefault="007E3566" w:rsidP="007E3566">
      <w:pPr>
        <w:pStyle w:val="ListParagraph"/>
        <w:numPr>
          <w:ilvl w:val="0"/>
          <w:numId w:val="12"/>
        </w:numPr>
        <w:tabs>
          <w:tab w:val="left" w:pos="993"/>
        </w:tabs>
        <w:spacing w:after="0" w:line="360" w:lineRule="auto"/>
        <w:ind w:left="720" w:hanging="720"/>
        <w:jc w:val="both"/>
        <w:rPr>
          <w:rFonts w:ascii="Times New Roman" w:hAnsi="Times New Roman" w:cs="Times New Roman"/>
          <w:i/>
          <w:iCs/>
          <w:sz w:val="24"/>
          <w:szCs w:val="24"/>
          <w:lang w:val="en-US"/>
        </w:rPr>
      </w:pPr>
      <w:r w:rsidRPr="007E3566">
        <w:rPr>
          <w:rFonts w:ascii="Times New Roman" w:hAnsi="Times New Roman" w:cs="Times New Roman"/>
          <w:sz w:val="24"/>
          <w:szCs w:val="24"/>
          <w:lang w:val="en-US"/>
        </w:rPr>
        <w:t xml:space="preserve">I agree that </w:t>
      </w:r>
      <w:r w:rsidR="00CD5552">
        <w:rPr>
          <w:rFonts w:ascii="Times New Roman" w:hAnsi="Times New Roman" w:cs="Times New Roman"/>
          <w:sz w:val="24"/>
          <w:szCs w:val="24"/>
          <w:lang w:val="en-US"/>
        </w:rPr>
        <w:t xml:space="preserve">on </w:t>
      </w:r>
      <w:r w:rsidRPr="007E3566">
        <w:rPr>
          <w:rFonts w:ascii="Times New Roman" w:hAnsi="Times New Roman" w:cs="Times New Roman"/>
          <w:sz w:val="24"/>
          <w:szCs w:val="24"/>
          <w:lang w:val="en-US"/>
        </w:rPr>
        <w:t>1</w:t>
      </w:r>
      <w:r w:rsidR="005D38D9" w:rsidRPr="005D38D9">
        <w:rPr>
          <w:rFonts w:ascii="Times New Roman" w:hAnsi="Times New Roman" w:cs="Times New Roman"/>
          <w:sz w:val="24"/>
          <w:szCs w:val="24"/>
          <w:vertAlign w:val="superscript"/>
          <w:lang w:val="en-US"/>
        </w:rPr>
        <w:t>st</w:t>
      </w:r>
      <w:r w:rsidR="005D38D9">
        <w:rPr>
          <w:rFonts w:ascii="Times New Roman" w:hAnsi="Times New Roman" w:cs="Times New Roman"/>
          <w:sz w:val="24"/>
          <w:szCs w:val="24"/>
          <w:lang w:val="en-US"/>
        </w:rPr>
        <w:t xml:space="preserve"> </w:t>
      </w:r>
      <w:r w:rsidRPr="007E3566">
        <w:rPr>
          <w:rFonts w:ascii="Times New Roman" w:hAnsi="Times New Roman" w:cs="Times New Roman"/>
          <w:sz w:val="24"/>
          <w:szCs w:val="24"/>
          <w:lang w:val="en-US"/>
        </w:rPr>
        <w:t xml:space="preserve">of August 2017, the Respondent </w:t>
      </w:r>
      <w:r w:rsidR="00FB0291">
        <w:rPr>
          <w:rFonts w:ascii="Times New Roman" w:hAnsi="Times New Roman" w:cs="Times New Roman"/>
          <w:sz w:val="24"/>
          <w:szCs w:val="24"/>
          <w:lang w:val="en-US"/>
        </w:rPr>
        <w:t xml:space="preserve">alone </w:t>
      </w:r>
      <w:r w:rsidRPr="007E3566">
        <w:rPr>
          <w:rFonts w:ascii="Times New Roman" w:hAnsi="Times New Roman" w:cs="Times New Roman"/>
          <w:sz w:val="24"/>
          <w:szCs w:val="24"/>
          <w:lang w:val="en-US"/>
        </w:rPr>
        <w:t>could not have validly concluded the Agreement with the Appellants</w:t>
      </w:r>
      <w:r>
        <w:rPr>
          <w:rFonts w:ascii="Times New Roman" w:hAnsi="Times New Roman" w:cs="Times New Roman"/>
          <w:sz w:val="24"/>
          <w:szCs w:val="24"/>
          <w:lang w:val="en-US"/>
        </w:rPr>
        <w:t>, that</w:t>
      </w:r>
      <w:r w:rsidRPr="007E3566">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7E3566">
        <w:rPr>
          <w:rFonts w:ascii="Times New Roman" w:hAnsi="Times New Roman" w:cs="Times New Roman"/>
          <w:sz w:val="24"/>
          <w:szCs w:val="24"/>
          <w:lang w:val="en-US"/>
        </w:rPr>
        <w:t>he did not have the capacity to conclude the said agreement</w:t>
      </w:r>
      <w:r>
        <w:rPr>
          <w:rFonts w:ascii="Times New Roman" w:hAnsi="Times New Roman" w:cs="Times New Roman"/>
          <w:sz w:val="24"/>
          <w:szCs w:val="24"/>
          <w:lang w:val="en-US"/>
        </w:rPr>
        <w:t xml:space="preserve"> as she </w:t>
      </w:r>
      <w:r w:rsidRPr="007E3566">
        <w:rPr>
          <w:rFonts w:ascii="Times New Roman" w:hAnsi="Times New Roman" w:cs="Times New Roman"/>
          <w:sz w:val="24"/>
          <w:szCs w:val="24"/>
          <w:lang w:val="en-US"/>
        </w:rPr>
        <w:t>was neither the owner of the Premises nor the agent of the owner</w:t>
      </w:r>
      <w:r w:rsidR="001F6D28">
        <w:rPr>
          <w:rFonts w:ascii="Times New Roman" w:hAnsi="Times New Roman" w:cs="Times New Roman"/>
          <w:sz w:val="24"/>
          <w:szCs w:val="24"/>
          <w:lang w:val="en-US"/>
        </w:rPr>
        <w:t xml:space="preserve"> - </w:t>
      </w:r>
      <w:r w:rsidRPr="007E3566">
        <w:rPr>
          <w:rFonts w:ascii="Times New Roman" w:hAnsi="Times New Roman" w:cs="Times New Roman"/>
          <w:sz w:val="24"/>
          <w:szCs w:val="24"/>
          <w:lang w:val="en-US"/>
        </w:rPr>
        <w:t xml:space="preserve">her husband. </w:t>
      </w:r>
      <w:r>
        <w:rPr>
          <w:rFonts w:ascii="Times New Roman" w:hAnsi="Times New Roman" w:cs="Times New Roman"/>
          <w:sz w:val="24"/>
          <w:szCs w:val="24"/>
          <w:lang w:val="en-US"/>
        </w:rPr>
        <w:t xml:space="preserve">The Rent </w:t>
      </w:r>
      <w:r w:rsidR="00CD5552">
        <w:rPr>
          <w:rFonts w:ascii="Times New Roman" w:hAnsi="Times New Roman" w:cs="Times New Roman"/>
          <w:sz w:val="24"/>
          <w:szCs w:val="24"/>
          <w:lang w:val="en-US"/>
        </w:rPr>
        <w:t xml:space="preserve">Board </w:t>
      </w:r>
      <w:r w:rsidR="001F6D28">
        <w:rPr>
          <w:rFonts w:ascii="Times New Roman" w:hAnsi="Times New Roman" w:cs="Times New Roman"/>
          <w:sz w:val="24"/>
          <w:szCs w:val="24"/>
          <w:lang w:val="en-US"/>
        </w:rPr>
        <w:t xml:space="preserve">came to the same conclusion </w:t>
      </w:r>
      <w:r w:rsidR="00CD5552">
        <w:rPr>
          <w:rFonts w:ascii="Times New Roman" w:hAnsi="Times New Roman" w:cs="Times New Roman"/>
          <w:sz w:val="24"/>
          <w:szCs w:val="24"/>
          <w:lang w:val="en-US"/>
        </w:rPr>
        <w:t>in its Ruling:</w:t>
      </w:r>
    </w:p>
    <w:p w14:paraId="6E62EF6A" w14:textId="77777777" w:rsidR="007E3566" w:rsidRPr="007E3566" w:rsidRDefault="007E3566" w:rsidP="007E3566">
      <w:pPr>
        <w:pStyle w:val="ListParagraph"/>
        <w:rPr>
          <w:rFonts w:ascii="Times New Roman" w:hAnsi="Times New Roman" w:cs="Times New Roman"/>
          <w:i/>
          <w:iCs/>
          <w:sz w:val="24"/>
          <w:szCs w:val="24"/>
          <w:lang w:val="en-US"/>
        </w:rPr>
      </w:pPr>
    </w:p>
    <w:p w14:paraId="0A9530AE" w14:textId="543D9014" w:rsidR="007E3566" w:rsidRPr="007E3566" w:rsidRDefault="007E3566" w:rsidP="00246F35">
      <w:pPr>
        <w:pStyle w:val="ListParagraph"/>
        <w:tabs>
          <w:tab w:val="left" w:pos="993"/>
        </w:tabs>
        <w:spacing w:after="0" w:line="360" w:lineRule="auto"/>
        <w:ind w:left="1134" w:right="855"/>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“24. An examination of exhibit A1 tendered in evidence indeed reveals that parcel V3319 on which the leased premises stands was solely owned by the late Philip Vital at the time of the execution of the agreement of 1</w:t>
      </w:r>
      <w:r w:rsidR="005D38D9" w:rsidRPr="005D38D9">
        <w:rPr>
          <w:rFonts w:ascii="Times New Roman" w:hAnsi="Times New Roman" w:cs="Times New Roman"/>
          <w:i/>
          <w:iCs/>
          <w:sz w:val="24"/>
          <w:szCs w:val="24"/>
          <w:vertAlign w:val="superscript"/>
          <w:lang w:val="en-US"/>
        </w:rPr>
        <w:t>st</w:t>
      </w:r>
      <w:r w:rsidR="005D38D9">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August 2017. The Applicant therefore had no legal capacity at the time to sign the impugned agreement on the aforesaid date.”</w:t>
      </w:r>
    </w:p>
    <w:p w14:paraId="2E841D33" w14:textId="77777777" w:rsidR="007E3566" w:rsidRPr="007E3566" w:rsidRDefault="007E3566" w:rsidP="007E3566">
      <w:pPr>
        <w:pStyle w:val="ListParagraph"/>
        <w:tabs>
          <w:tab w:val="left" w:pos="993"/>
        </w:tabs>
        <w:spacing w:after="0" w:line="360" w:lineRule="auto"/>
        <w:jc w:val="both"/>
        <w:rPr>
          <w:rFonts w:ascii="Times New Roman" w:hAnsi="Times New Roman" w:cs="Times New Roman"/>
          <w:sz w:val="24"/>
          <w:szCs w:val="24"/>
          <w:lang w:val="en-US"/>
        </w:rPr>
      </w:pPr>
    </w:p>
    <w:p w14:paraId="018856E9" w14:textId="5EC0F1E5" w:rsidR="00A055B9" w:rsidRDefault="00CD5552" w:rsidP="00A055B9">
      <w:pPr>
        <w:pStyle w:val="ListParagraph"/>
        <w:numPr>
          <w:ilvl w:val="0"/>
          <w:numId w:val="12"/>
        </w:numPr>
        <w:spacing w:after="0"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In</w:t>
      </w:r>
      <w:r w:rsidR="007E3566">
        <w:rPr>
          <w:rFonts w:ascii="Times New Roman" w:hAnsi="Times New Roman" w:cs="Times New Roman"/>
          <w:sz w:val="24"/>
          <w:szCs w:val="24"/>
          <w:lang w:val="en-US"/>
        </w:rPr>
        <w:t xml:space="preserve"> </w:t>
      </w:r>
      <w:r w:rsidR="00A055B9" w:rsidRPr="00882EAA">
        <w:rPr>
          <w:rFonts w:ascii="Times New Roman" w:hAnsi="Times New Roman" w:cs="Times New Roman"/>
          <w:sz w:val="24"/>
          <w:szCs w:val="24"/>
          <w:lang w:val="en-US"/>
        </w:rPr>
        <w:t xml:space="preserve">the same way that </w:t>
      </w:r>
      <w:r>
        <w:rPr>
          <w:rFonts w:ascii="Times New Roman" w:hAnsi="Times New Roman" w:cs="Times New Roman"/>
          <w:sz w:val="24"/>
          <w:szCs w:val="24"/>
          <w:lang w:val="en-US"/>
        </w:rPr>
        <w:t xml:space="preserve">the </w:t>
      </w:r>
      <w:r w:rsidR="00A055B9">
        <w:rPr>
          <w:rFonts w:ascii="Times New Roman" w:hAnsi="Times New Roman" w:cs="Times New Roman"/>
          <w:sz w:val="24"/>
          <w:szCs w:val="24"/>
          <w:lang w:val="en-US"/>
        </w:rPr>
        <w:t xml:space="preserve">Appellants </w:t>
      </w:r>
      <w:r>
        <w:rPr>
          <w:rFonts w:ascii="Times New Roman" w:hAnsi="Times New Roman" w:cs="Times New Roman"/>
          <w:sz w:val="24"/>
          <w:szCs w:val="24"/>
          <w:lang w:val="en-US"/>
        </w:rPr>
        <w:t>invoke</w:t>
      </w:r>
      <w:r w:rsidR="00DB5700">
        <w:rPr>
          <w:rFonts w:ascii="Times New Roman" w:hAnsi="Times New Roman" w:cs="Times New Roman"/>
          <w:sz w:val="24"/>
          <w:szCs w:val="24"/>
          <w:lang w:val="en-US"/>
        </w:rPr>
        <w:t xml:space="preserve"> nullity of the Agreement </w:t>
      </w:r>
      <w:r>
        <w:rPr>
          <w:rFonts w:ascii="Times New Roman" w:hAnsi="Times New Roman" w:cs="Times New Roman"/>
          <w:sz w:val="24"/>
          <w:szCs w:val="24"/>
          <w:lang w:val="en-US"/>
        </w:rPr>
        <w:t>in defence to their eviction from the Premises for non-</w:t>
      </w:r>
      <w:r w:rsidR="00DB5700">
        <w:rPr>
          <w:rFonts w:ascii="Times New Roman" w:hAnsi="Times New Roman" w:cs="Times New Roman"/>
          <w:sz w:val="24"/>
          <w:szCs w:val="24"/>
          <w:lang w:val="en-US"/>
        </w:rPr>
        <w:t>pay</w:t>
      </w:r>
      <w:r>
        <w:rPr>
          <w:rFonts w:ascii="Times New Roman" w:hAnsi="Times New Roman" w:cs="Times New Roman"/>
          <w:sz w:val="24"/>
          <w:szCs w:val="24"/>
          <w:lang w:val="en-US"/>
        </w:rPr>
        <w:t>ment of</w:t>
      </w:r>
      <w:r w:rsidR="00DB5700">
        <w:rPr>
          <w:rFonts w:ascii="Times New Roman" w:hAnsi="Times New Roman" w:cs="Times New Roman"/>
          <w:sz w:val="24"/>
          <w:szCs w:val="24"/>
          <w:lang w:val="en-US"/>
        </w:rPr>
        <w:t xml:space="preserve"> rent</w:t>
      </w:r>
      <w:r w:rsidR="00A055B9">
        <w:rPr>
          <w:rFonts w:ascii="Times New Roman" w:hAnsi="Times New Roman" w:cs="Times New Roman"/>
          <w:sz w:val="24"/>
          <w:szCs w:val="24"/>
          <w:lang w:val="en-US"/>
        </w:rPr>
        <w:t>,</w:t>
      </w:r>
      <w:r w:rsidR="00A055B9" w:rsidRPr="00882EAA">
        <w:rPr>
          <w:rFonts w:ascii="Times New Roman" w:hAnsi="Times New Roman" w:cs="Times New Roman"/>
          <w:sz w:val="24"/>
          <w:szCs w:val="24"/>
          <w:lang w:val="en-US"/>
        </w:rPr>
        <w:t xml:space="preserve"> </w:t>
      </w:r>
      <w:r w:rsidR="001F6D28">
        <w:rPr>
          <w:rFonts w:ascii="Times New Roman" w:hAnsi="Times New Roman" w:cs="Times New Roman"/>
          <w:sz w:val="24"/>
          <w:szCs w:val="24"/>
          <w:lang w:val="en-US"/>
        </w:rPr>
        <w:t xml:space="preserve">the </w:t>
      </w:r>
      <w:r w:rsidR="007E3566">
        <w:rPr>
          <w:rFonts w:ascii="Times New Roman" w:hAnsi="Times New Roman" w:cs="Times New Roman"/>
          <w:sz w:val="24"/>
          <w:szCs w:val="24"/>
          <w:lang w:val="en-US"/>
        </w:rPr>
        <w:t>annulment</w:t>
      </w:r>
      <w:r w:rsidR="00A055B9" w:rsidRPr="00882EA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the Agreement </w:t>
      </w:r>
      <w:r w:rsidR="00A055B9" w:rsidRPr="00882EAA">
        <w:rPr>
          <w:rFonts w:ascii="Times New Roman" w:hAnsi="Times New Roman" w:cs="Times New Roman"/>
          <w:sz w:val="24"/>
          <w:szCs w:val="24"/>
          <w:lang w:val="en-US"/>
        </w:rPr>
        <w:t xml:space="preserve">will not justify the Appellant’s occupation of the Premises </w:t>
      </w:r>
      <w:r w:rsidR="00A7567E">
        <w:rPr>
          <w:rFonts w:ascii="Times New Roman" w:hAnsi="Times New Roman" w:cs="Times New Roman"/>
          <w:sz w:val="24"/>
          <w:szCs w:val="24"/>
          <w:lang w:val="en-US"/>
        </w:rPr>
        <w:t>from 2</w:t>
      </w:r>
      <w:r w:rsidR="00602D24" w:rsidRPr="00602D24">
        <w:rPr>
          <w:rFonts w:ascii="Times New Roman" w:hAnsi="Times New Roman" w:cs="Times New Roman"/>
          <w:sz w:val="24"/>
          <w:szCs w:val="24"/>
          <w:vertAlign w:val="superscript"/>
          <w:lang w:val="en-US"/>
        </w:rPr>
        <w:t>nd</w:t>
      </w:r>
      <w:r w:rsidR="00602D24">
        <w:rPr>
          <w:rFonts w:ascii="Times New Roman" w:hAnsi="Times New Roman" w:cs="Times New Roman"/>
          <w:sz w:val="24"/>
          <w:szCs w:val="24"/>
          <w:lang w:val="en-US"/>
        </w:rPr>
        <w:t xml:space="preserve"> </w:t>
      </w:r>
      <w:r w:rsidR="00A7567E">
        <w:rPr>
          <w:rFonts w:ascii="Times New Roman" w:hAnsi="Times New Roman" w:cs="Times New Roman"/>
          <w:sz w:val="24"/>
          <w:szCs w:val="24"/>
          <w:lang w:val="en-US"/>
        </w:rPr>
        <w:t xml:space="preserve">December 2021 </w:t>
      </w:r>
      <w:r w:rsidR="00A055B9" w:rsidRPr="00882EAA">
        <w:rPr>
          <w:rFonts w:ascii="Times New Roman" w:hAnsi="Times New Roman" w:cs="Times New Roman"/>
          <w:sz w:val="24"/>
          <w:szCs w:val="24"/>
          <w:lang w:val="en-US"/>
        </w:rPr>
        <w:t xml:space="preserve">for free.  </w:t>
      </w:r>
      <w:r w:rsidR="00A7567E">
        <w:rPr>
          <w:rFonts w:ascii="Times New Roman" w:hAnsi="Times New Roman" w:cs="Times New Roman"/>
          <w:sz w:val="24"/>
          <w:szCs w:val="24"/>
          <w:lang w:val="en-US"/>
        </w:rPr>
        <w:t>If</w:t>
      </w:r>
      <w:r w:rsidR="00A055B9" w:rsidRPr="00882EAA">
        <w:rPr>
          <w:rFonts w:ascii="Times New Roman" w:hAnsi="Times New Roman" w:cs="Times New Roman"/>
          <w:sz w:val="24"/>
          <w:szCs w:val="24"/>
          <w:lang w:val="en-US"/>
        </w:rPr>
        <w:t xml:space="preserve"> the Respondent could not have validly leased the Premises to the Appellants</w:t>
      </w:r>
      <w:r>
        <w:rPr>
          <w:rFonts w:ascii="Times New Roman" w:hAnsi="Times New Roman" w:cs="Times New Roman"/>
          <w:sz w:val="24"/>
          <w:szCs w:val="24"/>
          <w:lang w:val="en-US"/>
        </w:rPr>
        <w:t xml:space="preserve"> on 1</w:t>
      </w:r>
      <w:r w:rsidR="005D38D9" w:rsidRPr="005D38D9">
        <w:rPr>
          <w:rFonts w:ascii="Times New Roman" w:hAnsi="Times New Roman" w:cs="Times New Roman"/>
          <w:sz w:val="24"/>
          <w:szCs w:val="24"/>
          <w:vertAlign w:val="superscript"/>
          <w:lang w:val="en-US"/>
        </w:rPr>
        <w:t>st</w:t>
      </w:r>
      <w:r w:rsidR="005D38D9">
        <w:rPr>
          <w:rFonts w:ascii="Times New Roman" w:hAnsi="Times New Roman" w:cs="Times New Roman"/>
          <w:sz w:val="24"/>
          <w:szCs w:val="24"/>
          <w:lang w:val="en-US"/>
        </w:rPr>
        <w:t xml:space="preserve"> </w:t>
      </w:r>
      <w:r>
        <w:rPr>
          <w:rFonts w:ascii="Times New Roman" w:hAnsi="Times New Roman" w:cs="Times New Roman"/>
          <w:sz w:val="24"/>
          <w:szCs w:val="24"/>
          <w:lang w:val="en-US"/>
        </w:rPr>
        <w:t>August 2017</w:t>
      </w:r>
      <w:r w:rsidR="00A055B9" w:rsidRPr="00882EAA">
        <w:rPr>
          <w:rFonts w:ascii="Times New Roman" w:hAnsi="Times New Roman" w:cs="Times New Roman"/>
          <w:sz w:val="24"/>
          <w:szCs w:val="24"/>
          <w:lang w:val="en-US"/>
        </w:rPr>
        <w:t xml:space="preserve">, she </w:t>
      </w:r>
      <w:r w:rsidR="00A7567E">
        <w:rPr>
          <w:rFonts w:ascii="Times New Roman" w:hAnsi="Times New Roman" w:cs="Times New Roman"/>
          <w:sz w:val="24"/>
          <w:szCs w:val="24"/>
          <w:lang w:val="en-US"/>
        </w:rPr>
        <w:t xml:space="preserve">also </w:t>
      </w:r>
      <w:r w:rsidR="00A055B9" w:rsidRPr="00882EAA">
        <w:rPr>
          <w:rFonts w:ascii="Times New Roman" w:hAnsi="Times New Roman" w:cs="Times New Roman"/>
          <w:sz w:val="24"/>
          <w:szCs w:val="24"/>
          <w:lang w:val="en-US"/>
        </w:rPr>
        <w:t>could not have validly given permission</w:t>
      </w:r>
      <w:r w:rsidR="00A7567E">
        <w:rPr>
          <w:rFonts w:ascii="Times New Roman" w:hAnsi="Times New Roman" w:cs="Times New Roman"/>
          <w:sz w:val="24"/>
          <w:szCs w:val="24"/>
          <w:lang w:val="en-US"/>
        </w:rPr>
        <w:t xml:space="preserve"> to</w:t>
      </w:r>
      <w:r w:rsidR="00FB0291">
        <w:rPr>
          <w:rFonts w:ascii="Times New Roman" w:hAnsi="Times New Roman" w:cs="Times New Roman"/>
          <w:sz w:val="24"/>
          <w:szCs w:val="24"/>
          <w:lang w:val="en-US"/>
        </w:rPr>
        <w:t xml:space="preserve"> the Appellants to complete the construction of the Premises</w:t>
      </w:r>
      <w:r w:rsidR="00A7567E">
        <w:rPr>
          <w:rFonts w:ascii="Times New Roman" w:hAnsi="Times New Roman" w:cs="Times New Roman"/>
          <w:sz w:val="24"/>
          <w:szCs w:val="24"/>
          <w:lang w:val="en-US"/>
        </w:rPr>
        <w:t xml:space="preserve"> </w:t>
      </w:r>
      <w:r w:rsidR="001F6D28">
        <w:rPr>
          <w:rFonts w:ascii="Times New Roman" w:hAnsi="Times New Roman" w:cs="Times New Roman"/>
          <w:sz w:val="24"/>
          <w:szCs w:val="24"/>
          <w:lang w:val="en-US"/>
        </w:rPr>
        <w:t xml:space="preserve">and </w:t>
      </w:r>
      <w:r w:rsidR="00FB0291">
        <w:rPr>
          <w:rFonts w:ascii="Times New Roman" w:hAnsi="Times New Roman" w:cs="Times New Roman"/>
          <w:sz w:val="24"/>
          <w:szCs w:val="24"/>
          <w:lang w:val="en-US"/>
        </w:rPr>
        <w:t>to have their</w:t>
      </w:r>
      <w:r w:rsidR="001F6D28">
        <w:rPr>
          <w:rFonts w:ascii="Times New Roman" w:hAnsi="Times New Roman" w:cs="Times New Roman"/>
          <w:sz w:val="24"/>
          <w:szCs w:val="24"/>
          <w:lang w:val="en-US"/>
        </w:rPr>
        <w:t xml:space="preserve"> </w:t>
      </w:r>
      <w:r w:rsidR="00A055B9" w:rsidRPr="00882EAA">
        <w:rPr>
          <w:rFonts w:ascii="Times New Roman" w:hAnsi="Times New Roman" w:cs="Times New Roman"/>
          <w:sz w:val="24"/>
          <w:szCs w:val="24"/>
          <w:lang w:val="en-US"/>
        </w:rPr>
        <w:t>expenses</w:t>
      </w:r>
      <w:r w:rsidR="001F6D28">
        <w:rPr>
          <w:rFonts w:ascii="Times New Roman" w:hAnsi="Times New Roman" w:cs="Times New Roman"/>
          <w:sz w:val="24"/>
          <w:szCs w:val="24"/>
          <w:lang w:val="en-US"/>
        </w:rPr>
        <w:t xml:space="preserve"> </w:t>
      </w:r>
      <w:r w:rsidR="00FB0291">
        <w:rPr>
          <w:rFonts w:ascii="Times New Roman" w:hAnsi="Times New Roman" w:cs="Times New Roman"/>
          <w:sz w:val="24"/>
          <w:szCs w:val="24"/>
          <w:lang w:val="en-US"/>
        </w:rPr>
        <w:t xml:space="preserve">set-off </w:t>
      </w:r>
      <w:r w:rsidR="001F6D28">
        <w:rPr>
          <w:rFonts w:ascii="Times New Roman" w:hAnsi="Times New Roman" w:cs="Times New Roman"/>
          <w:sz w:val="24"/>
          <w:szCs w:val="24"/>
          <w:lang w:val="en-US"/>
        </w:rPr>
        <w:t>under the building component of the Agreement</w:t>
      </w:r>
      <w:r w:rsidR="00A7567E">
        <w:rPr>
          <w:rFonts w:ascii="Times New Roman" w:hAnsi="Times New Roman" w:cs="Times New Roman"/>
          <w:sz w:val="24"/>
          <w:szCs w:val="24"/>
          <w:lang w:val="en-US"/>
        </w:rPr>
        <w:t>.</w:t>
      </w:r>
      <w:r w:rsidR="00A055B9" w:rsidRPr="00882EAA">
        <w:rPr>
          <w:rFonts w:ascii="Times New Roman" w:hAnsi="Times New Roman" w:cs="Times New Roman"/>
          <w:sz w:val="24"/>
          <w:szCs w:val="24"/>
          <w:lang w:val="en-US"/>
        </w:rPr>
        <w:t xml:space="preserve"> </w:t>
      </w:r>
    </w:p>
    <w:p w14:paraId="6D6B3655" w14:textId="77777777" w:rsidR="00CD5552" w:rsidRDefault="00CD5552" w:rsidP="00CD5552">
      <w:pPr>
        <w:pStyle w:val="ListParagraph"/>
        <w:spacing w:after="0" w:line="360" w:lineRule="auto"/>
        <w:jc w:val="both"/>
        <w:rPr>
          <w:rFonts w:ascii="Times New Roman" w:hAnsi="Times New Roman" w:cs="Times New Roman"/>
          <w:sz w:val="24"/>
          <w:szCs w:val="24"/>
          <w:lang w:val="en-US"/>
        </w:rPr>
      </w:pPr>
    </w:p>
    <w:p w14:paraId="76CFFDE0" w14:textId="46991DD2" w:rsidR="00246F35" w:rsidRPr="00882EAA" w:rsidRDefault="00CD5552" w:rsidP="00246F35">
      <w:pPr>
        <w:pStyle w:val="ListParagraph"/>
        <w:numPr>
          <w:ilvl w:val="0"/>
          <w:numId w:val="12"/>
        </w:numPr>
        <w:tabs>
          <w:tab w:val="left" w:pos="993"/>
        </w:tabs>
        <w:spacing w:after="0" w:line="360" w:lineRule="auto"/>
        <w:ind w:left="720" w:hanging="720"/>
        <w:jc w:val="both"/>
        <w:rPr>
          <w:rFonts w:ascii="Times New Roman" w:hAnsi="Times New Roman" w:cs="Times New Roman"/>
          <w:i/>
          <w:iCs/>
          <w:sz w:val="24"/>
          <w:szCs w:val="24"/>
          <w:lang w:val="en-US"/>
        </w:rPr>
      </w:pPr>
      <w:r>
        <w:rPr>
          <w:rFonts w:ascii="Times New Roman" w:hAnsi="Times New Roman" w:cs="Times New Roman"/>
          <w:sz w:val="24"/>
          <w:szCs w:val="24"/>
          <w:lang w:val="en-US"/>
        </w:rPr>
        <w:lastRenderedPageBreak/>
        <w:t xml:space="preserve">The Respondent’s lack of capacity to bind her husband by the Agreement </w:t>
      </w:r>
      <w:r w:rsidR="001F6D28">
        <w:rPr>
          <w:rFonts w:ascii="Times New Roman" w:hAnsi="Times New Roman" w:cs="Times New Roman"/>
          <w:sz w:val="24"/>
          <w:szCs w:val="24"/>
          <w:lang w:val="en-US"/>
        </w:rPr>
        <w:t>on 1</w:t>
      </w:r>
      <w:r w:rsidR="005D38D9" w:rsidRPr="005D38D9">
        <w:rPr>
          <w:rFonts w:ascii="Times New Roman" w:hAnsi="Times New Roman" w:cs="Times New Roman"/>
          <w:sz w:val="24"/>
          <w:szCs w:val="24"/>
          <w:vertAlign w:val="superscript"/>
          <w:lang w:val="en-US"/>
        </w:rPr>
        <w:t>st</w:t>
      </w:r>
      <w:r w:rsidR="005D38D9">
        <w:rPr>
          <w:rFonts w:ascii="Times New Roman" w:hAnsi="Times New Roman" w:cs="Times New Roman"/>
          <w:sz w:val="24"/>
          <w:szCs w:val="24"/>
          <w:lang w:val="en-US"/>
        </w:rPr>
        <w:t xml:space="preserve"> </w:t>
      </w:r>
      <w:r w:rsidR="001F6D28">
        <w:rPr>
          <w:rFonts w:ascii="Times New Roman" w:hAnsi="Times New Roman" w:cs="Times New Roman"/>
          <w:sz w:val="24"/>
          <w:szCs w:val="24"/>
          <w:lang w:val="en-US"/>
        </w:rPr>
        <w:t xml:space="preserve">August 2017 </w:t>
      </w:r>
      <w:r>
        <w:rPr>
          <w:rFonts w:ascii="Times New Roman" w:hAnsi="Times New Roman" w:cs="Times New Roman"/>
          <w:sz w:val="24"/>
          <w:szCs w:val="24"/>
          <w:lang w:val="en-US"/>
        </w:rPr>
        <w:t xml:space="preserve">was known to the Appellants at the time of signature of the said Agreement </w:t>
      </w:r>
      <w:r w:rsidRPr="00882EAA">
        <w:rPr>
          <w:rFonts w:ascii="Times New Roman" w:hAnsi="Times New Roman" w:cs="Times New Roman"/>
          <w:sz w:val="24"/>
          <w:szCs w:val="24"/>
          <w:lang w:val="en-US"/>
        </w:rPr>
        <w:t>and at the most a little over one month later when the Respondent’s husband passed away.  Appellants have not disputed their knowledge of th</w:t>
      </w:r>
      <w:r>
        <w:rPr>
          <w:rFonts w:ascii="Times New Roman" w:hAnsi="Times New Roman" w:cs="Times New Roman"/>
          <w:sz w:val="24"/>
          <w:szCs w:val="24"/>
          <w:lang w:val="en-US"/>
        </w:rPr>
        <w:t>ese</w:t>
      </w:r>
      <w:r w:rsidRPr="00882EAA">
        <w:rPr>
          <w:rFonts w:ascii="Times New Roman" w:hAnsi="Times New Roman" w:cs="Times New Roman"/>
          <w:sz w:val="24"/>
          <w:szCs w:val="24"/>
          <w:lang w:val="en-US"/>
        </w:rPr>
        <w:t xml:space="preserve"> fact</w:t>
      </w:r>
      <w:r>
        <w:rPr>
          <w:rFonts w:ascii="Times New Roman" w:hAnsi="Times New Roman" w:cs="Times New Roman"/>
          <w:sz w:val="24"/>
          <w:szCs w:val="24"/>
          <w:lang w:val="en-US"/>
        </w:rPr>
        <w:t>s</w:t>
      </w:r>
      <w:r w:rsidRPr="00882EAA">
        <w:rPr>
          <w:rFonts w:ascii="Times New Roman" w:hAnsi="Times New Roman" w:cs="Times New Roman"/>
          <w:sz w:val="24"/>
          <w:szCs w:val="24"/>
          <w:lang w:val="en-US"/>
        </w:rPr>
        <w:t xml:space="preserve"> at the</w:t>
      </w:r>
      <w:r>
        <w:rPr>
          <w:rFonts w:ascii="Times New Roman" w:hAnsi="Times New Roman" w:cs="Times New Roman"/>
          <w:sz w:val="24"/>
          <w:szCs w:val="24"/>
          <w:lang w:val="en-US"/>
        </w:rPr>
        <w:t xml:space="preserve"> material </w:t>
      </w:r>
      <w:r w:rsidRPr="00882EAA">
        <w:rPr>
          <w:rFonts w:ascii="Times New Roman" w:hAnsi="Times New Roman" w:cs="Times New Roman"/>
          <w:sz w:val="24"/>
          <w:szCs w:val="24"/>
          <w:lang w:val="en-US"/>
        </w:rPr>
        <w:t xml:space="preserve">time and of the fact that subsequently, </w:t>
      </w:r>
      <w:r>
        <w:rPr>
          <w:rFonts w:ascii="Times New Roman" w:hAnsi="Times New Roman" w:cs="Times New Roman"/>
          <w:sz w:val="24"/>
          <w:szCs w:val="24"/>
          <w:lang w:val="en-US"/>
        </w:rPr>
        <w:t>all of</w:t>
      </w:r>
      <w:r w:rsidRPr="00882EAA">
        <w:rPr>
          <w:rFonts w:ascii="Times New Roman" w:hAnsi="Times New Roman" w:cs="Times New Roman"/>
          <w:sz w:val="24"/>
          <w:szCs w:val="24"/>
          <w:lang w:val="en-US"/>
        </w:rPr>
        <w:t xml:space="preserve"> Mr. Philippe </w:t>
      </w:r>
      <w:proofErr w:type="spellStart"/>
      <w:r w:rsidRPr="00882EAA">
        <w:rPr>
          <w:rFonts w:ascii="Times New Roman" w:hAnsi="Times New Roman" w:cs="Times New Roman"/>
          <w:sz w:val="24"/>
          <w:szCs w:val="24"/>
          <w:lang w:val="en-US"/>
        </w:rPr>
        <w:t>Vital</w:t>
      </w:r>
      <w:r>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properties </w:t>
      </w:r>
      <w:r w:rsidRPr="00882EAA">
        <w:rPr>
          <w:rFonts w:ascii="Times New Roman" w:hAnsi="Times New Roman" w:cs="Times New Roman"/>
          <w:sz w:val="24"/>
          <w:szCs w:val="24"/>
          <w:lang w:val="en-US"/>
        </w:rPr>
        <w:t>including the land on which the Premises are located w</w:t>
      </w:r>
      <w:r>
        <w:rPr>
          <w:rFonts w:ascii="Times New Roman" w:hAnsi="Times New Roman" w:cs="Times New Roman"/>
          <w:sz w:val="24"/>
          <w:szCs w:val="24"/>
          <w:lang w:val="en-US"/>
        </w:rPr>
        <w:t>ere</w:t>
      </w:r>
      <w:r w:rsidRPr="00882EAA">
        <w:rPr>
          <w:rFonts w:ascii="Times New Roman" w:hAnsi="Times New Roman" w:cs="Times New Roman"/>
          <w:sz w:val="24"/>
          <w:szCs w:val="24"/>
          <w:lang w:val="en-US"/>
        </w:rPr>
        <w:t xml:space="preserve"> transmitted to the Respondent </w:t>
      </w:r>
      <w:r w:rsidR="004B3E88">
        <w:rPr>
          <w:rFonts w:ascii="Times New Roman" w:hAnsi="Times New Roman" w:cs="Times New Roman"/>
          <w:sz w:val="24"/>
          <w:szCs w:val="24"/>
          <w:lang w:val="en-US"/>
        </w:rPr>
        <w:t xml:space="preserve">in terms of </w:t>
      </w:r>
      <w:r w:rsidRPr="00882EAA">
        <w:rPr>
          <w:rFonts w:ascii="Times New Roman" w:hAnsi="Times New Roman" w:cs="Times New Roman"/>
          <w:sz w:val="24"/>
          <w:szCs w:val="24"/>
          <w:lang w:val="en-US"/>
        </w:rPr>
        <w:t xml:space="preserve">his unchallenged last </w:t>
      </w:r>
      <w:r>
        <w:rPr>
          <w:rFonts w:ascii="Times New Roman" w:hAnsi="Times New Roman" w:cs="Times New Roman"/>
          <w:sz w:val="24"/>
          <w:szCs w:val="24"/>
          <w:lang w:val="en-US"/>
        </w:rPr>
        <w:t>W</w:t>
      </w:r>
      <w:r w:rsidRPr="00882EAA">
        <w:rPr>
          <w:rFonts w:ascii="Times New Roman" w:hAnsi="Times New Roman" w:cs="Times New Roman"/>
          <w:sz w:val="24"/>
          <w:szCs w:val="24"/>
          <w:lang w:val="en-US"/>
        </w:rPr>
        <w:t xml:space="preserve">ill and </w:t>
      </w:r>
      <w:r w:rsidR="001F6D28">
        <w:rPr>
          <w:rFonts w:ascii="Times New Roman" w:hAnsi="Times New Roman" w:cs="Times New Roman"/>
          <w:sz w:val="24"/>
          <w:szCs w:val="24"/>
          <w:lang w:val="en-US"/>
        </w:rPr>
        <w:t>T</w:t>
      </w:r>
      <w:r w:rsidRPr="00882EAA">
        <w:rPr>
          <w:rFonts w:ascii="Times New Roman" w:hAnsi="Times New Roman" w:cs="Times New Roman"/>
          <w:sz w:val="24"/>
          <w:szCs w:val="24"/>
          <w:lang w:val="en-US"/>
        </w:rPr>
        <w:t xml:space="preserve">estament. </w:t>
      </w:r>
      <w:r w:rsidR="00246F35" w:rsidRPr="00882EAA">
        <w:rPr>
          <w:rFonts w:ascii="Times New Roman" w:hAnsi="Times New Roman" w:cs="Times New Roman"/>
          <w:sz w:val="24"/>
          <w:szCs w:val="24"/>
          <w:lang w:val="en-US"/>
        </w:rPr>
        <w:t>According to the 2</w:t>
      </w:r>
      <w:r w:rsidR="005D38D9" w:rsidRPr="005D38D9">
        <w:rPr>
          <w:rFonts w:ascii="Times New Roman" w:hAnsi="Times New Roman" w:cs="Times New Roman"/>
          <w:sz w:val="24"/>
          <w:szCs w:val="24"/>
          <w:vertAlign w:val="superscript"/>
          <w:lang w:val="en-US"/>
        </w:rPr>
        <w:t>nd</w:t>
      </w:r>
      <w:r w:rsidR="005D38D9">
        <w:rPr>
          <w:rFonts w:ascii="Times New Roman" w:hAnsi="Times New Roman" w:cs="Times New Roman"/>
          <w:sz w:val="24"/>
          <w:szCs w:val="24"/>
          <w:lang w:val="en-US"/>
        </w:rPr>
        <w:t xml:space="preserve"> </w:t>
      </w:r>
      <w:r w:rsidR="00246F35" w:rsidRPr="00882EAA">
        <w:rPr>
          <w:rFonts w:ascii="Times New Roman" w:hAnsi="Times New Roman" w:cs="Times New Roman"/>
          <w:sz w:val="24"/>
          <w:szCs w:val="24"/>
          <w:lang w:val="en-US"/>
        </w:rPr>
        <w:t xml:space="preserve">Appellant’s </w:t>
      </w:r>
      <w:r w:rsidR="001F6D28">
        <w:rPr>
          <w:rFonts w:ascii="Times New Roman" w:hAnsi="Times New Roman" w:cs="Times New Roman"/>
          <w:sz w:val="24"/>
          <w:szCs w:val="24"/>
          <w:lang w:val="en-US"/>
        </w:rPr>
        <w:t xml:space="preserve">own </w:t>
      </w:r>
      <w:r w:rsidR="00246F35" w:rsidRPr="00882EAA">
        <w:rPr>
          <w:rFonts w:ascii="Times New Roman" w:hAnsi="Times New Roman" w:cs="Times New Roman"/>
          <w:sz w:val="24"/>
          <w:szCs w:val="24"/>
          <w:lang w:val="en-US"/>
        </w:rPr>
        <w:t xml:space="preserve">testimony she had always known that her deceased father was the owner of the property although her mother was in control of everything. </w:t>
      </w:r>
    </w:p>
    <w:p w14:paraId="33DB6FA1" w14:textId="77777777" w:rsidR="00CD5552" w:rsidRPr="00246F35" w:rsidRDefault="00CD5552" w:rsidP="00246F35">
      <w:pPr>
        <w:tabs>
          <w:tab w:val="left" w:pos="993"/>
        </w:tabs>
        <w:spacing w:line="360" w:lineRule="auto"/>
        <w:jc w:val="both"/>
        <w:rPr>
          <w:i/>
          <w:iCs/>
        </w:rPr>
      </w:pPr>
    </w:p>
    <w:p w14:paraId="23CC3C69" w14:textId="22F69612" w:rsidR="001A16BA" w:rsidRPr="001A16BA" w:rsidRDefault="00CD5552" w:rsidP="001F6D28">
      <w:pPr>
        <w:pStyle w:val="ListParagraph"/>
        <w:numPr>
          <w:ilvl w:val="0"/>
          <w:numId w:val="12"/>
        </w:numPr>
        <w:spacing w:after="0" w:line="360" w:lineRule="auto"/>
        <w:ind w:left="720" w:hanging="720"/>
        <w:jc w:val="both"/>
        <w:rPr>
          <w:rFonts w:ascii="Times New Roman" w:hAnsi="Times New Roman" w:cs="Times New Roman"/>
          <w:sz w:val="24"/>
          <w:szCs w:val="24"/>
          <w:lang w:val="en-US"/>
        </w:rPr>
      </w:pPr>
      <w:r w:rsidRPr="001F6D28">
        <w:rPr>
          <w:rFonts w:ascii="Times New Roman" w:hAnsi="Times New Roman" w:cs="Times New Roman"/>
          <w:sz w:val="24"/>
          <w:szCs w:val="24"/>
          <w:lang w:val="en-US"/>
        </w:rPr>
        <w:t>The Appellants</w:t>
      </w:r>
      <w:r w:rsidR="00FB0291">
        <w:rPr>
          <w:rFonts w:ascii="Times New Roman" w:hAnsi="Times New Roman" w:cs="Times New Roman"/>
          <w:sz w:val="24"/>
          <w:szCs w:val="24"/>
          <w:lang w:val="en-US"/>
        </w:rPr>
        <w:t>’</w:t>
      </w:r>
      <w:r w:rsidRPr="001F6D28">
        <w:rPr>
          <w:rFonts w:ascii="Times New Roman" w:hAnsi="Times New Roman" w:cs="Times New Roman"/>
          <w:sz w:val="24"/>
          <w:szCs w:val="24"/>
          <w:lang w:val="en-US"/>
        </w:rPr>
        <w:t xml:space="preserve"> conduct upon the death of Mr. Philip Vital and upon the Respondent becoming the owner of the Premises speaks volume as to their </w:t>
      </w:r>
      <w:r w:rsidR="001F6D28" w:rsidRPr="001F6D28">
        <w:rPr>
          <w:rFonts w:ascii="Times New Roman" w:hAnsi="Times New Roman" w:cs="Times New Roman"/>
          <w:sz w:val="24"/>
          <w:szCs w:val="24"/>
          <w:lang w:val="en-US"/>
        </w:rPr>
        <w:t>intention and</w:t>
      </w:r>
      <w:r w:rsidRPr="001F6D28">
        <w:rPr>
          <w:rFonts w:ascii="Times New Roman" w:hAnsi="Times New Roman" w:cs="Times New Roman"/>
          <w:sz w:val="24"/>
          <w:szCs w:val="24"/>
          <w:lang w:val="en-US"/>
        </w:rPr>
        <w:t xml:space="preserve"> is consistent with a tacit confirmation or ratification of the Agreement. </w:t>
      </w:r>
    </w:p>
    <w:p w14:paraId="1A859599" w14:textId="77777777" w:rsidR="00882EAA" w:rsidRPr="00882EAA" w:rsidRDefault="00882EAA" w:rsidP="00882EAA">
      <w:pPr>
        <w:pStyle w:val="ListParagraph"/>
        <w:rPr>
          <w:rFonts w:ascii="Times New Roman" w:hAnsi="Times New Roman" w:cs="Times New Roman"/>
          <w:i/>
          <w:iCs/>
          <w:sz w:val="24"/>
          <w:szCs w:val="24"/>
          <w:lang w:val="en-US"/>
        </w:rPr>
      </w:pPr>
    </w:p>
    <w:p w14:paraId="048E4D41" w14:textId="09541C30" w:rsidR="00882EAA" w:rsidRPr="00CD5552" w:rsidRDefault="009E3127" w:rsidP="00F731E0">
      <w:pPr>
        <w:pStyle w:val="ListParagraph"/>
        <w:numPr>
          <w:ilvl w:val="0"/>
          <w:numId w:val="12"/>
        </w:numPr>
        <w:tabs>
          <w:tab w:val="left" w:pos="993"/>
        </w:tabs>
        <w:spacing w:after="0" w:line="360" w:lineRule="auto"/>
        <w:ind w:left="720" w:hanging="720"/>
        <w:jc w:val="both"/>
        <w:rPr>
          <w:rFonts w:ascii="Times New Roman" w:hAnsi="Times New Roman" w:cs="Times New Roman"/>
          <w:i/>
          <w:iCs/>
          <w:sz w:val="24"/>
          <w:szCs w:val="24"/>
          <w:lang w:val="en-US"/>
        </w:rPr>
      </w:pPr>
      <w:r>
        <w:rPr>
          <w:rFonts w:ascii="Times New Roman" w:hAnsi="Times New Roman" w:cs="Times New Roman"/>
          <w:sz w:val="24"/>
          <w:szCs w:val="24"/>
          <w:lang w:val="en-US"/>
        </w:rPr>
        <w:t>Further</w:t>
      </w:r>
      <w:r w:rsidR="004B3E88">
        <w:rPr>
          <w:rFonts w:ascii="Times New Roman" w:hAnsi="Times New Roman" w:cs="Times New Roman"/>
          <w:sz w:val="24"/>
          <w:szCs w:val="24"/>
          <w:lang w:val="en-US"/>
        </w:rPr>
        <w:t xml:space="preserve">, the </w:t>
      </w:r>
      <w:r w:rsidR="00882EAA" w:rsidRPr="00CD5552">
        <w:rPr>
          <w:rFonts w:ascii="Times New Roman" w:hAnsi="Times New Roman" w:cs="Times New Roman"/>
          <w:sz w:val="24"/>
          <w:szCs w:val="24"/>
          <w:lang w:val="en-US"/>
        </w:rPr>
        <w:t xml:space="preserve">Appellants </w:t>
      </w:r>
      <w:r w:rsidR="004B3E88">
        <w:rPr>
          <w:rFonts w:ascii="Times New Roman" w:hAnsi="Times New Roman" w:cs="Times New Roman"/>
          <w:sz w:val="24"/>
          <w:szCs w:val="24"/>
          <w:lang w:val="en-US"/>
        </w:rPr>
        <w:t>proceeded with execution of the Agreement</w:t>
      </w:r>
      <w:r w:rsidR="001F6D28">
        <w:rPr>
          <w:rFonts w:ascii="Times New Roman" w:hAnsi="Times New Roman" w:cs="Times New Roman"/>
          <w:sz w:val="24"/>
          <w:szCs w:val="24"/>
          <w:lang w:val="en-US"/>
        </w:rPr>
        <w:t xml:space="preserve"> voluntarily</w:t>
      </w:r>
      <w:r w:rsidR="004B3E88">
        <w:rPr>
          <w:rFonts w:ascii="Times New Roman" w:hAnsi="Times New Roman" w:cs="Times New Roman"/>
          <w:sz w:val="24"/>
          <w:szCs w:val="24"/>
          <w:lang w:val="en-US"/>
        </w:rPr>
        <w:t>. They financed and completed</w:t>
      </w:r>
      <w:r w:rsidR="00882EAA" w:rsidRPr="00CD5552">
        <w:rPr>
          <w:rFonts w:ascii="Times New Roman" w:hAnsi="Times New Roman" w:cs="Times New Roman"/>
          <w:sz w:val="24"/>
          <w:szCs w:val="24"/>
          <w:lang w:val="en-US"/>
        </w:rPr>
        <w:t xml:space="preserve"> the Premises</w:t>
      </w:r>
      <w:r w:rsidR="004B3E88">
        <w:rPr>
          <w:rFonts w:ascii="Times New Roman" w:hAnsi="Times New Roman" w:cs="Times New Roman"/>
          <w:sz w:val="24"/>
          <w:szCs w:val="24"/>
          <w:lang w:val="en-US"/>
        </w:rPr>
        <w:t>,</w:t>
      </w:r>
      <w:r w:rsidR="00CD5552" w:rsidRPr="00CD5552">
        <w:rPr>
          <w:rFonts w:ascii="Times New Roman" w:hAnsi="Times New Roman" w:cs="Times New Roman"/>
          <w:sz w:val="24"/>
          <w:szCs w:val="24"/>
          <w:lang w:val="en-US"/>
        </w:rPr>
        <w:t xml:space="preserve"> </w:t>
      </w:r>
      <w:r w:rsidR="00882EAA" w:rsidRPr="00CD5552">
        <w:rPr>
          <w:rFonts w:ascii="Times New Roman" w:hAnsi="Times New Roman" w:cs="Times New Roman"/>
          <w:sz w:val="24"/>
          <w:szCs w:val="24"/>
          <w:lang w:val="en-US"/>
        </w:rPr>
        <w:t xml:space="preserve">and </w:t>
      </w:r>
      <w:r w:rsidR="00CD5552" w:rsidRPr="00CD5552">
        <w:rPr>
          <w:rFonts w:ascii="Times New Roman" w:hAnsi="Times New Roman" w:cs="Times New Roman"/>
          <w:sz w:val="24"/>
          <w:szCs w:val="24"/>
          <w:lang w:val="en-US"/>
        </w:rPr>
        <w:t>as they did so, they furnished t</w:t>
      </w:r>
      <w:r w:rsidR="00882EAA" w:rsidRPr="00CD5552">
        <w:rPr>
          <w:rFonts w:ascii="Times New Roman" w:hAnsi="Times New Roman" w:cs="Times New Roman"/>
          <w:sz w:val="24"/>
          <w:szCs w:val="24"/>
          <w:lang w:val="en-US"/>
        </w:rPr>
        <w:t>he receipts of the</w:t>
      </w:r>
      <w:r w:rsidR="00CD5552" w:rsidRPr="00CD5552">
        <w:rPr>
          <w:rFonts w:ascii="Times New Roman" w:hAnsi="Times New Roman" w:cs="Times New Roman"/>
          <w:sz w:val="24"/>
          <w:szCs w:val="24"/>
          <w:lang w:val="en-US"/>
        </w:rPr>
        <w:t>ir</w:t>
      </w:r>
      <w:r w:rsidR="00882EAA" w:rsidRPr="00CD5552">
        <w:rPr>
          <w:rFonts w:ascii="Times New Roman" w:hAnsi="Times New Roman" w:cs="Times New Roman"/>
          <w:sz w:val="24"/>
          <w:szCs w:val="24"/>
          <w:lang w:val="en-US"/>
        </w:rPr>
        <w:t xml:space="preserve"> expenses </w:t>
      </w:r>
      <w:r w:rsidR="00CD5552" w:rsidRPr="00CD5552">
        <w:rPr>
          <w:rFonts w:ascii="Times New Roman" w:hAnsi="Times New Roman" w:cs="Times New Roman"/>
          <w:sz w:val="24"/>
          <w:szCs w:val="24"/>
          <w:lang w:val="en-US"/>
        </w:rPr>
        <w:t>to the Respondent in accordance with the</w:t>
      </w:r>
      <w:r w:rsidR="00882EAA" w:rsidRPr="00CD5552">
        <w:rPr>
          <w:rFonts w:ascii="Times New Roman" w:hAnsi="Times New Roman" w:cs="Times New Roman"/>
          <w:sz w:val="24"/>
          <w:szCs w:val="24"/>
          <w:lang w:val="en-US"/>
        </w:rPr>
        <w:t xml:space="preserve"> </w:t>
      </w:r>
      <w:r w:rsidR="00CD5552" w:rsidRPr="00CD5552">
        <w:rPr>
          <w:rFonts w:ascii="Times New Roman" w:hAnsi="Times New Roman" w:cs="Times New Roman"/>
          <w:sz w:val="24"/>
          <w:szCs w:val="24"/>
          <w:lang w:val="en-US"/>
        </w:rPr>
        <w:t>A</w:t>
      </w:r>
      <w:r w:rsidR="00882EAA" w:rsidRPr="00CD5552">
        <w:rPr>
          <w:rFonts w:ascii="Times New Roman" w:hAnsi="Times New Roman" w:cs="Times New Roman"/>
          <w:sz w:val="24"/>
          <w:szCs w:val="24"/>
          <w:lang w:val="en-US"/>
        </w:rPr>
        <w:t xml:space="preserve">greement </w:t>
      </w:r>
      <w:r w:rsidR="00CD5552" w:rsidRPr="00CD5552">
        <w:rPr>
          <w:rFonts w:ascii="Times New Roman" w:hAnsi="Times New Roman" w:cs="Times New Roman"/>
          <w:sz w:val="24"/>
          <w:szCs w:val="24"/>
          <w:lang w:val="en-US"/>
        </w:rPr>
        <w:t>which they now seek to repudiate</w:t>
      </w:r>
      <w:r w:rsidR="00882EAA" w:rsidRPr="00CD5552">
        <w:rPr>
          <w:rFonts w:ascii="Times New Roman" w:hAnsi="Times New Roman" w:cs="Times New Roman"/>
          <w:sz w:val="24"/>
          <w:szCs w:val="24"/>
          <w:lang w:val="en-US"/>
        </w:rPr>
        <w:t>. The</w:t>
      </w:r>
      <w:r w:rsidR="00CD5552" w:rsidRPr="00CD5552">
        <w:rPr>
          <w:rFonts w:ascii="Times New Roman" w:hAnsi="Times New Roman" w:cs="Times New Roman"/>
          <w:sz w:val="24"/>
          <w:szCs w:val="24"/>
          <w:lang w:val="en-US"/>
        </w:rPr>
        <w:t>y occupied the Premises upon its completion on 2</w:t>
      </w:r>
      <w:r w:rsidR="005D38D9" w:rsidRPr="005D38D9">
        <w:rPr>
          <w:rFonts w:ascii="Times New Roman" w:hAnsi="Times New Roman" w:cs="Times New Roman"/>
          <w:sz w:val="24"/>
          <w:szCs w:val="24"/>
          <w:vertAlign w:val="superscript"/>
          <w:lang w:val="en-US"/>
        </w:rPr>
        <w:t>nd</w:t>
      </w:r>
      <w:r w:rsidR="005D38D9">
        <w:rPr>
          <w:rFonts w:ascii="Times New Roman" w:hAnsi="Times New Roman" w:cs="Times New Roman"/>
          <w:sz w:val="24"/>
          <w:szCs w:val="24"/>
          <w:lang w:val="en-US"/>
        </w:rPr>
        <w:t xml:space="preserve"> </w:t>
      </w:r>
      <w:r w:rsidR="00CD5552" w:rsidRPr="00CD5552">
        <w:rPr>
          <w:rFonts w:ascii="Times New Roman" w:hAnsi="Times New Roman" w:cs="Times New Roman"/>
          <w:sz w:val="24"/>
          <w:szCs w:val="24"/>
          <w:lang w:val="en-US"/>
        </w:rPr>
        <w:t xml:space="preserve">December 2018 </w:t>
      </w:r>
      <w:r w:rsidR="00F25D68" w:rsidRPr="00CD5552">
        <w:rPr>
          <w:rFonts w:ascii="Times New Roman" w:hAnsi="Times New Roman" w:cs="Times New Roman"/>
          <w:sz w:val="24"/>
          <w:szCs w:val="24"/>
          <w:lang w:val="en-US"/>
        </w:rPr>
        <w:t xml:space="preserve">as per the Agreement </w:t>
      </w:r>
      <w:r w:rsidR="00CD5552" w:rsidRPr="00CD5552">
        <w:rPr>
          <w:rFonts w:ascii="Times New Roman" w:hAnsi="Times New Roman" w:cs="Times New Roman"/>
          <w:sz w:val="24"/>
          <w:szCs w:val="24"/>
          <w:lang w:val="en-US"/>
        </w:rPr>
        <w:t xml:space="preserve">and enjoyed 36 </w:t>
      </w:r>
      <w:r w:rsidR="00F25D68" w:rsidRPr="00CD5552">
        <w:rPr>
          <w:rFonts w:ascii="Times New Roman" w:hAnsi="Times New Roman" w:cs="Times New Roman"/>
          <w:sz w:val="24"/>
          <w:szCs w:val="24"/>
          <w:lang w:val="en-US"/>
        </w:rPr>
        <w:t>months’</w:t>
      </w:r>
      <w:r w:rsidR="00CD5552" w:rsidRPr="00CD5552">
        <w:rPr>
          <w:rFonts w:ascii="Times New Roman" w:hAnsi="Times New Roman" w:cs="Times New Roman"/>
          <w:sz w:val="24"/>
          <w:szCs w:val="24"/>
          <w:lang w:val="en-US"/>
        </w:rPr>
        <w:t xml:space="preserve"> rent free as rental due</w:t>
      </w:r>
      <w:r w:rsidR="00246F35">
        <w:rPr>
          <w:rFonts w:ascii="Times New Roman" w:hAnsi="Times New Roman" w:cs="Times New Roman"/>
          <w:sz w:val="24"/>
          <w:szCs w:val="24"/>
          <w:lang w:val="en-US"/>
        </w:rPr>
        <w:t xml:space="preserve"> were being set off against their expenses</w:t>
      </w:r>
      <w:r w:rsidR="00F25D68">
        <w:rPr>
          <w:rFonts w:ascii="Times New Roman" w:hAnsi="Times New Roman" w:cs="Times New Roman"/>
          <w:sz w:val="24"/>
          <w:szCs w:val="24"/>
          <w:lang w:val="en-US"/>
        </w:rPr>
        <w:t>.</w:t>
      </w:r>
      <w:r w:rsidR="00CD5552" w:rsidRPr="00CD5552">
        <w:rPr>
          <w:rFonts w:ascii="Times New Roman" w:hAnsi="Times New Roman" w:cs="Times New Roman"/>
          <w:sz w:val="24"/>
          <w:szCs w:val="24"/>
          <w:lang w:val="en-US"/>
        </w:rPr>
        <w:t xml:space="preserve">  </w:t>
      </w:r>
      <w:r w:rsidR="00882EAA" w:rsidRPr="00CD5552">
        <w:rPr>
          <w:rFonts w:ascii="Times New Roman" w:hAnsi="Times New Roman" w:cs="Times New Roman"/>
          <w:sz w:val="24"/>
          <w:szCs w:val="24"/>
          <w:lang w:val="en-US"/>
        </w:rPr>
        <w:t xml:space="preserve"> </w:t>
      </w:r>
    </w:p>
    <w:p w14:paraId="5AB94715" w14:textId="77777777" w:rsidR="00CD5552" w:rsidRPr="00CD5552" w:rsidRDefault="00CD5552" w:rsidP="00CD5552">
      <w:pPr>
        <w:pStyle w:val="ListParagraph"/>
        <w:tabs>
          <w:tab w:val="left" w:pos="993"/>
        </w:tabs>
        <w:spacing w:after="0" w:line="360" w:lineRule="auto"/>
        <w:jc w:val="both"/>
        <w:rPr>
          <w:rFonts w:ascii="Times New Roman" w:hAnsi="Times New Roman" w:cs="Times New Roman"/>
          <w:i/>
          <w:iCs/>
          <w:sz w:val="24"/>
          <w:szCs w:val="24"/>
          <w:lang w:val="en-US"/>
        </w:rPr>
      </w:pPr>
    </w:p>
    <w:p w14:paraId="7A653EE9" w14:textId="16122388" w:rsidR="00246F35" w:rsidRDefault="00F25D68" w:rsidP="00504694">
      <w:pPr>
        <w:pStyle w:val="ListParagraph"/>
        <w:numPr>
          <w:ilvl w:val="0"/>
          <w:numId w:val="12"/>
        </w:numPr>
        <w:tabs>
          <w:tab w:val="left" w:pos="993"/>
        </w:tabs>
        <w:spacing w:after="0"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Further</w:t>
      </w:r>
      <w:r w:rsidR="009E3127">
        <w:rPr>
          <w:rFonts w:ascii="Times New Roman" w:hAnsi="Times New Roman" w:cs="Times New Roman"/>
          <w:sz w:val="24"/>
          <w:szCs w:val="24"/>
          <w:lang w:val="en-US"/>
        </w:rPr>
        <w:t>more</w:t>
      </w:r>
      <w:r>
        <w:rPr>
          <w:rFonts w:ascii="Times New Roman" w:hAnsi="Times New Roman" w:cs="Times New Roman"/>
          <w:sz w:val="24"/>
          <w:szCs w:val="24"/>
          <w:lang w:val="en-US"/>
        </w:rPr>
        <w:t>, o</w:t>
      </w:r>
      <w:r w:rsidR="00882EAA" w:rsidRPr="00246F35">
        <w:rPr>
          <w:rFonts w:ascii="Times New Roman" w:hAnsi="Times New Roman" w:cs="Times New Roman"/>
          <w:sz w:val="24"/>
          <w:szCs w:val="24"/>
          <w:lang w:val="en-US"/>
        </w:rPr>
        <w:t>n 7</w:t>
      </w:r>
      <w:r w:rsidR="005D38D9" w:rsidRPr="005D38D9">
        <w:rPr>
          <w:rFonts w:ascii="Times New Roman" w:hAnsi="Times New Roman" w:cs="Times New Roman"/>
          <w:sz w:val="24"/>
          <w:szCs w:val="24"/>
          <w:vertAlign w:val="superscript"/>
          <w:lang w:val="en-US"/>
        </w:rPr>
        <w:t>th</w:t>
      </w:r>
      <w:r w:rsidR="005D38D9">
        <w:rPr>
          <w:rFonts w:ascii="Times New Roman" w:hAnsi="Times New Roman" w:cs="Times New Roman"/>
          <w:sz w:val="24"/>
          <w:szCs w:val="24"/>
          <w:lang w:val="en-US"/>
        </w:rPr>
        <w:t xml:space="preserve"> </w:t>
      </w:r>
      <w:r w:rsidR="00882EAA" w:rsidRPr="00246F35">
        <w:rPr>
          <w:rFonts w:ascii="Times New Roman" w:hAnsi="Times New Roman" w:cs="Times New Roman"/>
          <w:sz w:val="24"/>
          <w:szCs w:val="24"/>
          <w:lang w:val="en-US"/>
        </w:rPr>
        <w:t xml:space="preserve">October 2020, when the Respondent’s Attorney wrote to </w:t>
      </w:r>
      <w:r w:rsidR="00246F35" w:rsidRPr="00246F35">
        <w:rPr>
          <w:rFonts w:ascii="Times New Roman" w:hAnsi="Times New Roman" w:cs="Times New Roman"/>
          <w:sz w:val="24"/>
          <w:szCs w:val="24"/>
          <w:lang w:val="en-US"/>
        </w:rPr>
        <w:t>the Appellants</w:t>
      </w:r>
      <w:r w:rsidR="00882EAA" w:rsidRPr="00246F35">
        <w:rPr>
          <w:rFonts w:ascii="Times New Roman" w:hAnsi="Times New Roman" w:cs="Times New Roman"/>
          <w:sz w:val="24"/>
          <w:szCs w:val="24"/>
          <w:lang w:val="en-US"/>
        </w:rPr>
        <w:t xml:space="preserve"> informing them of their set off period and the fact that rent will be due by December 2021, the Appellants did not challenge the validity of the Agreement</w:t>
      </w:r>
      <w:r w:rsidR="00246F35">
        <w:rPr>
          <w:rFonts w:ascii="Times New Roman" w:hAnsi="Times New Roman" w:cs="Times New Roman"/>
          <w:sz w:val="24"/>
          <w:szCs w:val="24"/>
          <w:lang w:val="en-US"/>
        </w:rPr>
        <w:t xml:space="preserve"> nor the capacity of the Respondent</w:t>
      </w:r>
      <w:r w:rsidR="00882EAA" w:rsidRPr="00246F35">
        <w:rPr>
          <w:rFonts w:ascii="Times New Roman" w:hAnsi="Times New Roman" w:cs="Times New Roman"/>
          <w:sz w:val="24"/>
          <w:szCs w:val="24"/>
          <w:lang w:val="en-US"/>
        </w:rPr>
        <w:t xml:space="preserve">. </w:t>
      </w:r>
      <w:r w:rsidR="00246F35">
        <w:rPr>
          <w:rFonts w:ascii="Times New Roman" w:hAnsi="Times New Roman" w:cs="Times New Roman"/>
          <w:sz w:val="24"/>
          <w:szCs w:val="24"/>
          <w:lang w:val="en-US"/>
        </w:rPr>
        <w:t>These were only</w:t>
      </w:r>
      <w:r w:rsidR="00882EAA" w:rsidRPr="00246F35">
        <w:rPr>
          <w:rFonts w:ascii="Times New Roman" w:hAnsi="Times New Roman" w:cs="Times New Roman"/>
          <w:sz w:val="24"/>
          <w:szCs w:val="24"/>
          <w:lang w:val="en-US"/>
        </w:rPr>
        <w:t xml:space="preserve"> raised in 2022 </w:t>
      </w:r>
      <w:r w:rsidR="00246F35">
        <w:rPr>
          <w:rFonts w:ascii="Times New Roman" w:hAnsi="Times New Roman" w:cs="Times New Roman"/>
          <w:sz w:val="24"/>
          <w:szCs w:val="24"/>
          <w:lang w:val="en-US"/>
        </w:rPr>
        <w:t>upon being</w:t>
      </w:r>
      <w:r w:rsidR="00882EAA" w:rsidRPr="00246F35">
        <w:rPr>
          <w:rFonts w:ascii="Times New Roman" w:hAnsi="Times New Roman" w:cs="Times New Roman"/>
          <w:sz w:val="24"/>
          <w:szCs w:val="24"/>
          <w:lang w:val="en-US"/>
        </w:rPr>
        <w:t xml:space="preserve"> served with Notice of Termination of Tenancy. </w:t>
      </w:r>
    </w:p>
    <w:p w14:paraId="2629B8E3" w14:textId="77777777" w:rsidR="00246F35" w:rsidRPr="00246F35" w:rsidRDefault="00246F35" w:rsidP="00246F35">
      <w:pPr>
        <w:tabs>
          <w:tab w:val="left" w:pos="993"/>
        </w:tabs>
        <w:spacing w:line="360" w:lineRule="auto"/>
        <w:jc w:val="both"/>
      </w:pPr>
    </w:p>
    <w:p w14:paraId="3D478C11" w14:textId="1FF7A242" w:rsidR="00246F35" w:rsidRPr="001F6D28" w:rsidRDefault="00246F35" w:rsidP="006508EC">
      <w:pPr>
        <w:pStyle w:val="ListParagraph"/>
        <w:numPr>
          <w:ilvl w:val="0"/>
          <w:numId w:val="12"/>
        </w:numPr>
        <w:tabs>
          <w:tab w:val="left" w:pos="993"/>
        </w:tabs>
        <w:spacing w:after="0" w:line="360" w:lineRule="auto"/>
        <w:ind w:left="720" w:hanging="720"/>
        <w:jc w:val="both"/>
        <w:rPr>
          <w:rFonts w:ascii="Times New Roman" w:hAnsi="Times New Roman" w:cs="Times New Roman"/>
          <w:i/>
          <w:iCs/>
          <w:sz w:val="24"/>
          <w:szCs w:val="24"/>
          <w:lang w:val="en-US"/>
        </w:rPr>
      </w:pPr>
      <w:r>
        <w:rPr>
          <w:rFonts w:ascii="Times New Roman" w:hAnsi="Times New Roman" w:cs="Times New Roman"/>
          <w:sz w:val="24"/>
          <w:szCs w:val="24"/>
          <w:lang w:val="en-US"/>
        </w:rPr>
        <w:t>By</w:t>
      </w:r>
      <w:r w:rsidR="00882EAA" w:rsidRPr="00246F35">
        <w:rPr>
          <w:rFonts w:ascii="Times New Roman" w:hAnsi="Times New Roman" w:cs="Times New Roman"/>
          <w:sz w:val="24"/>
          <w:szCs w:val="24"/>
          <w:lang w:val="en-US"/>
        </w:rPr>
        <w:t xml:space="preserve"> </w:t>
      </w:r>
      <w:r>
        <w:rPr>
          <w:rFonts w:ascii="Times New Roman" w:hAnsi="Times New Roman" w:cs="Times New Roman"/>
          <w:sz w:val="24"/>
          <w:szCs w:val="24"/>
          <w:lang w:val="en-US"/>
        </w:rPr>
        <w:t>their acts</w:t>
      </w:r>
      <w:r w:rsidR="00473C71" w:rsidRPr="00246F35">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00473C71" w:rsidRPr="00246F35">
        <w:rPr>
          <w:rFonts w:ascii="Times New Roman" w:hAnsi="Times New Roman" w:cs="Times New Roman"/>
          <w:sz w:val="24"/>
          <w:szCs w:val="24"/>
          <w:lang w:val="en-US"/>
        </w:rPr>
        <w:t xml:space="preserve"> adhering to the terms of the Agreement</w:t>
      </w:r>
      <w:r w:rsidR="00F25D68">
        <w:rPr>
          <w:rFonts w:ascii="Times New Roman" w:hAnsi="Times New Roman" w:cs="Times New Roman"/>
          <w:sz w:val="24"/>
          <w:szCs w:val="24"/>
          <w:lang w:val="en-US"/>
        </w:rPr>
        <w:t xml:space="preserve"> voluntarily</w:t>
      </w:r>
      <w:r w:rsidR="00882EAA" w:rsidRPr="00246F35">
        <w:rPr>
          <w:rFonts w:ascii="Times New Roman" w:hAnsi="Times New Roman" w:cs="Times New Roman"/>
          <w:sz w:val="24"/>
          <w:szCs w:val="24"/>
          <w:lang w:val="en-US"/>
        </w:rPr>
        <w:t xml:space="preserve">, the Appellants </w:t>
      </w:r>
      <w:r w:rsidR="001F6D28">
        <w:rPr>
          <w:rFonts w:ascii="Times New Roman" w:hAnsi="Times New Roman" w:cs="Times New Roman"/>
          <w:sz w:val="24"/>
          <w:szCs w:val="24"/>
          <w:lang w:val="en-US"/>
        </w:rPr>
        <w:t>have</w:t>
      </w:r>
      <w:r w:rsidR="00CD5552" w:rsidRPr="00246F35">
        <w:rPr>
          <w:rFonts w:ascii="Times New Roman" w:hAnsi="Times New Roman" w:cs="Times New Roman"/>
          <w:sz w:val="24"/>
          <w:szCs w:val="24"/>
          <w:lang w:val="en-US"/>
        </w:rPr>
        <w:t xml:space="preserve"> </w:t>
      </w:r>
      <w:r w:rsidR="00882EAA" w:rsidRPr="00246F35">
        <w:rPr>
          <w:rFonts w:ascii="Times New Roman" w:hAnsi="Times New Roman" w:cs="Times New Roman"/>
          <w:sz w:val="24"/>
          <w:szCs w:val="24"/>
          <w:lang w:val="en-US"/>
        </w:rPr>
        <w:t xml:space="preserve">tacitly confirmed </w:t>
      </w:r>
      <w:r w:rsidRPr="00246F35">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said </w:t>
      </w:r>
      <w:r w:rsidRPr="00246F35">
        <w:rPr>
          <w:rFonts w:ascii="Times New Roman" w:hAnsi="Times New Roman" w:cs="Times New Roman"/>
          <w:sz w:val="24"/>
          <w:szCs w:val="24"/>
          <w:lang w:val="en-US"/>
        </w:rPr>
        <w:t>Agreement</w:t>
      </w:r>
      <w:r>
        <w:rPr>
          <w:rFonts w:ascii="Times New Roman" w:hAnsi="Times New Roman" w:cs="Times New Roman"/>
          <w:sz w:val="24"/>
          <w:szCs w:val="24"/>
          <w:lang w:val="en-US"/>
        </w:rPr>
        <w:t xml:space="preserve">. </w:t>
      </w:r>
      <w:r w:rsidRPr="00246F35">
        <w:rPr>
          <w:rFonts w:ascii="Times New Roman" w:hAnsi="Times New Roman" w:cs="Times New Roman"/>
          <w:sz w:val="24"/>
          <w:szCs w:val="24"/>
          <w:lang w:val="en-US"/>
        </w:rPr>
        <w:t xml:space="preserve"> </w:t>
      </w:r>
      <w:r>
        <w:rPr>
          <w:rFonts w:ascii="Times New Roman" w:hAnsi="Times New Roman" w:cs="Times New Roman"/>
          <w:sz w:val="24"/>
          <w:szCs w:val="24"/>
          <w:lang w:val="en-US"/>
        </w:rPr>
        <w:t>They are</w:t>
      </w:r>
      <w:r w:rsidR="00CD5552" w:rsidRPr="00246F35">
        <w:rPr>
          <w:rFonts w:ascii="Times New Roman" w:hAnsi="Times New Roman" w:cs="Times New Roman"/>
          <w:sz w:val="24"/>
          <w:szCs w:val="24"/>
          <w:lang w:val="en-US"/>
        </w:rPr>
        <w:t xml:space="preserve"> deemed to have waived their right </w:t>
      </w:r>
      <w:r w:rsidR="001F6D28">
        <w:rPr>
          <w:rFonts w:ascii="Times New Roman" w:hAnsi="Times New Roman" w:cs="Times New Roman"/>
          <w:sz w:val="24"/>
          <w:szCs w:val="24"/>
          <w:lang w:val="en-US"/>
        </w:rPr>
        <w:t xml:space="preserve">of action or to raise the defence of </w:t>
      </w:r>
      <w:r w:rsidR="00CD5552" w:rsidRPr="00246F35">
        <w:rPr>
          <w:rFonts w:ascii="Times New Roman" w:hAnsi="Times New Roman" w:cs="Times New Roman"/>
          <w:sz w:val="24"/>
          <w:szCs w:val="24"/>
          <w:lang w:val="en-US"/>
        </w:rPr>
        <w:t>nullity</w:t>
      </w:r>
      <w:r>
        <w:rPr>
          <w:rFonts w:ascii="Times New Roman" w:hAnsi="Times New Roman" w:cs="Times New Roman"/>
          <w:sz w:val="24"/>
          <w:szCs w:val="24"/>
          <w:lang w:val="en-US"/>
        </w:rPr>
        <w:t>.</w:t>
      </w:r>
      <w:r w:rsidRPr="00246F35">
        <w:rPr>
          <w:rFonts w:ascii="Times New Roman" w:hAnsi="Times New Roman" w:cs="Times New Roman"/>
          <w:sz w:val="24"/>
          <w:szCs w:val="24"/>
          <w:lang w:val="en-US"/>
        </w:rPr>
        <w:t xml:space="preserve"> </w:t>
      </w:r>
      <w:r w:rsidR="001F6D28">
        <w:rPr>
          <w:rFonts w:ascii="Times New Roman" w:hAnsi="Times New Roman" w:cs="Times New Roman"/>
          <w:sz w:val="24"/>
          <w:szCs w:val="24"/>
          <w:lang w:val="en-US"/>
        </w:rPr>
        <w:t xml:space="preserve">At any rate, by the time that the Appellants occupied the Premises </w:t>
      </w:r>
      <w:r w:rsidR="009E3127">
        <w:rPr>
          <w:rFonts w:ascii="Times New Roman" w:hAnsi="Times New Roman" w:cs="Times New Roman"/>
          <w:sz w:val="24"/>
          <w:szCs w:val="24"/>
          <w:lang w:val="en-US"/>
        </w:rPr>
        <w:t xml:space="preserve">in December 2018 </w:t>
      </w:r>
      <w:r w:rsidR="001F6D28">
        <w:rPr>
          <w:rFonts w:ascii="Times New Roman" w:hAnsi="Times New Roman" w:cs="Times New Roman"/>
          <w:sz w:val="24"/>
          <w:szCs w:val="24"/>
          <w:lang w:val="en-US"/>
        </w:rPr>
        <w:t xml:space="preserve">and subsequently when rental became due from the Appellants </w:t>
      </w:r>
      <w:r w:rsidR="001F6D28">
        <w:rPr>
          <w:rFonts w:ascii="Times New Roman" w:hAnsi="Times New Roman" w:cs="Times New Roman"/>
          <w:sz w:val="24"/>
          <w:szCs w:val="24"/>
          <w:lang w:val="en-US"/>
        </w:rPr>
        <w:lastRenderedPageBreak/>
        <w:t>for their occupation of the Premises after the setting-off period</w:t>
      </w:r>
      <w:r w:rsidR="009E3127">
        <w:rPr>
          <w:rFonts w:ascii="Times New Roman" w:hAnsi="Times New Roman" w:cs="Times New Roman"/>
          <w:sz w:val="24"/>
          <w:szCs w:val="24"/>
          <w:lang w:val="en-US"/>
        </w:rPr>
        <w:t xml:space="preserve"> in Dece</w:t>
      </w:r>
      <w:r w:rsidR="003D0008">
        <w:rPr>
          <w:rFonts w:ascii="Times New Roman" w:hAnsi="Times New Roman" w:cs="Times New Roman"/>
          <w:sz w:val="24"/>
          <w:szCs w:val="24"/>
          <w:lang w:val="en-US"/>
        </w:rPr>
        <w:t>mber 2021</w:t>
      </w:r>
      <w:r w:rsidR="001F6D28">
        <w:rPr>
          <w:rFonts w:ascii="Times New Roman" w:hAnsi="Times New Roman" w:cs="Times New Roman"/>
          <w:sz w:val="24"/>
          <w:szCs w:val="24"/>
          <w:lang w:val="en-US"/>
        </w:rPr>
        <w:t xml:space="preserve">, the Respondent was the sole owner of the Premises. </w:t>
      </w:r>
    </w:p>
    <w:p w14:paraId="0C5D5DD4" w14:textId="77777777" w:rsidR="001F6D28" w:rsidRPr="001F6D28" w:rsidRDefault="001F6D28" w:rsidP="001F6D28">
      <w:pPr>
        <w:pStyle w:val="ListParagraph"/>
        <w:tabs>
          <w:tab w:val="left" w:pos="993"/>
        </w:tabs>
        <w:spacing w:after="0" w:line="360" w:lineRule="auto"/>
        <w:jc w:val="both"/>
        <w:rPr>
          <w:rFonts w:ascii="Times New Roman" w:hAnsi="Times New Roman" w:cs="Times New Roman"/>
          <w:i/>
          <w:iCs/>
          <w:sz w:val="24"/>
          <w:szCs w:val="24"/>
          <w:lang w:val="en-US"/>
        </w:rPr>
      </w:pPr>
    </w:p>
    <w:p w14:paraId="74E53E31" w14:textId="78FEE874" w:rsidR="001F6D28" w:rsidRPr="001F6D28" w:rsidRDefault="001F6D28" w:rsidP="001F6D28">
      <w:pPr>
        <w:pStyle w:val="ListParagraph"/>
        <w:numPr>
          <w:ilvl w:val="0"/>
          <w:numId w:val="12"/>
        </w:numPr>
        <w:spacing w:after="0" w:line="360" w:lineRule="auto"/>
        <w:ind w:left="720" w:hanging="720"/>
        <w:jc w:val="both"/>
        <w:rPr>
          <w:rFonts w:ascii="Times New Roman" w:hAnsi="Times New Roman" w:cs="Times New Roman"/>
          <w:i/>
          <w:iCs/>
          <w:sz w:val="24"/>
          <w:szCs w:val="24"/>
          <w:lang w:val="en-US"/>
        </w:rPr>
      </w:pPr>
      <w:r w:rsidRPr="001F6D28">
        <w:rPr>
          <w:rFonts w:ascii="Times New Roman" w:hAnsi="Times New Roman" w:cs="Times New Roman"/>
          <w:sz w:val="24"/>
          <w:szCs w:val="24"/>
          <w:lang w:val="en-US"/>
        </w:rPr>
        <w:t>The Appellants</w:t>
      </w:r>
      <w:r w:rsidR="00F25D68">
        <w:rPr>
          <w:rFonts w:ascii="Times New Roman" w:hAnsi="Times New Roman" w:cs="Times New Roman"/>
          <w:sz w:val="24"/>
          <w:szCs w:val="24"/>
          <w:lang w:val="en-US"/>
        </w:rPr>
        <w:t>’</w:t>
      </w:r>
      <w:r w:rsidRPr="001F6D28">
        <w:rPr>
          <w:rFonts w:ascii="Times New Roman" w:hAnsi="Times New Roman" w:cs="Times New Roman"/>
          <w:sz w:val="24"/>
          <w:szCs w:val="24"/>
          <w:lang w:val="en-US"/>
        </w:rPr>
        <w:t xml:space="preserve"> compliance with the terms of the Agreement after </w:t>
      </w:r>
      <w:r w:rsidR="00F25D68">
        <w:rPr>
          <w:rFonts w:ascii="Times New Roman" w:hAnsi="Times New Roman" w:cs="Times New Roman"/>
          <w:sz w:val="24"/>
          <w:szCs w:val="24"/>
          <w:lang w:val="en-US"/>
        </w:rPr>
        <w:t xml:space="preserve">the demise of </w:t>
      </w:r>
      <w:r w:rsidRPr="001F6D28">
        <w:rPr>
          <w:rFonts w:ascii="Times New Roman" w:hAnsi="Times New Roman" w:cs="Times New Roman"/>
          <w:sz w:val="24"/>
          <w:szCs w:val="24"/>
          <w:lang w:val="en-US"/>
        </w:rPr>
        <w:t xml:space="preserve">Mr. Philip </w:t>
      </w:r>
      <w:proofErr w:type="spellStart"/>
      <w:r w:rsidRPr="001F6D28">
        <w:rPr>
          <w:rFonts w:ascii="Times New Roman" w:hAnsi="Times New Roman" w:cs="Times New Roman"/>
          <w:sz w:val="24"/>
          <w:szCs w:val="24"/>
          <w:lang w:val="en-US"/>
        </w:rPr>
        <w:t>Vital’s</w:t>
      </w:r>
      <w:proofErr w:type="spellEnd"/>
      <w:r w:rsidRPr="001F6D28">
        <w:rPr>
          <w:rFonts w:ascii="Times New Roman" w:hAnsi="Times New Roman" w:cs="Times New Roman"/>
          <w:sz w:val="24"/>
          <w:szCs w:val="24"/>
          <w:lang w:val="en-US"/>
        </w:rPr>
        <w:t xml:space="preserve"> demise upon the Respondent becoming the owner of the Premises</w:t>
      </w:r>
      <w:r w:rsidR="00F25D68">
        <w:rPr>
          <w:rFonts w:ascii="Times New Roman" w:hAnsi="Times New Roman" w:cs="Times New Roman"/>
          <w:sz w:val="24"/>
          <w:szCs w:val="24"/>
          <w:lang w:val="en-US"/>
        </w:rPr>
        <w:t xml:space="preserve"> were duly considered by the Rent Board</w:t>
      </w:r>
      <w:r w:rsidRPr="001F6D28">
        <w:rPr>
          <w:rFonts w:ascii="Times New Roman" w:hAnsi="Times New Roman" w:cs="Times New Roman"/>
          <w:sz w:val="24"/>
          <w:szCs w:val="24"/>
          <w:lang w:val="en-US"/>
        </w:rPr>
        <w:t xml:space="preserve">: </w:t>
      </w:r>
    </w:p>
    <w:p w14:paraId="198FD623" w14:textId="77777777" w:rsidR="001F6D28" w:rsidRPr="001F6D28" w:rsidRDefault="001F6D28" w:rsidP="001F6D28">
      <w:pPr>
        <w:spacing w:line="360" w:lineRule="auto"/>
        <w:jc w:val="both"/>
        <w:rPr>
          <w:i/>
          <w:iCs/>
        </w:rPr>
      </w:pPr>
    </w:p>
    <w:p w14:paraId="3E16CBC4" w14:textId="77777777" w:rsidR="001F6D28" w:rsidRPr="00CD5552" w:rsidRDefault="001F6D28" w:rsidP="001F6D28">
      <w:pPr>
        <w:pStyle w:val="ListParagraph"/>
        <w:spacing w:after="0" w:line="276" w:lineRule="auto"/>
        <w:ind w:left="1134" w:right="855"/>
        <w:jc w:val="both"/>
        <w:rPr>
          <w:rFonts w:ascii="Times New Roman" w:hAnsi="Times New Roman" w:cs="Times New Roman"/>
          <w:i/>
          <w:iCs/>
          <w:lang w:val="en-US"/>
        </w:rPr>
      </w:pPr>
      <w:r w:rsidRPr="00CD5552">
        <w:rPr>
          <w:rFonts w:ascii="Times New Roman" w:hAnsi="Times New Roman" w:cs="Times New Roman"/>
          <w:i/>
          <w:iCs/>
          <w:lang w:val="en-US"/>
        </w:rPr>
        <w:t>“24 [……</w:t>
      </w:r>
      <w:proofErr w:type="gramStart"/>
      <w:r w:rsidRPr="00CD5552">
        <w:rPr>
          <w:rFonts w:ascii="Times New Roman" w:hAnsi="Times New Roman" w:cs="Times New Roman"/>
          <w:i/>
          <w:iCs/>
          <w:lang w:val="en-US"/>
        </w:rPr>
        <w:t>.. ]</w:t>
      </w:r>
      <w:proofErr w:type="gramEnd"/>
      <w:r>
        <w:rPr>
          <w:rFonts w:ascii="Times New Roman" w:hAnsi="Times New Roman" w:cs="Times New Roman"/>
          <w:i/>
          <w:iCs/>
          <w:lang w:val="en-US"/>
        </w:rPr>
        <w:t xml:space="preserve"> </w:t>
      </w:r>
      <w:r w:rsidRPr="00CD5552">
        <w:rPr>
          <w:rFonts w:ascii="Times New Roman" w:hAnsi="Times New Roman" w:cs="Times New Roman"/>
          <w:i/>
          <w:iCs/>
          <w:lang w:val="en-US"/>
        </w:rPr>
        <w:t>A month later however, Mr</w:t>
      </w:r>
      <w:r>
        <w:rPr>
          <w:rFonts w:ascii="Times New Roman" w:hAnsi="Times New Roman" w:cs="Times New Roman"/>
          <w:i/>
          <w:iCs/>
          <w:lang w:val="en-US"/>
        </w:rPr>
        <w:t>.</w:t>
      </w:r>
      <w:r w:rsidRPr="00CD5552">
        <w:rPr>
          <w:rFonts w:ascii="Times New Roman" w:hAnsi="Times New Roman" w:cs="Times New Roman"/>
          <w:i/>
          <w:iCs/>
          <w:lang w:val="en-US"/>
        </w:rPr>
        <w:t xml:space="preserve"> Vital died and left all his properties to his wife, the Applicant. By an order of the Supreme Court dated 15th November 2017, </w:t>
      </w:r>
      <w:proofErr w:type="spellStart"/>
      <w:r w:rsidRPr="00CD5552">
        <w:rPr>
          <w:rFonts w:ascii="Times New Roman" w:hAnsi="Times New Roman" w:cs="Times New Roman"/>
          <w:i/>
          <w:iCs/>
          <w:lang w:val="en-US"/>
        </w:rPr>
        <w:t>Mrs</w:t>
      </w:r>
      <w:proofErr w:type="spellEnd"/>
      <w:r w:rsidRPr="00CD5552">
        <w:rPr>
          <w:rFonts w:ascii="Times New Roman" w:hAnsi="Times New Roman" w:cs="Times New Roman"/>
          <w:i/>
          <w:iCs/>
          <w:lang w:val="en-US"/>
        </w:rPr>
        <w:t xml:space="preserve"> Vital was appointed as executor of the estate of Mr. Vital and duly executed the property transfer as per her late husband’s Will. She became the sole beneficiary of his estate.</w:t>
      </w:r>
    </w:p>
    <w:p w14:paraId="0B93E9E2" w14:textId="77777777" w:rsidR="001F6D28" w:rsidRPr="00CD5552" w:rsidRDefault="001F6D28" w:rsidP="001F6D28">
      <w:pPr>
        <w:pStyle w:val="ListParagraph"/>
        <w:spacing w:after="0" w:line="276" w:lineRule="auto"/>
        <w:ind w:left="1134" w:right="855"/>
        <w:jc w:val="both"/>
        <w:rPr>
          <w:rFonts w:ascii="Times New Roman" w:hAnsi="Times New Roman" w:cs="Times New Roman"/>
          <w:i/>
          <w:iCs/>
          <w:lang w:val="en-US"/>
        </w:rPr>
      </w:pPr>
    </w:p>
    <w:p w14:paraId="18231D20" w14:textId="23A0638E" w:rsidR="001F6D28" w:rsidRPr="001F6D28" w:rsidRDefault="001F6D28" w:rsidP="001F6D28">
      <w:pPr>
        <w:pStyle w:val="ListParagraph"/>
        <w:spacing w:after="0" w:line="276" w:lineRule="auto"/>
        <w:ind w:left="1134" w:right="855"/>
        <w:jc w:val="both"/>
        <w:rPr>
          <w:rFonts w:ascii="Times New Roman" w:hAnsi="Times New Roman" w:cs="Times New Roman"/>
          <w:i/>
          <w:iCs/>
          <w:lang w:val="en-US"/>
        </w:rPr>
      </w:pPr>
      <w:r w:rsidRPr="00CD5552">
        <w:rPr>
          <w:rFonts w:ascii="Times New Roman" w:hAnsi="Times New Roman" w:cs="Times New Roman"/>
          <w:i/>
          <w:iCs/>
          <w:lang w:val="en-US"/>
        </w:rPr>
        <w:t>25. In furtherance of the agreement of 1st August 2017, the Applicant allowed the Respondents to continue with the construction completion of the leased premises and their subsequent occupancy. She gave notice to the Respondents of her intent to charge rent at a sum of SR 5,000 monthly by way of letter through her counsel dated 7th October 2020. This was on the basis of the August 2017 agreement. By that time she was legally entitled to do so.”</w:t>
      </w:r>
    </w:p>
    <w:p w14:paraId="000ABEFD" w14:textId="77777777" w:rsidR="00246F35" w:rsidRPr="00246F35" w:rsidRDefault="00246F35" w:rsidP="00246F35">
      <w:pPr>
        <w:tabs>
          <w:tab w:val="left" w:pos="993"/>
        </w:tabs>
        <w:spacing w:line="360" w:lineRule="auto"/>
        <w:jc w:val="both"/>
        <w:rPr>
          <w:i/>
          <w:iCs/>
        </w:rPr>
      </w:pPr>
    </w:p>
    <w:p w14:paraId="56D697AE" w14:textId="7519F1DE" w:rsidR="002261D5" w:rsidRPr="002261D5" w:rsidRDefault="002261D5" w:rsidP="002261D5">
      <w:pPr>
        <w:pStyle w:val="ListParagraph"/>
        <w:numPr>
          <w:ilvl w:val="0"/>
          <w:numId w:val="12"/>
        </w:numPr>
        <w:spacing w:after="0"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The Rent Board also considered the existence of </w:t>
      </w:r>
      <w:r w:rsidR="001F6D28">
        <w:rPr>
          <w:rFonts w:ascii="Times New Roman" w:hAnsi="Times New Roman" w:cs="Times New Roman"/>
          <w:sz w:val="24"/>
          <w:szCs w:val="24"/>
        </w:rPr>
        <w:t xml:space="preserve">a </w:t>
      </w:r>
      <w:r>
        <w:rPr>
          <w:rFonts w:ascii="Times New Roman" w:hAnsi="Times New Roman" w:cs="Times New Roman"/>
          <w:sz w:val="24"/>
          <w:szCs w:val="24"/>
        </w:rPr>
        <w:t xml:space="preserve">landlord and tenant relationship between the parties </w:t>
      </w:r>
      <w:r w:rsidR="001F6D28">
        <w:rPr>
          <w:rFonts w:ascii="Times New Roman" w:hAnsi="Times New Roman" w:cs="Times New Roman"/>
          <w:sz w:val="24"/>
          <w:szCs w:val="24"/>
        </w:rPr>
        <w:t xml:space="preserve">other than under </w:t>
      </w:r>
      <w:r>
        <w:rPr>
          <w:rFonts w:ascii="Times New Roman" w:hAnsi="Times New Roman" w:cs="Times New Roman"/>
          <w:sz w:val="24"/>
          <w:szCs w:val="24"/>
        </w:rPr>
        <w:t xml:space="preserve">the Agreement. </w:t>
      </w:r>
      <w:r w:rsidR="001F6D28">
        <w:rPr>
          <w:rFonts w:ascii="Times New Roman" w:hAnsi="Times New Roman" w:cs="Times New Roman"/>
          <w:sz w:val="24"/>
          <w:szCs w:val="24"/>
        </w:rPr>
        <w:t xml:space="preserve">The </w:t>
      </w:r>
      <w:r>
        <w:rPr>
          <w:rFonts w:ascii="Times New Roman" w:hAnsi="Times New Roman" w:cs="Times New Roman"/>
          <w:sz w:val="24"/>
          <w:szCs w:val="24"/>
        </w:rPr>
        <w:t>Respondent argue</w:t>
      </w:r>
      <w:r w:rsidR="005857C8">
        <w:rPr>
          <w:rFonts w:ascii="Times New Roman" w:hAnsi="Times New Roman" w:cs="Times New Roman"/>
          <w:sz w:val="24"/>
          <w:szCs w:val="24"/>
        </w:rPr>
        <w:t>d</w:t>
      </w:r>
      <w:r>
        <w:rPr>
          <w:rFonts w:ascii="Times New Roman" w:hAnsi="Times New Roman" w:cs="Times New Roman"/>
          <w:sz w:val="24"/>
          <w:szCs w:val="24"/>
        </w:rPr>
        <w:t xml:space="preserve"> </w:t>
      </w:r>
      <w:r w:rsidR="001F6D28">
        <w:rPr>
          <w:rFonts w:ascii="Times New Roman" w:hAnsi="Times New Roman" w:cs="Times New Roman"/>
          <w:sz w:val="24"/>
          <w:szCs w:val="24"/>
        </w:rPr>
        <w:t xml:space="preserve">that </w:t>
      </w:r>
      <w:r>
        <w:rPr>
          <w:rFonts w:ascii="Times New Roman" w:hAnsi="Times New Roman" w:cs="Times New Roman"/>
          <w:sz w:val="24"/>
          <w:szCs w:val="24"/>
        </w:rPr>
        <w:t>the existence of a tenancy between the parties can, at the very least, be inferred from the definition of lease, lessee and lessor under the Control of Rent and Tenancy Agreement Act.</w:t>
      </w:r>
    </w:p>
    <w:p w14:paraId="0185D192" w14:textId="77777777" w:rsidR="002261D5" w:rsidRPr="002261D5" w:rsidRDefault="002261D5" w:rsidP="002261D5">
      <w:pPr>
        <w:pStyle w:val="ListParagraph"/>
        <w:rPr>
          <w:rFonts w:ascii="Times New Roman" w:hAnsi="Times New Roman" w:cs="Times New Roman"/>
          <w:sz w:val="24"/>
          <w:szCs w:val="24"/>
        </w:rPr>
      </w:pPr>
    </w:p>
    <w:p w14:paraId="63DEAD98" w14:textId="26E99047" w:rsidR="002261D5" w:rsidRPr="001F6D28" w:rsidRDefault="002261D5" w:rsidP="002261D5">
      <w:pPr>
        <w:pStyle w:val="ListParagraph"/>
        <w:numPr>
          <w:ilvl w:val="0"/>
          <w:numId w:val="12"/>
        </w:numPr>
        <w:spacing w:after="0"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Section</w:t>
      </w:r>
      <w:r w:rsidRPr="00882EAA">
        <w:rPr>
          <w:rFonts w:ascii="Times New Roman" w:hAnsi="Times New Roman" w:cs="Times New Roman"/>
          <w:sz w:val="24"/>
          <w:szCs w:val="24"/>
        </w:rPr>
        <w:t xml:space="preserve"> 2 of the Control of Rent and Tenancy Agreement Act</w:t>
      </w:r>
      <w:r w:rsidR="001F6D28">
        <w:rPr>
          <w:rFonts w:ascii="Times New Roman" w:hAnsi="Times New Roman" w:cs="Times New Roman"/>
          <w:sz w:val="24"/>
          <w:szCs w:val="24"/>
        </w:rPr>
        <w:t xml:space="preserve"> defines the terms “</w:t>
      </w:r>
      <w:r w:rsidR="001F6D28" w:rsidRPr="001F6D28">
        <w:rPr>
          <w:rFonts w:ascii="Times New Roman" w:hAnsi="Times New Roman" w:cs="Times New Roman"/>
          <w:i/>
          <w:iCs/>
          <w:sz w:val="24"/>
          <w:szCs w:val="24"/>
        </w:rPr>
        <w:t>lease</w:t>
      </w:r>
      <w:r w:rsidR="001F6D28">
        <w:rPr>
          <w:rFonts w:ascii="Times New Roman" w:hAnsi="Times New Roman" w:cs="Times New Roman"/>
          <w:sz w:val="24"/>
          <w:szCs w:val="24"/>
        </w:rPr>
        <w:t>,” “</w:t>
      </w:r>
      <w:r w:rsidR="001F6D28" w:rsidRPr="001F6D28">
        <w:rPr>
          <w:rFonts w:ascii="Times New Roman" w:hAnsi="Times New Roman" w:cs="Times New Roman"/>
          <w:i/>
          <w:iCs/>
          <w:sz w:val="24"/>
          <w:szCs w:val="24"/>
        </w:rPr>
        <w:t>lessee</w:t>
      </w:r>
      <w:r w:rsidR="001F6D28">
        <w:rPr>
          <w:rFonts w:ascii="Times New Roman" w:hAnsi="Times New Roman" w:cs="Times New Roman"/>
          <w:sz w:val="24"/>
          <w:szCs w:val="24"/>
        </w:rPr>
        <w:t>”, “</w:t>
      </w:r>
      <w:r w:rsidR="001F6D28" w:rsidRPr="001F6D28">
        <w:rPr>
          <w:rFonts w:ascii="Times New Roman" w:hAnsi="Times New Roman" w:cs="Times New Roman"/>
          <w:i/>
          <w:iCs/>
          <w:sz w:val="24"/>
          <w:szCs w:val="24"/>
        </w:rPr>
        <w:t>lessor</w:t>
      </w:r>
      <w:r w:rsidR="001F6D28">
        <w:rPr>
          <w:rFonts w:ascii="Times New Roman" w:hAnsi="Times New Roman" w:cs="Times New Roman"/>
          <w:sz w:val="24"/>
          <w:szCs w:val="24"/>
        </w:rPr>
        <w:t>” and “</w:t>
      </w:r>
      <w:r w:rsidR="001F6D28" w:rsidRPr="001F6D28">
        <w:rPr>
          <w:rFonts w:ascii="Times New Roman" w:hAnsi="Times New Roman" w:cs="Times New Roman"/>
          <w:i/>
          <w:iCs/>
          <w:sz w:val="24"/>
          <w:szCs w:val="24"/>
        </w:rPr>
        <w:t>rent</w:t>
      </w:r>
      <w:r w:rsidR="001F6D28">
        <w:rPr>
          <w:rFonts w:ascii="Times New Roman" w:hAnsi="Times New Roman" w:cs="Times New Roman"/>
          <w:sz w:val="24"/>
          <w:szCs w:val="24"/>
        </w:rPr>
        <w:t>” as follows</w:t>
      </w:r>
      <w:r w:rsidRPr="00882EAA">
        <w:rPr>
          <w:rFonts w:ascii="Times New Roman" w:hAnsi="Times New Roman" w:cs="Times New Roman"/>
          <w:sz w:val="24"/>
          <w:szCs w:val="24"/>
        </w:rPr>
        <w:t xml:space="preserve"> –</w:t>
      </w:r>
    </w:p>
    <w:p w14:paraId="1ABB8190" w14:textId="77777777" w:rsidR="001F6D28" w:rsidRPr="001F6D28" w:rsidRDefault="001F6D28" w:rsidP="001F6D28">
      <w:pPr>
        <w:pStyle w:val="ListParagraph"/>
        <w:rPr>
          <w:rFonts w:ascii="Times New Roman" w:hAnsi="Times New Roman" w:cs="Times New Roman"/>
          <w:sz w:val="24"/>
          <w:szCs w:val="24"/>
          <w:lang w:val="en-US"/>
        </w:rPr>
      </w:pPr>
    </w:p>
    <w:p w14:paraId="174DB23D" w14:textId="18736417" w:rsidR="001F6D28" w:rsidRPr="001F6D28" w:rsidRDefault="001F6D28" w:rsidP="001F6D28">
      <w:pPr>
        <w:pStyle w:val="ListParagraph"/>
        <w:spacing w:after="0" w:line="360" w:lineRule="auto"/>
        <w:ind w:left="1134" w:right="855"/>
        <w:jc w:val="both"/>
        <w:rPr>
          <w:rFonts w:ascii="Times New Roman" w:hAnsi="Times New Roman" w:cs="Times New Roman"/>
          <w:i/>
          <w:iCs/>
          <w:lang w:val="en-US"/>
        </w:rPr>
      </w:pPr>
      <w:r w:rsidRPr="001F6D28">
        <w:rPr>
          <w:rFonts w:ascii="Times New Roman" w:hAnsi="Times New Roman" w:cs="Times New Roman"/>
          <w:lang w:val="en-US"/>
        </w:rPr>
        <w:t>“</w:t>
      </w:r>
      <w:r w:rsidRPr="001F6D28">
        <w:rPr>
          <w:rFonts w:ascii="Times New Roman" w:hAnsi="Times New Roman" w:cs="Times New Roman"/>
          <w:b/>
          <w:bCs/>
          <w:i/>
          <w:iCs/>
          <w:lang w:val="en-US"/>
        </w:rPr>
        <w:t>lease</w:t>
      </w:r>
      <w:r w:rsidRPr="001F6D28">
        <w:rPr>
          <w:rFonts w:ascii="Times New Roman" w:hAnsi="Times New Roman" w:cs="Times New Roman"/>
          <w:lang w:val="en-US"/>
        </w:rPr>
        <w:t xml:space="preserve">” </w:t>
      </w:r>
      <w:r w:rsidRPr="001F6D28">
        <w:rPr>
          <w:rFonts w:ascii="Times New Roman" w:hAnsi="Times New Roman" w:cs="Times New Roman"/>
          <w:i/>
          <w:iCs/>
          <w:lang w:val="en-US"/>
        </w:rPr>
        <w:t>includes the use and occupation of a dwelling house and sub lease and letting have a corresponding meaning;</w:t>
      </w:r>
    </w:p>
    <w:p w14:paraId="70B69315" w14:textId="77777777" w:rsidR="002261D5" w:rsidRPr="001F6D28" w:rsidRDefault="002261D5" w:rsidP="002261D5">
      <w:pPr>
        <w:pStyle w:val="NormalWeb"/>
        <w:spacing w:line="360" w:lineRule="auto"/>
        <w:ind w:left="1134" w:right="855"/>
        <w:jc w:val="both"/>
        <w:rPr>
          <w:i/>
          <w:iCs/>
          <w:sz w:val="22"/>
          <w:szCs w:val="22"/>
        </w:rPr>
      </w:pPr>
      <w:r w:rsidRPr="001F6D28">
        <w:rPr>
          <w:i/>
          <w:iCs/>
          <w:sz w:val="22"/>
          <w:szCs w:val="22"/>
        </w:rPr>
        <w:t>"</w:t>
      </w:r>
      <w:r w:rsidRPr="001F6D28">
        <w:rPr>
          <w:b/>
          <w:bCs/>
          <w:i/>
          <w:iCs/>
          <w:sz w:val="22"/>
          <w:szCs w:val="22"/>
        </w:rPr>
        <w:t>lessee</w:t>
      </w:r>
      <w:r w:rsidRPr="001F6D28">
        <w:rPr>
          <w:i/>
          <w:iCs/>
          <w:sz w:val="22"/>
          <w:szCs w:val="22"/>
        </w:rPr>
        <w:t xml:space="preserve">" includes a sub lessee and a widow of a lessee or sub lessee, as the case may be, who was residing with him at the time of his death, or, where the lessee or sub lessee leaves no such widow or is a woman, such member of the lessee's or sub lessee's family so residing as aforesaid as may be decided, in default of agreement, </w:t>
      </w:r>
      <w:r w:rsidRPr="001F6D28">
        <w:rPr>
          <w:i/>
          <w:iCs/>
          <w:sz w:val="22"/>
          <w:szCs w:val="22"/>
        </w:rPr>
        <w:lastRenderedPageBreak/>
        <w:t xml:space="preserve">by the Board, and also includes any person enjoying the use and occupation of a dwelling house for which an indemnity is payable or not; </w:t>
      </w:r>
    </w:p>
    <w:p w14:paraId="273577EE" w14:textId="1DD372F1" w:rsidR="002261D5" w:rsidRDefault="002261D5" w:rsidP="002261D5">
      <w:pPr>
        <w:pStyle w:val="NormalWeb"/>
        <w:spacing w:line="360" w:lineRule="auto"/>
        <w:ind w:left="1134" w:right="855"/>
        <w:jc w:val="both"/>
        <w:rPr>
          <w:i/>
          <w:iCs/>
          <w:sz w:val="22"/>
          <w:szCs w:val="22"/>
        </w:rPr>
      </w:pPr>
      <w:r w:rsidRPr="001F6D28">
        <w:rPr>
          <w:i/>
          <w:iCs/>
          <w:sz w:val="22"/>
          <w:szCs w:val="22"/>
        </w:rPr>
        <w:t>"</w:t>
      </w:r>
      <w:r w:rsidRPr="001F6D28">
        <w:rPr>
          <w:b/>
          <w:bCs/>
          <w:i/>
          <w:iCs/>
          <w:sz w:val="22"/>
          <w:szCs w:val="22"/>
        </w:rPr>
        <w:t>Lessor</w:t>
      </w:r>
      <w:r w:rsidRPr="001F6D28">
        <w:rPr>
          <w:i/>
          <w:iCs/>
          <w:sz w:val="22"/>
          <w:szCs w:val="22"/>
        </w:rPr>
        <w:t xml:space="preserve">" means any person who receives or is entitled to receive rent in respect of the letting or sub letting, as the case may be, of a dwelling house, and also includes any persons who allows another person to enjoy the use and occupation of a dwelling house for which an indemnity is payable or not, a sub lessor and </w:t>
      </w:r>
      <w:r w:rsidRPr="001F6D28">
        <w:rPr>
          <w:i/>
          <w:iCs/>
          <w:sz w:val="22"/>
          <w:szCs w:val="22"/>
          <w:u w:val="single"/>
        </w:rPr>
        <w:t>any person deriving title from the original lessor</w:t>
      </w:r>
      <w:r w:rsidRPr="001F6D28">
        <w:rPr>
          <w:i/>
          <w:iCs/>
          <w:sz w:val="22"/>
          <w:szCs w:val="22"/>
        </w:rPr>
        <w:t xml:space="preserve">; </w:t>
      </w:r>
    </w:p>
    <w:p w14:paraId="53ED3DF3" w14:textId="76D48A64" w:rsidR="001F6D28" w:rsidRPr="001F6D28" w:rsidRDefault="001F6D28" w:rsidP="002261D5">
      <w:pPr>
        <w:pStyle w:val="NormalWeb"/>
        <w:spacing w:line="360" w:lineRule="auto"/>
        <w:ind w:left="1134" w:right="855"/>
        <w:jc w:val="both"/>
        <w:rPr>
          <w:sz w:val="22"/>
          <w:szCs w:val="22"/>
        </w:rPr>
      </w:pPr>
      <w:r>
        <w:rPr>
          <w:i/>
          <w:iCs/>
          <w:sz w:val="22"/>
          <w:szCs w:val="22"/>
        </w:rPr>
        <w:t>“</w:t>
      </w:r>
      <w:r>
        <w:rPr>
          <w:b/>
          <w:bCs/>
          <w:i/>
          <w:iCs/>
          <w:sz w:val="22"/>
          <w:szCs w:val="22"/>
        </w:rPr>
        <w:t>R</w:t>
      </w:r>
      <w:r w:rsidRPr="001F6D28">
        <w:rPr>
          <w:b/>
          <w:bCs/>
          <w:i/>
          <w:iCs/>
          <w:sz w:val="22"/>
          <w:szCs w:val="22"/>
        </w:rPr>
        <w:t>ent</w:t>
      </w:r>
      <w:r>
        <w:rPr>
          <w:i/>
          <w:iCs/>
          <w:sz w:val="22"/>
          <w:szCs w:val="22"/>
        </w:rPr>
        <w:t>” means any money paid or received in consequence of the letting of a dwelling house and shall include any sum paid for the use or hire of furniture.”</w:t>
      </w:r>
    </w:p>
    <w:p w14:paraId="49469D22" w14:textId="77777777" w:rsidR="002261D5" w:rsidRPr="00882EAA" w:rsidRDefault="002261D5" w:rsidP="002261D5">
      <w:pPr>
        <w:pStyle w:val="ListParagraph"/>
        <w:spacing w:after="0" w:line="360" w:lineRule="auto"/>
        <w:jc w:val="both"/>
        <w:rPr>
          <w:rFonts w:ascii="Times New Roman" w:hAnsi="Times New Roman" w:cs="Times New Roman"/>
          <w:i/>
          <w:iCs/>
          <w:sz w:val="24"/>
          <w:szCs w:val="24"/>
        </w:rPr>
      </w:pPr>
    </w:p>
    <w:p w14:paraId="3D92A16C" w14:textId="4B231187" w:rsidR="00246F35" w:rsidRPr="001F6D28" w:rsidRDefault="002261D5" w:rsidP="00CD5552">
      <w:pPr>
        <w:pStyle w:val="ListParagraph"/>
        <w:numPr>
          <w:ilvl w:val="0"/>
          <w:numId w:val="12"/>
        </w:numPr>
        <w:tabs>
          <w:tab w:val="left" w:pos="993"/>
        </w:tabs>
        <w:spacing w:after="0" w:line="360" w:lineRule="auto"/>
        <w:ind w:left="720" w:hanging="720"/>
        <w:jc w:val="both"/>
        <w:rPr>
          <w:rFonts w:ascii="Times New Roman" w:hAnsi="Times New Roman" w:cs="Times New Roman"/>
          <w:i/>
          <w:iCs/>
          <w:sz w:val="24"/>
          <w:szCs w:val="24"/>
          <w:lang w:val="en-US"/>
        </w:rPr>
      </w:pPr>
      <w:r>
        <w:rPr>
          <w:rFonts w:ascii="Times New Roman" w:hAnsi="Times New Roman" w:cs="Times New Roman"/>
          <w:sz w:val="24"/>
          <w:szCs w:val="24"/>
          <w:lang w:val="en-US"/>
        </w:rPr>
        <w:t xml:space="preserve">Having found that the Appellants have confirmed the Agreement by their </w:t>
      </w:r>
      <w:r w:rsidR="003D0008">
        <w:rPr>
          <w:rFonts w:ascii="Times New Roman" w:hAnsi="Times New Roman" w:cs="Times New Roman"/>
          <w:sz w:val="24"/>
          <w:szCs w:val="24"/>
          <w:lang w:val="en-US"/>
        </w:rPr>
        <w:t xml:space="preserve">voluntary execution of all obligations up to setting-off of expenses under </w:t>
      </w:r>
      <w:r w:rsidR="00F25D68">
        <w:rPr>
          <w:rFonts w:ascii="Times New Roman" w:hAnsi="Times New Roman" w:cs="Times New Roman"/>
          <w:sz w:val="24"/>
          <w:szCs w:val="24"/>
          <w:lang w:val="en-US"/>
        </w:rPr>
        <w:t>Agreement</w:t>
      </w:r>
      <w:r w:rsidR="001F6D28">
        <w:rPr>
          <w:rFonts w:ascii="Times New Roman" w:hAnsi="Times New Roman" w:cs="Times New Roman"/>
          <w:sz w:val="24"/>
          <w:szCs w:val="24"/>
          <w:lang w:val="en-US"/>
        </w:rPr>
        <w:t>, the</w:t>
      </w:r>
      <w:r w:rsidR="00246F35">
        <w:rPr>
          <w:rFonts w:ascii="Times New Roman" w:hAnsi="Times New Roman" w:cs="Times New Roman"/>
          <w:sz w:val="24"/>
          <w:szCs w:val="24"/>
          <w:lang w:val="en-US"/>
        </w:rPr>
        <w:t xml:space="preserve"> Rent Board’s finding </w:t>
      </w:r>
      <w:r>
        <w:rPr>
          <w:rFonts w:ascii="Times New Roman" w:hAnsi="Times New Roman" w:cs="Times New Roman"/>
          <w:sz w:val="24"/>
          <w:szCs w:val="24"/>
          <w:lang w:val="en-US"/>
        </w:rPr>
        <w:t xml:space="preserve">that there was </w:t>
      </w:r>
      <w:r w:rsidR="00246F35">
        <w:rPr>
          <w:rFonts w:ascii="Times New Roman" w:hAnsi="Times New Roman" w:cs="Times New Roman"/>
          <w:sz w:val="24"/>
          <w:szCs w:val="24"/>
          <w:lang w:val="en-US"/>
        </w:rPr>
        <w:t xml:space="preserve">a </w:t>
      </w:r>
      <w:r>
        <w:rPr>
          <w:rFonts w:ascii="Times New Roman" w:hAnsi="Times New Roman" w:cs="Times New Roman"/>
          <w:sz w:val="24"/>
          <w:szCs w:val="24"/>
          <w:lang w:val="en-US"/>
        </w:rPr>
        <w:t>valid landlord and tenant</w:t>
      </w:r>
      <w:r w:rsidR="00246F35">
        <w:rPr>
          <w:rFonts w:ascii="Times New Roman" w:hAnsi="Times New Roman" w:cs="Times New Roman"/>
          <w:sz w:val="24"/>
          <w:szCs w:val="24"/>
          <w:lang w:val="en-US"/>
        </w:rPr>
        <w:t xml:space="preserve"> relationship between the parties in terms of section 2 of the Control of Rent and Tenancy Agreements Act </w:t>
      </w:r>
      <w:r w:rsidR="003D0008">
        <w:rPr>
          <w:rFonts w:ascii="Times New Roman" w:hAnsi="Times New Roman" w:cs="Times New Roman"/>
          <w:sz w:val="24"/>
          <w:szCs w:val="24"/>
          <w:lang w:val="en-US"/>
        </w:rPr>
        <w:t xml:space="preserve">only </w:t>
      </w:r>
      <w:r w:rsidR="00246F35">
        <w:rPr>
          <w:rFonts w:ascii="Times New Roman" w:hAnsi="Times New Roman" w:cs="Times New Roman"/>
          <w:sz w:val="24"/>
          <w:szCs w:val="24"/>
          <w:lang w:val="en-US"/>
        </w:rPr>
        <w:t>enhance</w:t>
      </w:r>
      <w:r w:rsidR="00F25D68">
        <w:rPr>
          <w:rFonts w:ascii="Times New Roman" w:hAnsi="Times New Roman" w:cs="Times New Roman"/>
          <w:sz w:val="24"/>
          <w:szCs w:val="24"/>
          <w:lang w:val="en-US"/>
        </w:rPr>
        <w:t>s</w:t>
      </w:r>
      <w:r w:rsidR="00246F35">
        <w:rPr>
          <w:rFonts w:ascii="Times New Roman" w:hAnsi="Times New Roman" w:cs="Times New Roman"/>
          <w:sz w:val="24"/>
          <w:szCs w:val="24"/>
          <w:lang w:val="en-US"/>
        </w:rPr>
        <w:t xml:space="preserve"> the Appellants</w:t>
      </w:r>
      <w:r w:rsidR="00F25D68">
        <w:rPr>
          <w:rFonts w:ascii="Times New Roman" w:hAnsi="Times New Roman" w:cs="Times New Roman"/>
          <w:sz w:val="24"/>
          <w:szCs w:val="24"/>
          <w:lang w:val="en-US"/>
        </w:rPr>
        <w:t>’</w:t>
      </w:r>
      <w:r w:rsidR="00246F35">
        <w:rPr>
          <w:rFonts w:ascii="Times New Roman" w:hAnsi="Times New Roman" w:cs="Times New Roman"/>
          <w:sz w:val="24"/>
          <w:szCs w:val="24"/>
          <w:lang w:val="en-US"/>
        </w:rPr>
        <w:t xml:space="preserve"> obligation to pay rent</w:t>
      </w:r>
      <w:r w:rsidR="001F6D28">
        <w:rPr>
          <w:rFonts w:ascii="Times New Roman" w:hAnsi="Times New Roman" w:cs="Times New Roman"/>
          <w:sz w:val="24"/>
          <w:szCs w:val="24"/>
          <w:lang w:val="en-US"/>
        </w:rPr>
        <w:t xml:space="preserve"> to the Respondent</w:t>
      </w:r>
      <w:r w:rsidR="00246F35">
        <w:rPr>
          <w:rFonts w:ascii="Times New Roman" w:hAnsi="Times New Roman" w:cs="Times New Roman"/>
          <w:sz w:val="24"/>
          <w:szCs w:val="24"/>
          <w:lang w:val="en-US"/>
        </w:rPr>
        <w:t>. As rightly concluded by the Rent Board at paragraph 28 of its Ruling</w:t>
      </w:r>
      <w:r w:rsidR="001F6D28">
        <w:rPr>
          <w:rFonts w:ascii="Times New Roman" w:hAnsi="Times New Roman" w:cs="Times New Roman"/>
          <w:sz w:val="24"/>
          <w:szCs w:val="24"/>
          <w:lang w:val="en-US"/>
        </w:rPr>
        <w:t xml:space="preserve"> – </w:t>
      </w:r>
    </w:p>
    <w:p w14:paraId="109BE0BD" w14:textId="47095B45" w:rsidR="001F6D28" w:rsidRDefault="001F6D28" w:rsidP="001F6D28">
      <w:pPr>
        <w:pStyle w:val="ListParagraph"/>
        <w:tabs>
          <w:tab w:val="left" w:pos="993"/>
        </w:tabs>
        <w:spacing w:after="0" w:line="360" w:lineRule="auto"/>
        <w:jc w:val="both"/>
        <w:rPr>
          <w:rFonts w:ascii="Times New Roman" w:hAnsi="Times New Roman" w:cs="Times New Roman"/>
          <w:sz w:val="24"/>
          <w:szCs w:val="24"/>
          <w:lang w:val="en-US"/>
        </w:rPr>
      </w:pPr>
    </w:p>
    <w:p w14:paraId="340A5634" w14:textId="094A8196" w:rsidR="001F6D28" w:rsidRPr="001F6D28" w:rsidRDefault="001F6D28" w:rsidP="001F6D28">
      <w:pPr>
        <w:pStyle w:val="ListParagraph"/>
        <w:tabs>
          <w:tab w:val="left" w:pos="993"/>
        </w:tabs>
        <w:spacing w:after="0" w:line="360" w:lineRule="auto"/>
        <w:ind w:left="1134"/>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the Respondents (now Appellants) have always understood that they will have to pay rent for their occupation of the leased premises and the Applicant has always expected to receive rent in the sum of SR 5,000 monthly</w:t>
      </w:r>
      <w:proofErr w:type="gramStart"/>
      <w:r>
        <w:rPr>
          <w:rFonts w:ascii="Times New Roman" w:hAnsi="Times New Roman" w:cs="Times New Roman"/>
          <w:i/>
          <w:iCs/>
          <w:sz w:val="24"/>
          <w:szCs w:val="24"/>
          <w:lang w:val="en-US"/>
        </w:rPr>
        <w:t>.[</w:t>
      </w:r>
      <w:proofErr w:type="gramEnd"/>
      <w:r>
        <w:rPr>
          <w:rFonts w:ascii="Times New Roman" w:hAnsi="Times New Roman" w:cs="Times New Roman"/>
          <w:i/>
          <w:iCs/>
          <w:sz w:val="24"/>
          <w:szCs w:val="24"/>
          <w:lang w:val="en-US"/>
        </w:rPr>
        <w:t>…] It is our view that the Respondent (now Appellant) ought to have started paying rent in the sum of SR 5,000 as at December 2021, and we so conclude.</w:t>
      </w:r>
    </w:p>
    <w:p w14:paraId="7E0E4E05" w14:textId="39989E3C" w:rsidR="001F6D28" w:rsidRPr="005857C8" w:rsidRDefault="001F6D28" w:rsidP="005857C8">
      <w:pPr>
        <w:tabs>
          <w:tab w:val="left" w:pos="993"/>
        </w:tabs>
        <w:spacing w:line="360" w:lineRule="auto"/>
        <w:jc w:val="both"/>
        <w:rPr>
          <w:i/>
          <w:iCs/>
        </w:rPr>
      </w:pPr>
    </w:p>
    <w:p w14:paraId="57A382F7" w14:textId="77777777" w:rsidR="001F6D28" w:rsidRPr="00882EAA" w:rsidRDefault="001F6D28" w:rsidP="001F6D28">
      <w:pPr>
        <w:tabs>
          <w:tab w:val="left" w:pos="993"/>
        </w:tabs>
        <w:spacing w:line="360" w:lineRule="auto"/>
        <w:jc w:val="both"/>
        <w:rPr>
          <w:i/>
          <w:iCs/>
        </w:rPr>
      </w:pPr>
      <w:r w:rsidRPr="00882EAA">
        <w:rPr>
          <w:i/>
          <w:iCs/>
        </w:rPr>
        <w:t>Locus Standi</w:t>
      </w:r>
    </w:p>
    <w:p w14:paraId="5CCA4AC6" w14:textId="77777777" w:rsidR="001F6D28" w:rsidRPr="001F6D28" w:rsidRDefault="001F6D28" w:rsidP="001F6D28">
      <w:pPr>
        <w:tabs>
          <w:tab w:val="left" w:pos="993"/>
        </w:tabs>
        <w:spacing w:line="360" w:lineRule="auto"/>
        <w:jc w:val="both"/>
        <w:rPr>
          <w:i/>
          <w:iCs/>
        </w:rPr>
      </w:pPr>
    </w:p>
    <w:p w14:paraId="334E0304" w14:textId="617A47CD" w:rsidR="00277073" w:rsidRPr="001F6D28" w:rsidRDefault="001F6D28" w:rsidP="00AC6E73">
      <w:pPr>
        <w:pStyle w:val="ListParagraph"/>
        <w:numPr>
          <w:ilvl w:val="0"/>
          <w:numId w:val="12"/>
        </w:numPr>
        <w:tabs>
          <w:tab w:val="left" w:pos="993"/>
        </w:tabs>
        <w:spacing w:after="0" w:line="360" w:lineRule="auto"/>
        <w:ind w:left="709" w:hanging="709"/>
        <w:jc w:val="both"/>
        <w:rPr>
          <w:rFonts w:ascii="Times New Roman" w:hAnsi="Times New Roman" w:cs="Times New Roman"/>
          <w:i/>
          <w:iCs/>
          <w:sz w:val="24"/>
          <w:szCs w:val="24"/>
        </w:rPr>
      </w:pPr>
      <w:r>
        <w:rPr>
          <w:rFonts w:ascii="Times New Roman" w:hAnsi="Times New Roman" w:cs="Times New Roman"/>
          <w:sz w:val="24"/>
          <w:szCs w:val="24"/>
        </w:rPr>
        <w:t>On the question of locus standi, t</w:t>
      </w:r>
      <w:r w:rsidR="001C2D89" w:rsidRPr="00882EAA">
        <w:rPr>
          <w:rFonts w:ascii="Times New Roman" w:hAnsi="Times New Roman" w:cs="Times New Roman"/>
          <w:sz w:val="24"/>
          <w:szCs w:val="24"/>
        </w:rPr>
        <w:t>he Appellant</w:t>
      </w:r>
      <w:r>
        <w:rPr>
          <w:rFonts w:ascii="Times New Roman" w:hAnsi="Times New Roman" w:cs="Times New Roman"/>
          <w:sz w:val="24"/>
          <w:szCs w:val="24"/>
        </w:rPr>
        <w:t>s</w:t>
      </w:r>
      <w:r w:rsidR="001C2D89" w:rsidRPr="00882EAA">
        <w:rPr>
          <w:rFonts w:ascii="Times New Roman" w:hAnsi="Times New Roman" w:cs="Times New Roman"/>
          <w:sz w:val="24"/>
          <w:szCs w:val="24"/>
        </w:rPr>
        <w:t xml:space="preserve"> submitted that the Respondent’s application filed in the Rent Board disclose that Respondent ha</w:t>
      </w:r>
      <w:r w:rsidR="00882EAA">
        <w:rPr>
          <w:rFonts w:ascii="Times New Roman" w:hAnsi="Times New Roman" w:cs="Times New Roman"/>
          <w:sz w:val="24"/>
          <w:szCs w:val="24"/>
        </w:rPr>
        <w:t>d</w:t>
      </w:r>
      <w:r w:rsidR="001C2D89" w:rsidRPr="00882EAA">
        <w:rPr>
          <w:rFonts w:ascii="Times New Roman" w:hAnsi="Times New Roman" w:cs="Times New Roman"/>
          <w:sz w:val="24"/>
          <w:szCs w:val="24"/>
        </w:rPr>
        <w:t xml:space="preserve"> no right over the property throughout.  The Respondent lacked the legal capacity to seek an order of eviction against the Appellants.</w:t>
      </w:r>
      <w:r w:rsidR="004E71C2" w:rsidRPr="00882EAA">
        <w:rPr>
          <w:rFonts w:ascii="Times New Roman" w:hAnsi="Times New Roman" w:cs="Times New Roman"/>
          <w:sz w:val="24"/>
          <w:szCs w:val="24"/>
        </w:rPr>
        <w:t xml:space="preserve"> </w:t>
      </w:r>
    </w:p>
    <w:p w14:paraId="2B217E0F" w14:textId="77777777" w:rsidR="001F6D28" w:rsidRPr="001F6D28" w:rsidRDefault="001F6D28" w:rsidP="001F6D28">
      <w:pPr>
        <w:pStyle w:val="ListParagraph"/>
        <w:tabs>
          <w:tab w:val="left" w:pos="993"/>
        </w:tabs>
        <w:spacing w:after="0" w:line="360" w:lineRule="auto"/>
        <w:ind w:left="709"/>
        <w:jc w:val="both"/>
        <w:rPr>
          <w:rFonts w:ascii="Times New Roman" w:hAnsi="Times New Roman" w:cs="Times New Roman"/>
          <w:i/>
          <w:iCs/>
          <w:sz w:val="24"/>
          <w:szCs w:val="24"/>
        </w:rPr>
      </w:pPr>
    </w:p>
    <w:p w14:paraId="40B9F441" w14:textId="5BEC5831" w:rsidR="001F6D28" w:rsidRPr="001F6D28" w:rsidRDefault="001F6D28" w:rsidP="001F6D28">
      <w:pPr>
        <w:pStyle w:val="ListParagraph"/>
        <w:numPr>
          <w:ilvl w:val="0"/>
          <w:numId w:val="12"/>
        </w:numPr>
        <w:tabs>
          <w:tab w:val="left" w:pos="993"/>
        </w:tabs>
        <w:spacing w:after="0" w:line="360" w:lineRule="auto"/>
        <w:ind w:left="709" w:hanging="709"/>
        <w:jc w:val="both"/>
        <w:rPr>
          <w:rFonts w:ascii="Times New Roman" w:hAnsi="Times New Roman" w:cs="Times New Roman"/>
          <w:i/>
          <w:iCs/>
          <w:sz w:val="24"/>
          <w:szCs w:val="24"/>
        </w:rPr>
      </w:pPr>
      <w:r>
        <w:rPr>
          <w:rFonts w:ascii="Times New Roman" w:hAnsi="Times New Roman" w:cs="Times New Roman"/>
          <w:sz w:val="24"/>
          <w:szCs w:val="24"/>
        </w:rPr>
        <w:lastRenderedPageBreak/>
        <w:t>The Respondent submitted that at the very least, the existence of a tenancy can be inferred from the definition of “</w:t>
      </w:r>
      <w:r w:rsidRPr="001F6D28">
        <w:rPr>
          <w:rFonts w:ascii="Times New Roman" w:hAnsi="Times New Roman" w:cs="Times New Roman"/>
          <w:i/>
          <w:iCs/>
          <w:sz w:val="24"/>
          <w:szCs w:val="24"/>
        </w:rPr>
        <w:t>lease</w:t>
      </w:r>
      <w:r>
        <w:rPr>
          <w:rFonts w:ascii="Times New Roman" w:hAnsi="Times New Roman" w:cs="Times New Roman"/>
          <w:sz w:val="24"/>
          <w:szCs w:val="24"/>
        </w:rPr>
        <w:t>”, “</w:t>
      </w:r>
      <w:r w:rsidRPr="001F6D28">
        <w:rPr>
          <w:rFonts w:ascii="Times New Roman" w:hAnsi="Times New Roman" w:cs="Times New Roman"/>
          <w:i/>
          <w:iCs/>
          <w:sz w:val="24"/>
          <w:szCs w:val="24"/>
        </w:rPr>
        <w:t>lessee</w:t>
      </w:r>
      <w:r>
        <w:rPr>
          <w:rFonts w:ascii="Times New Roman" w:hAnsi="Times New Roman" w:cs="Times New Roman"/>
          <w:sz w:val="24"/>
          <w:szCs w:val="24"/>
        </w:rPr>
        <w:t>” and “</w:t>
      </w:r>
      <w:r w:rsidRPr="001F6D28">
        <w:rPr>
          <w:rFonts w:ascii="Times New Roman" w:hAnsi="Times New Roman" w:cs="Times New Roman"/>
          <w:i/>
          <w:iCs/>
          <w:sz w:val="24"/>
          <w:szCs w:val="24"/>
        </w:rPr>
        <w:t>lessor</w:t>
      </w:r>
      <w:r>
        <w:rPr>
          <w:rFonts w:ascii="Times New Roman" w:hAnsi="Times New Roman" w:cs="Times New Roman"/>
          <w:sz w:val="24"/>
          <w:szCs w:val="24"/>
        </w:rPr>
        <w:t>” under the Control of Rent and Tenancy Agreements Act.  It follows from the Respondent’s submissions that if she could be assimilated to the “lessor” of the Premises, then she could bring an action for the eviction of the Appellants from the Premises.</w:t>
      </w:r>
    </w:p>
    <w:p w14:paraId="7D234670" w14:textId="77777777" w:rsidR="001F6D28" w:rsidRPr="001F6D28" w:rsidRDefault="001F6D28" w:rsidP="001F6D28">
      <w:pPr>
        <w:pStyle w:val="ListParagraph"/>
        <w:tabs>
          <w:tab w:val="left" w:pos="993"/>
        </w:tabs>
        <w:spacing w:after="0" w:line="360" w:lineRule="auto"/>
        <w:ind w:left="709"/>
        <w:jc w:val="both"/>
        <w:rPr>
          <w:rFonts w:ascii="Times New Roman" w:hAnsi="Times New Roman" w:cs="Times New Roman"/>
          <w:i/>
          <w:iCs/>
          <w:sz w:val="24"/>
          <w:szCs w:val="24"/>
        </w:rPr>
      </w:pPr>
    </w:p>
    <w:p w14:paraId="5D560E11" w14:textId="53A310F4" w:rsidR="001F6D28" w:rsidRPr="001F6D28" w:rsidRDefault="003D0008" w:rsidP="001F6D28">
      <w:pPr>
        <w:pStyle w:val="ListParagraph"/>
        <w:numPr>
          <w:ilvl w:val="0"/>
          <w:numId w:val="12"/>
        </w:numPr>
        <w:tabs>
          <w:tab w:val="left" w:pos="993"/>
        </w:tabs>
        <w:spacing w:after="0" w:line="360" w:lineRule="auto"/>
        <w:ind w:left="709" w:hanging="709"/>
        <w:jc w:val="both"/>
        <w:rPr>
          <w:rFonts w:ascii="Times New Roman" w:hAnsi="Times New Roman" w:cs="Times New Roman"/>
          <w:i/>
          <w:iCs/>
          <w:sz w:val="24"/>
          <w:szCs w:val="24"/>
        </w:rPr>
      </w:pPr>
      <w:r>
        <w:rPr>
          <w:rFonts w:ascii="Times New Roman" w:hAnsi="Times New Roman" w:cs="Times New Roman"/>
          <w:sz w:val="24"/>
          <w:szCs w:val="24"/>
        </w:rPr>
        <w:t>At p</w:t>
      </w:r>
      <w:r w:rsidR="001F6D28">
        <w:rPr>
          <w:rFonts w:ascii="Times New Roman" w:hAnsi="Times New Roman" w:cs="Times New Roman"/>
          <w:sz w:val="24"/>
          <w:szCs w:val="24"/>
        </w:rPr>
        <w:t>aragraph</w:t>
      </w:r>
      <w:r w:rsidR="00F25D68">
        <w:rPr>
          <w:rFonts w:ascii="Times New Roman" w:hAnsi="Times New Roman" w:cs="Times New Roman"/>
          <w:sz w:val="24"/>
          <w:szCs w:val="24"/>
        </w:rPr>
        <w:t xml:space="preserve"> 28</w:t>
      </w:r>
      <w:r w:rsidR="001F6D28">
        <w:rPr>
          <w:rFonts w:ascii="Times New Roman" w:hAnsi="Times New Roman" w:cs="Times New Roman"/>
          <w:sz w:val="24"/>
          <w:szCs w:val="24"/>
        </w:rPr>
        <w:t xml:space="preserve"> </w:t>
      </w:r>
      <w:r>
        <w:rPr>
          <w:rFonts w:ascii="Times New Roman" w:hAnsi="Times New Roman" w:cs="Times New Roman"/>
          <w:sz w:val="24"/>
          <w:szCs w:val="24"/>
        </w:rPr>
        <w:t xml:space="preserve">of its Ruling, </w:t>
      </w:r>
      <w:r w:rsidR="001F6D28">
        <w:rPr>
          <w:rFonts w:ascii="Times New Roman" w:hAnsi="Times New Roman" w:cs="Times New Roman"/>
          <w:sz w:val="24"/>
          <w:szCs w:val="24"/>
        </w:rPr>
        <w:t>the Rent Board</w:t>
      </w:r>
      <w:r>
        <w:rPr>
          <w:rFonts w:ascii="Times New Roman" w:hAnsi="Times New Roman" w:cs="Times New Roman"/>
          <w:sz w:val="24"/>
          <w:szCs w:val="24"/>
        </w:rPr>
        <w:t xml:space="preserve"> concluded that</w:t>
      </w:r>
      <w:r w:rsidR="001F6D28">
        <w:rPr>
          <w:rFonts w:ascii="Times New Roman" w:hAnsi="Times New Roman" w:cs="Times New Roman"/>
          <w:sz w:val="24"/>
          <w:szCs w:val="24"/>
        </w:rPr>
        <w:t xml:space="preserve"> –</w:t>
      </w:r>
    </w:p>
    <w:p w14:paraId="1AF8C2E9" w14:textId="2146DBE3" w:rsidR="001F6D28" w:rsidRDefault="001F6D28" w:rsidP="001F6D28">
      <w:pPr>
        <w:tabs>
          <w:tab w:val="left" w:pos="993"/>
        </w:tabs>
        <w:spacing w:line="360" w:lineRule="auto"/>
        <w:jc w:val="both"/>
        <w:rPr>
          <w:i/>
          <w:iCs/>
        </w:rPr>
      </w:pPr>
    </w:p>
    <w:p w14:paraId="44A9436A" w14:textId="062AFCFC" w:rsidR="001F6D28" w:rsidRDefault="001F6D28" w:rsidP="001F6D28">
      <w:pPr>
        <w:spacing w:line="360" w:lineRule="auto"/>
        <w:ind w:left="1134" w:right="855"/>
        <w:jc w:val="both"/>
        <w:rPr>
          <w:i/>
          <w:iCs/>
        </w:rPr>
      </w:pPr>
      <w:r>
        <w:rPr>
          <w:i/>
          <w:iCs/>
        </w:rPr>
        <w:t xml:space="preserve">“28. From the circumstances of this case, it is our position that the Respondents </w:t>
      </w:r>
      <w:r w:rsidRPr="001F6D28">
        <w:t>(now Appellants)</w:t>
      </w:r>
      <w:r>
        <w:rPr>
          <w:i/>
          <w:iCs/>
        </w:rPr>
        <w:t xml:space="preserve"> have always understood that they will have to pay rent for their occupation of the leased premises and the Applicant </w:t>
      </w:r>
      <w:r w:rsidRPr="001F6D28">
        <w:t>(now Respondent)</w:t>
      </w:r>
      <w:r>
        <w:t xml:space="preserve"> </w:t>
      </w:r>
      <w:r>
        <w:rPr>
          <w:i/>
          <w:iCs/>
        </w:rPr>
        <w:t xml:space="preserve">has always expected to receive rent in the sum of SR 5,000 monthly. We do not find this sum exaggerated. </w:t>
      </w:r>
      <w:r w:rsidRPr="003D0008">
        <w:rPr>
          <w:i/>
          <w:iCs/>
          <w:u w:val="single"/>
        </w:rPr>
        <w:t>In addition, we cannot find any valid justification to deny the existence of a valid landlord and tenants relationship between the parties. It is our view that the Respondents ought to have started paying rent in the sum of SR 5,000 as at Decembe</w:t>
      </w:r>
      <w:bookmarkStart w:id="0" w:name="_GoBack"/>
      <w:bookmarkEnd w:id="0"/>
      <w:r w:rsidRPr="003D0008">
        <w:rPr>
          <w:i/>
          <w:iCs/>
          <w:u w:val="single"/>
        </w:rPr>
        <w:t>r 2021, and we so conclude</w:t>
      </w:r>
      <w:r>
        <w:rPr>
          <w:i/>
          <w:iCs/>
        </w:rPr>
        <w:t>”</w:t>
      </w:r>
    </w:p>
    <w:p w14:paraId="3A380007" w14:textId="5871EC3A" w:rsidR="003D0008" w:rsidRDefault="003D0008" w:rsidP="001F6D28">
      <w:pPr>
        <w:spacing w:line="360" w:lineRule="auto"/>
        <w:ind w:left="1134" w:right="855"/>
        <w:jc w:val="both"/>
        <w:rPr>
          <w:i/>
          <w:iCs/>
        </w:rPr>
      </w:pPr>
    </w:p>
    <w:p w14:paraId="25805FA3" w14:textId="22C1F36A" w:rsidR="003D0008" w:rsidRPr="003D0008" w:rsidRDefault="003D0008" w:rsidP="001F6D28">
      <w:pPr>
        <w:spacing w:line="360" w:lineRule="auto"/>
        <w:ind w:left="1134" w:right="855"/>
        <w:jc w:val="both"/>
        <w:rPr>
          <w:iCs/>
        </w:rPr>
      </w:pPr>
      <w:r>
        <w:rPr>
          <w:iCs/>
        </w:rPr>
        <w:t>(Emphasis added)</w:t>
      </w:r>
    </w:p>
    <w:p w14:paraId="144D436C" w14:textId="77777777" w:rsidR="001F6D28" w:rsidRPr="001F6D28" w:rsidRDefault="001F6D28" w:rsidP="001F6D28">
      <w:pPr>
        <w:tabs>
          <w:tab w:val="left" w:pos="993"/>
        </w:tabs>
        <w:spacing w:line="360" w:lineRule="auto"/>
        <w:jc w:val="both"/>
        <w:rPr>
          <w:i/>
          <w:iCs/>
        </w:rPr>
      </w:pPr>
    </w:p>
    <w:p w14:paraId="39ABD18E" w14:textId="44281C43" w:rsidR="001F6D28" w:rsidRPr="001F6D28" w:rsidRDefault="001F6D28" w:rsidP="001F6D28">
      <w:pPr>
        <w:pStyle w:val="ListParagraph"/>
        <w:numPr>
          <w:ilvl w:val="0"/>
          <w:numId w:val="12"/>
        </w:numPr>
        <w:tabs>
          <w:tab w:val="left" w:pos="993"/>
        </w:tabs>
        <w:spacing w:after="0" w:line="360" w:lineRule="auto"/>
        <w:ind w:left="709" w:hanging="709"/>
        <w:jc w:val="both"/>
        <w:rPr>
          <w:rFonts w:ascii="Times New Roman" w:hAnsi="Times New Roman" w:cs="Times New Roman"/>
          <w:i/>
          <w:iCs/>
          <w:sz w:val="24"/>
          <w:szCs w:val="24"/>
        </w:rPr>
      </w:pPr>
      <w:r>
        <w:rPr>
          <w:rFonts w:ascii="Times New Roman" w:hAnsi="Times New Roman" w:cs="Times New Roman"/>
          <w:sz w:val="24"/>
          <w:szCs w:val="24"/>
        </w:rPr>
        <w:t xml:space="preserve">The Respondent is the sole owner of land parcel V3319 on which the Premises are located. She became the </w:t>
      </w:r>
      <w:r w:rsidR="005E7CCF">
        <w:rPr>
          <w:rFonts w:ascii="Times New Roman" w:hAnsi="Times New Roman" w:cs="Times New Roman"/>
          <w:sz w:val="24"/>
          <w:szCs w:val="24"/>
        </w:rPr>
        <w:t xml:space="preserve">sole </w:t>
      </w:r>
      <w:r>
        <w:rPr>
          <w:rFonts w:ascii="Times New Roman" w:hAnsi="Times New Roman" w:cs="Times New Roman"/>
          <w:sz w:val="24"/>
          <w:szCs w:val="24"/>
        </w:rPr>
        <w:t xml:space="preserve">owner of the said property </w:t>
      </w:r>
      <w:r w:rsidR="005E7CCF">
        <w:rPr>
          <w:rFonts w:ascii="Times New Roman" w:hAnsi="Times New Roman" w:cs="Times New Roman"/>
          <w:sz w:val="24"/>
          <w:szCs w:val="24"/>
        </w:rPr>
        <w:t>following</w:t>
      </w:r>
      <w:r>
        <w:rPr>
          <w:rFonts w:ascii="Times New Roman" w:hAnsi="Times New Roman" w:cs="Times New Roman"/>
          <w:sz w:val="24"/>
          <w:szCs w:val="24"/>
        </w:rPr>
        <w:t xml:space="preserve"> the death of her husband </w:t>
      </w:r>
      <w:r w:rsidR="003D0008">
        <w:rPr>
          <w:rFonts w:ascii="Times New Roman" w:hAnsi="Times New Roman" w:cs="Times New Roman"/>
          <w:sz w:val="24"/>
          <w:szCs w:val="24"/>
        </w:rPr>
        <w:t xml:space="preserve">and </w:t>
      </w:r>
      <w:r w:rsidR="005E7CCF">
        <w:rPr>
          <w:rFonts w:ascii="Times New Roman" w:hAnsi="Times New Roman" w:cs="Times New Roman"/>
          <w:sz w:val="24"/>
          <w:szCs w:val="24"/>
        </w:rPr>
        <w:t>upon registration</w:t>
      </w:r>
      <w:r w:rsidR="003D0008">
        <w:rPr>
          <w:rFonts w:ascii="Times New Roman" w:hAnsi="Times New Roman" w:cs="Times New Roman"/>
          <w:sz w:val="24"/>
          <w:szCs w:val="24"/>
        </w:rPr>
        <w:t xml:space="preserve"> of the said property</w:t>
      </w:r>
      <w:r>
        <w:rPr>
          <w:rFonts w:ascii="Times New Roman" w:hAnsi="Times New Roman" w:cs="Times New Roman"/>
          <w:sz w:val="24"/>
          <w:szCs w:val="24"/>
        </w:rPr>
        <w:t xml:space="preserve"> in</w:t>
      </w:r>
      <w:r w:rsidR="003D0008">
        <w:rPr>
          <w:rFonts w:ascii="Times New Roman" w:hAnsi="Times New Roman" w:cs="Times New Roman"/>
          <w:sz w:val="24"/>
          <w:szCs w:val="24"/>
        </w:rPr>
        <w:t xml:space="preserve"> her sole name in</w:t>
      </w:r>
      <w:r>
        <w:rPr>
          <w:rFonts w:ascii="Times New Roman" w:hAnsi="Times New Roman" w:cs="Times New Roman"/>
          <w:sz w:val="24"/>
          <w:szCs w:val="24"/>
        </w:rPr>
        <w:t xml:space="preserve"> June 2018. At the time of claiming rent from the Appellants, service of notice of termination of tenancy and filing of the application for eviction before the Rent Board</w:t>
      </w:r>
      <w:r w:rsidR="003D0008">
        <w:rPr>
          <w:rFonts w:ascii="Times New Roman" w:hAnsi="Times New Roman" w:cs="Times New Roman"/>
          <w:sz w:val="24"/>
          <w:szCs w:val="24"/>
        </w:rPr>
        <w:t>, the Respondent was</w:t>
      </w:r>
      <w:r>
        <w:rPr>
          <w:rFonts w:ascii="Times New Roman" w:hAnsi="Times New Roman" w:cs="Times New Roman"/>
          <w:sz w:val="24"/>
          <w:szCs w:val="24"/>
        </w:rPr>
        <w:t xml:space="preserve"> the sole owner of the Premises.  She does not require any other capacities to bring an action in relation to her property.</w:t>
      </w:r>
    </w:p>
    <w:p w14:paraId="50685291" w14:textId="4D346B84" w:rsidR="001F6D28" w:rsidRPr="001F6D28" w:rsidRDefault="001F6D28" w:rsidP="001F6D28">
      <w:pPr>
        <w:tabs>
          <w:tab w:val="left" w:pos="993"/>
        </w:tabs>
        <w:spacing w:line="360" w:lineRule="auto"/>
        <w:jc w:val="both"/>
      </w:pPr>
    </w:p>
    <w:p w14:paraId="72F06A7A" w14:textId="77777777" w:rsidR="001F6D28" w:rsidRPr="001F6D28" w:rsidRDefault="001F6D28" w:rsidP="001F6D28">
      <w:pPr>
        <w:tabs>
          <w:tab w:val="left" w:pos="993"/>
        </w:tabs>
        <w:spacing w:line="360" w:lineRule="auto"/>
        <w:jc w:val="both"/>
        <w:rPr>
          <w:i/>
          <w:iCs/>
        </w:rPr>
      </w:pPr>
      <w:r>
        <w:rPr>
          <w:i/>
          <w:iCs/>
        </w:rPr>
        <w:t>Conclusion</w:t>
      </w:r>
    </w:p>
    <w:p w14:paraId="558FCF80" w14:textId="77777777" w:rsidR="001F6D28" w:rsidRPr="001F6D28" w:rsidRDefault="001F6D28" w:rsidP="001F6D28">
      <w:pPr>
        <w:tabs>
          <w:tab w:val="left" w:pos="993"/>
        </w:tabs>
        <w:spacing w:line="360" w:lineRule="auto"/>
        <w:jc w:val="both"/>
        <w:rPr>
          <w:i/>
          <w:iCs/>
        </w:rPr>
      </w:pPr>
    </w:p>
    <w:p w14:paraId="091837BF" w14:textId="0F90CDBC" w:rsidR="001F6D28" w:rsidRPr="001F6D28" w:rsidRDefault="001F6D28" w:rsidP="001F6D28">
      <w:pPr>
        <w:pStyle w:val="ListParagraph"/>
        <w:numPr>
          <w:ilvl w:val="0"/>
          <w:numId w:val="12"/>
        </w:numPr>
        <w:tabs>
          <w:tab w:val="left" w:pos="993"/>
        </w:tabs>
        <w:spacing w:after="0" w:line="360" w:lineRule="auto"/>
        <w:ind w:left="709" w:hanging="709"/>
        <w:jc w:val="both"/>
        <w:rPr>
          <w:rFonts w:ascii="Times New Roman" w:hAnsi="Times New Roman" w:cs="Times New Roman"/>
          <w:i/>
          <w:iCs/>
          <w:sz w:val="24"/>
          <w:szCs w:val="24"/>
        </w:rPr>
      </w:pPr>
      <w:r w:rsidRPr="001F6D28">
        <w:rPr>
          <w:rFonts w:ascii="Times New Roman" w:hAnsi="Times New Roman" w:cs="Times New Roman"/>
          <w:sz w:val="24"/>
          <w:szCs w:val="24"/>
        </w:rPr>
        <w:lastRenderedPageBreak/>
        <w:t xml:space="preserve">The tenancy </w:t>
      </w:r>
      <w:r>
        <w:rPr>
          <w:rFonts w:ascii="Times New Roman" w:hAnsi="Times New Roman" w:cs="Times New Roman"/>
          <w:sz w:val="24"/>
          <w:szCs w:val="24"/>
        </w:rPr>
        <w:t xml:space="preserve">created </w:t>
      </w:r>
      <w:r w:rsidRPr="001F6D28">
        <w:rPr>
          <w:rFonts w:ascii="Times New Roman" w:hAnsi="Times New Roman" w:cs="Times New Roman"/>
          <w:sz w:val="24"/>
          <w:szCs w:val="24"/>
        </w:rPr>
        <w:t>under the Agreement</w:t>
      </w:r>
      <w:r>
        <w:rPr>
          <w:rFonts w:ascii="Times New Roman" w:hAnsi="Times New Roman" w:cs="Times New Roman"/>
          <w:sz w:val="24"/>
          <w:szCs w:val="24"/>
        </w:rPr>
        <w:t xml:space="preserve"> is valid. The </w:t>
      </w:r>
      <w:r w:rsidRPr="001F6D28">
        <w:rPr>
          <w:rFonts w:ascii="Times New Roman" w:hAnsi="Times New Roman" w:cs="Times New Roman"/>
          <w:sz w:val="24"/>
          <w:szCs w:val="24"/>
        </w:rPr>
        <w:t>Agreement ha</w:t>
      </w:r>
      <w:r>
        <w:rPr>
          <w:rFonts w:ascii="Times New Roman" w:hAnsi="Times New Roman" w:cs="Times New Roman"/>
          <w:sz w:val="24"/>
          <w:szCs w:val="24"/>
        </w:rPr>
        <w:t>s</w:t>
      </w:r>
      <w:r w:rsidRPr="001F6D28">
        <w:rPr>
          <w:rFonts w:ascii="Times New Roman" w:hAnsi="Times New Roman" w:cs="Times New Roman"/>
          <w:sz w:val="24"/>
          <w:szCs w:val="24"/>
        </w:rPr>
        <w:t xml:space="preserve"> been confirmed by the </w:t>
      </w:r>
      <w:r>
        <w:rPr>
          <w:rFonts w:ascii="Times New Roman" w:hAnsi="Times New Roman" w:cs="Times New Roman"/>
          <w:sz w:val="24"/>
          <w:szCs w:val="24"/>
        </w:rPr>
        <w:t xml:space="preserve">Appellants </w:t>
      </w:r>
      <w:r w:rsidRPr="001F6D28">
        <w:rPr>
          <w:rFonts w:ascii="Times New Roman" w:hAnsi="Times New Roman" w:cs="Times New Roman"/>
          <w:sz w:val="24"/>
          <w:szCs w:val="24"/>
        </w:rPr>
        <w:t xml:space="preserve">after the demise of the late Mr Philip Vital and upon the Respondent becoming the sole </w:t>
      </w:r>
      <w:r>
        <w:rPr>
          <w:rFonts w:ascii="Times New Roman" w:hAnsi="Times New Roman" w:cs="Times New Roman"/>
          <w:sz w:val="24"/>
          <w:szCs w:val="24"/>
        </w:rPr>
        <w:t xml:space="preserve">owner </w:t>
      </w:r>
      <w:r w:rsidRPr="001F6D28">
        <w:rPr>
          <w:rFonts w:ascii="Times New Roman" w:hAnsi="Times New Roman" w:cs="Times New Roman"/>
          <w:sz w:val="24"/>
          <w:szCs w:val="24"/>
        </w:rPr>
        <w:t>of the Premises. The Appellants voluntarily executed the obligations to finance and complete the construction of the Premises, occupied the Premises upon completion</w:t>
      </w:r>
      <w:r>
        <w:rPr>
          <w:rFonts w:ascii="Times New Roman" w:hAnsi="Times New Roman" w:cs="Times New Roman"/>
          <w:sz w:val="24"/>
          <w:szCs w:val="24"/>
        </w:rPr>
        <w:t xml:space="preserve"> of works</w:t>
      </w:r>
      <w:r w:rsidRPr="001F6D28">
        <w:rPr>
          <w:rFonts w:ascii="Times New Roman" w:hAnsi="Times New Roman" w:cs="Times New Roman"/>
          <w:sz w:val="24"/>
          <w:szCs w:val="24"/>
        </w:rPr>
        <w:t xml:space="preserve"> and furnished </w:t>
      </w:r>
      <w:r>
        <w:rPr>
          <w:rFonts w:ascii="Times New Roman" w:hAnsi="Times New Roman" w:cs="Times New Roman"/>
          <w:sz w:val="24"/>
          <w:szCs w:val="24"/>
        </w:rPr>
        <w:t xml:space="preserve">Respondent with the </w:t>
      </w:r>
      <w:r w:rsidRPr="001F6D28">
        <w:rPr>
          <w:rFonts w:ascii="Times New Roman" w:hAnsi="Times New Roman" w:cs="Times New Roman"/>
          <w:sz w:val="24"/>
          <w:szCs w:val="24"/>
        </w:rPr>
        <w:t xml:space="preserve">receipts of </w:t>
      </w:r>
      <w:r>
        <w:rPr>
          <w:rFonts w:ascii="Times New Roman" w:hAnsi="Times New Roman" w:cs="Times New Roman"/>
          <w:sz w:val="24"/>
          <w:szCs w:val="24"/>
        </w:rPr>
        <w:t xml:space="preserve">all their </w:t>
      </w:r>
      <w:r w:rsidRPr="001F6D28">
        <w:rPr>
          <w:rFonts w:ascii="Times New Roman" w:hAnsi="Times New Roman" w:cs="Times New Roman"/>
          <w:sz w:val="24"/>
          <w:szCs w:val="24"/>
        </w:rPr>
        <w:t xml:space="preserve">expenses incurred </w:t>
      </w:r>
      <w:r>
        <w:rPr>
          <w:rFonts w:ascii="Times New Roman" w:hAnsi="Times New Roman" w:cs="Times New Roman"/>
          <w:sz w:val="24"/>
          <w:szCs w:val="24"/>
        </w:rPr>
        <w:t xml:space="preserve">in accordance with the terms of the </w:t>
      </w:r>
      <w:r w:rsidRPr="001F6D28">
        <w:rPr>
          <w:rFonts w:ascii="Times New Roman" w:hAnsi="Times New Roman" w:cs="Times New Roman"/>
          <w:sz w:val="24"/>
          <w:szCs w:val="24"/>
        </w:rPr>
        <w:t>Agreement. In consequence</w:t>
      </w:r>
      <w:r>
        <w:rPr>
          <w:rFonts w:ascii="Times New Roman" w:hAnsi="Times New Roman" w:cs="Times New Roman"/>
          <w:sz w:val="24"/>
          <w:szCs w:val="24"/>
        </w:rPr>
        <w:t xml:space="preserve"> of performance of these obligations</w:t>
      </w:r>
      <w:r w:rsidRPr="001F6D28">
        <w:rPr>
          <w:rFonts w:ascii="Times New Roman" w:hAnsi="Times New Roman" w:cs="Times New Roman"/>
          <w:sz w:val="24"/>
          <w:szCs w:val="24"/>
        </w:rPr>
        <w:t>, the Appellants enjoyed 36 months’ rent-free occupation of the Premises.</w:t>
      </w:r>
    </w:p>
    <w:p w14:paraId="2DED2595" w14:textId="77777777" w:rsidR="001F6D28" w:rsidRPr="001F6D28" w:rsidRDefault="001F6D28" w:rsidP="001F6D28">
      <w:pPr>
        <w:pStyle w:val="ListParagraph"/>
        <w:tabs>
          <w:tab w:val="left" w:pos="993"/>
        </w:tabs>
        <w:spacing w:after="0" w:line="360" w:lineRule="auto"/>
        <w:ind w:left="709"/>
        <w:jc w:val="both"/>
        <w:rPr>
          <w:rFonts w:ascii="Times New Roman" w:hAnsi="Times New Roman" w:cs="Times New Roman"/>
          <w:i/>
          <w:iCs/>
          <w:sz w:val="24"/>
          <w:szCs w:val="24"/>
        </w:rPr>
      </w:pPr>
    </w:p>
    <w:p w14:paraId="6A33AF6A" w14:textId="2A93785D" w:rsidR="001F6D28" w:rsidRPr="001F6D28" w:rsidRDefault="001F6D28" w:rsidP="001F6D28">
      <w:pPr>
        <w:pStyle w:val="ListParagraph"/>
        <w:numPr>
          <w:ilvl w:val="0"/>
          <w:numId w:val="12"/>
        </w:numPr>
        <w:tabs>
          <w:tab w:val="left" w:pos="993"/>
        </w:tabs>
        <w:spacing w:after="0" w:line="360" w:lineRule="auto"/>
        <w:ind w:left="709" w:hanging="709"/>
        <w:jc w:val="both"/>
        <w:rPr>
          <w:rFonts w:ascii="Times New Roman" w:hAnsi="Times New Roman" w:cs="Times New Roman"/>
          <w:i/>
          <w:iCs/>
          <w:sz w:val="24"/>
          <w:szCs w:val="24"/>
        </w:rPr>
      </w:pPr>
      <w:r w:rsidRPr="001F6D28">
        <w:rPr>
          <w:rFonts w:ascii="Times New Roman" w:hAnsi="Times New Roman" w:cs="Times New Roman"/>
          <w:sz w:val="24"/>
          <w:szCs w:val="24"/>
        </w:rPr>
        <w:t xml:space="preserve">Having decided that there </w:t>
      </w:r>
      <w:r w:rsidR="00F37044">
        <w:rPr>
          <w:rFonts w:ascii="Times New Roman" w:hAnsi="Times New Roman" w:cs="Times New Roman"/>
          <w:sz w:val="24"/>
          <w:szCs w:val="24"/>
        </w:rPr>
        <w:t>is</w:t>
      </w:r>
      <w:r w:rsidRPr="001F6D28">
        <w:rPr>
          <w:rFonts w:ascii="Times New Roman" w:hAnsi="Times New Roman" w:cs="Times New Roman"/>
          <w:sz w:val="24"/>
          <w:szCs w:val="24"/>
        </w:rPr>
        <w:t xml:space="preserve"> a valid landlord tenant relationship between the parties and </w:t>
      </w:r>
      <w:r w:rsidR="005E7CCF" w:rsidRPr="001F6D28">
        <w:rPr>
          <w:rFonts w:ascii="Times New Roman" w:hAnsi="Times New Roman" w:cs="Times New Roman"/>
          <w:sz w:val="24"/>
          <w:szCs w:val="24"/>
        </w:rPr>
        <w:t>considering</w:t>
      </w:r>
      <w:r w:rsidRPr="001F6D28">
        <w:rPr>
          <w:rFonts w:ascii="Times New Roman" w:hAnsi="Times New Roman" w:cs="Times New Roman"/>
          <w:sz w:val="24"/>
          <w:szCs w:val="24"/>
        </w:rPr>
        <w:t xml:space="preserve"> that at the time that the </w:t>
      </w:r>
      <w:r w:rsidR="00F37044">
        <w:rPr>
          <w:rFonts w:ascii="Times New Roman" w:hAnsi="Times New Roman" w:cs="Times New Roman"/>
          <w:sz w:val="24"/>
          <w:szCs w:val="24"/>
        </w:rPr>
        <w:t>ejectment</w:t>
      </w:r>
      <w:r w:rsidRPr="001F6D28">
        <w:rPr>
          <w:rFonts w:ascii="Times New Roman" w:hAnsi="Times New Roman" w:cs="Times New Roman"/>
          <w:sz w:val="24"/>
          <w:szCs w:val="24"/>
        </w:rPr>
        <w:t xml:space="preserve"> case was filed before the Rent Board the Respondent was the sole owner of the land on which the Premises are located, I hold that she had locus standi to bring the application for ejectment.</w:t>
      </w:r>
    </w:p>
    <w:p w14:paraId="784EB1B0" w14:textId="3F50D157" w:rsidR="001F6D28" w:rsidRPr="001F6D28" w:rsidRDefault="001F6D28" w:rsidP="001F6D28">
      <w:pPr>
        <w:pStyle w:val="ListParagraph"/>
        <w:tabs>
          <w:tab w:val="left" w:pos="993"/>
        </w:tabs>
        <w:spacing w:after="0" w:line="360" w:lineRule="auto"/>
        <w:ind w:left="709"/>
        <w:jc w:val="both"/>
        <w:rPr>
          <w:rFonts w:ascii="Times New Roman" w:hAnsi="Times New Roman" w:cs="Times New Roman"/>
          <w:i/>
          <w:iCs/>
          <w:sz w:val="24"/>
          <w:szCs w:val="24"/>
        </w:rPr>
      </w:pPr>
    </w:p>
    <w:p w14:paraId="1494ED42" w14:textId="068914D5" w:rsidR="00F63E9A" w:rsidRPr="001F6D28" w:rsidRDefault="001F6D28" w:rsidP="002614B5">
      <w:pPr>
        <w:pStyle w:val="ListParagraph"/>
        <w:numPr>
          <w:ilvl w:val="0"/>
          <w:numId w:val="12"/>
        </w:numPr>
        <w:tabs>
          <w:tab w:val="left" w:pos="993"/>
        </w:tabs>
        <w:spacing w:after="0" w:line="360" w:lineRule="auto"/>
        <w:ind w:left="709" w:hanging="709"/>
        <w:jc w:val="both"/>
        <w:rPr>
          <w:rFonts w:ascii="Times New Roman" w:hAnsi="Times New Roman" w:cs="Times New Roman"/>
          <w:i/>
          <w:iCs/>
          <w:sz w:val="24"/>
          <w:szCs w:val="24"/>
        </w:rPr>
      </w:pPr>
      <w:r w:rsidRPr="001F6D28">
        <w:rPr>
          <w:rFonts w:ascii="Times New Roman" w:hAnsi="Times New Roman" w:cs="Times New Roman"/>
          <w:sz w:val="24"/>
          <w:szCs w:val="24"/>
        </w:rPr>
        <w:t xml:space="preserve">Therefore, the Rent Board </w:t>
      </w:r>
      <w:r w:rsidR="003D0008">
        <w:rPr>
          <w:rFonts w:ascii="Times New Roman" w:hAnsi="Times New Roman" w:cs="Times New Roman"/>
          <w:sz w:val="24"/>
          <w:szCs w:val="24"/>
        </w:rPr>
        <w:t>was</w:t>
      </w:r>
      <w:r w:rsidRPr="001F6D28">
        <w:rPr>
          <w:rFonts w:ascii="Times New Roman" w:hAnsi="Times New Roman" w:cs="Times New Roman"/>
          <w:sz w:val="24"/>
          <w:szCs w:val="24"/>
        </w:rPr>
        <w:t xml:space="preserve"> not </w:t>
      </w:r>
      <w:r w:rsidR="003D0008">
        <w:rPr>
          <w:rFonts w:ascii="Times New Roman" w:hAnsi="Times New Roman" w:cs="Times New Roman"/>
          <w:sz w:val="24"/>
          <w:szCs w:val="24"/>
        </w:rPr>
        <w:t xml:space="preserve">wrong in not </w:t>
      </w:r>
      <w:r w:rsidRPr="001F6D28">
        <w:rPr>
          <w:rFonts w:ascii="Times New Roman" w:hAnsi="Times New Roman" w:cs="Times New Roman"/>
          <w:sz w:val="24"/>
          <w:szCs w:val="24"/>
        </w:rPr>
        <w:t xml:space="preserve">upholding the Appellants plea in </w:t>
      </w:r>
      <w:proofErr w:type="spellStart"/>
      <w:r w:rsidRPr="001F6D28">
        <w:rPr>
          <w:rFonts w:ascii="Times New Roman" w:hAnsi="Times New Roman" w:cs="Times New Roman"/>
          <w:sz w:val="24"/>
          <w:szCs w:val="24"/>
        </w:rPr>
        <w:t>limine</w:t>
      </w:r>
      <w:proofErr w:type="spellEnd"/>
      <w:r w:rsidRPr="001F6D28">
        <w:rPr>
          <w:rFonts w:ascii="Times New Roman" w:hAnsi="Times New Roman" w:cs="Times New Roman"/>
          <w:sz w:val="24"/>
          <w:szCs w:val="24"/>
        </w:rPr>
        <w:t xml:space="preserve"> </w:t>
      </w:r>
      <w:proofErr w:type="spellStart"/>
      <w:r w:rsidRPr="001F6D28">
        <w:rPr>
          <w:rFonts w:ascii="Times New Roman" w:hAnsi="Times New Roman" w:cs="Times New Roman"/>
          <w:sz w:val="24"/>
          <w:szCs w:val="24"/>
        </w:rPr>
        <w:t>litis</w:t>
      </w:r>
      <w:proofErr w:type="spellEnd"/>
      <w:r w:rsidRPr="001F6D28">
        <w:rPr>
          <w:rFonts w:ascii="Times New Roman" w:hAnsi="Times New Roman" w:cs="Times New Roman"/>
          <w:sz w:val="24"/>
          <w:szCs w:val="24"/>
        </w:rPr>
        <w:t xml:space="preserve"> and in not dismissing the application for eviction. </w:t>
      </w:r>
    </w:p>
    <w:p w14:paraId="27407EA5" w14:textId="3B878394" w:rsidR="00473C71" w:rsidRPr="003D0008" w:rsidRDefault="00473C71" w:rsidP="003D0008">
      <w:pPr>
        <w:tabs>
          <w:tab w:val="left" w:pos="993"/>
        </w:tabs>
        <w:spacing w:line="360" w:lineRule="auto"/>
        <w:jc w:val="both"/>
        <w:rPr>
          <w:i/>
          <w:iCs/>
        </w:rPr>
      </w:pPr>
    </w:p>
    <w:p w14:paraId="2DC37DDF" w14:textId="69099F8B" w:rsidR="00473C71" w:rsidRDefault="00473C71" w:rsidP="00473C71">
      <w:pPr>
        <w:tabs>
          <w:tab w:val="left" w:pos="993"/>
        </w:tabs>
        <w:spacing w:line="360" w:lineRule="auto"/>
        <w:jc w:val="both"/>
        <w:rPr>
          <w:i/>
          <w:iCs/>
        </w:rPr>
      </w:pPr>
      <w:r>
        <w:rPr>
          <w:i/>
          <w:iCs/>
        </w:rPr>
        <w:t>Order</w:t>
      </w:r>
    </w:p>
    <w:p w14:paraId="313A7EB6" w14:textId="77777777" w:rsidR="00473C71" w:rsidRPr="00473C71" w:rsidRDefault="00473C71" w:rsidP="00473C71">
      <w:pPr>
        <w:tabs>
          <w:tab w:val="left" w:pos="993"/>
        </w:tabs>
        <w:spacing w:line="360" w:lineRule="auto"/>
        <w:jc w:val="both"/>
        <w:rPr>
          <w:i/>
          <w:iCs/>
        </w:rPr>
      </w:pPr>
    </w:p>
    <w:p w14:paraId="111ACC3B" w14:textId="378D6811" w:rsidR="00F63E9A" w:rsidRPr="00882EAA" w:rsidRDefault="00F63E9A" w:rsidP="00F63E9A">
      <w:pPr>
        <w:pStyle w:val="ListParagraph"/>
        <w:numPr>
          <w:ilvl w:val="0"/>
          <w:numId w:val="12"/>
        </w:numPr>
        <w:tabs>
          <w:tab w:val="left" w:pos="993"/>
        </w:tabs>
        <w:spacing w:after="0" w:line="360" w:lineRule="auto"/>
        <w:ind w:left="709" w:hanging="709"/>
        <w:jc w:val="both"/>
        <w:rPr>
          <w:rFonts w:ascii="Times New Roman" w:hAnsi="Times New Roman" w:cs="Times New Roman"/>
          <w:i/>
          <w:iCs/>
          <w:sz w:val="24"/>
          <w:szCs w:val="24"/>
        </w:rPr>
      </w:pPr>
      <w:r w:rsidRPr="00882EAA">
        <w:rPr>
          <w:rFonts w:ascii="Times New Roman" w:hAnsi="Times New Roman" w:cs="Times New Roman"/>
          <w:sz w:val="24"/>
          <w:szCs w:val="24"/>
        </w:rPr>
        <w:t>Based on the above</w:t>
      </w:r>
      <w:r w:rsidR="00882EAA">
        <w:rPr>
          <w:rFonts w:ascii="Times New Roman" w:hAnsi="Times New Roman" w:cs="Times New Roman"/>
          <w:sz w:val="24"/>
          <w:szCs w:val="24"/>
        </w:rPr>
        <w:t xml:space="preserve"> findings</w:t>
      </w:r>
      <w:r w:rsidRPr="00882EAA">
        <w:rPr>
          <w:rFonts w:ascii="Times New Roman" w:hAnsi="Times New Roman" w:cs="Times New Roman"/>
          <w:sz w:val="24"/>
          <w:szCs w:val="24"/>
        </w:rPr>
        <w:t xml:space="preserve">, the </w:t>
      </w:r>
      <w:r w:rsidR="00473C71">
        <w:rPr>
          <w:rFonts w:ascii="Times New Roman" w:hAnsi="Times New Roman" w:cs="Times New Roman"/>
          <w:sz w:val="24"/>
          <w:szCs w:val="24"/>
        </w:rPr>
        <w:t xml:space="preserve">orders of the </w:t>
      </w:r>
      <w:r w:rsidRPr="00882EAA">
        <w:rPr>
          <w:rFonts w:ascii="Times New Roman" w:hAnsi="Times New Roman" w:cs="Times New Roman"/>
          <w:sz w:val="24"/>
          <w:szCs w:val="24"/>
        </w:rPr>
        <w:t xml:space="preserve">Rent </w:t>
      </w:r>
      <w:r w:rsidR="00473C71" w:rsidRPr="00882EAA">
        <w:rPr>
          <w:rFonts w:ascii="Times New Roman" w:hAnsi="Times New Roman" w:cs="Times New Roman"/>
          <w:sz w:val="24"/>
          <w:szCs w:val="24"/>
        </w:rPr>
        <w:t>Board</w:t>
      </w:r>
      <w:r w:rsidR="001F6D28">
        <w:rPr>
          <w:rFonts w:ascii="Times New Roman" w:hAnsi="Times New Roman" w:cs="Times New Roman"/>
          <w:sz w:val="24"/>
          <w:szCs w:val="24"/>
        </w:rPr>
        <w:t xml:space="preserve"> </w:t>
      </w:r>
      <w:r w:rsidR="00473C71">
        <w:rPr>
          <w:rFonts w:ascii="Times New Roman" w:hAnsi="Times New Roman" w:cs="Times New Roman"/>
          <w:sz w:val="24"/>
          <w:szCs w:val="24"/>
        </w:rPr>
        <w:t>are</w:t>
      </w:r>
      <w:r w:rsidRPr="00882EAA">
        <w:rPr>
          <w:rFonts w:ascii="Times New Roman" w:hAnsi="Times New Roman" w:cs="Times New Roman"/>
          <w:sz w:val="24"/>
          <w:szCs w:val="24"/>
        </w:rPr>
        <w:t xml:space="preserve"> </w:t>
      </w:r>
      <w:r w:rsidR="00882EAA">
        <w:rPr>
          <w:rFonts w:ascii="Times New Roman" w:hAnsi="Times New Roman" w:cs="Times New Roman"/>
          <w:sz w:val="24"/>
          <w:szCs w:val="24"/>
        </w:rPr>
        <w:t xml:space="preserve">hereby </w:t>
      </w:r>
      <w:r w:rsidR="00882EAA" w:rsidRPr="00882EAA">
        <w:rPr>
          <w:rFonts w:ascii="Times New Roman" w:hAnsi="Times New Roman" w:cs="Times New Roman"/>
          <w:sz w:val="24"/>
          <w:szCs w:val="24"/>
        </w:rPr>
        <w:t>affirmed,</w:t>
      </w:r>
      <w:r w:rsidRPr="00882EAA">
        <w:rPr>
          <w:rFonts w:ascii="Times New Roman" w:hAnsi="Times New Roman" w:cs="Times New Roman"/>
          <w:sz w:val="24"/>
          <w:szCs w:val="24"/>
        </w:rPr>
        <w:t xml:space="preserve"> and the appeal is dismissed</w:t>
      </w:r>
      <w:r w:rsidR="00882EAA">
        <w:rPr>
          <w:rFonts w:ascii="Times New Roman" w:hAnsi="Times New Roman" w:cs="Times New Roman"/>
          <w:sz w:val="24"/>
          <w:szCs w:val="24"/>
        </w:rPr>
        <w:t>.</w:t>
      </w:r>
    </w:p>
    <w:p w14:paraId="2D89E798" w14:textId="77777777" w:rsidR="00AC6E73" w:rsidRPr="004E1653" w:rsidRDefault="00AC6E73" w:rsidP="00AC6E73">
      <w:pPr>
        <w:pStyle w:val="ListParagraph"/>
        <w:rPr>
          <w:rFonts w:ascii="Times New Roman" w:hAnsi="Times New Roman" w:cs="Times New Roman"/>
          <w:lang w:val="en-US"/>
        </w:rPr>
      </w:pPr>
    </w:p>
    <w:p w14:paraId="1E866BFE" w14:textId="3350D982" w:rsidR="00AC6E73" w:rsidRDefault="00AC6E73" w:rsidP="00AC6E73">
      <w:pPr>
        <w:spacing w:line="360" w:lineRule="auto"/>
        <w:jc w:val="both"/>
      </w:pPr>
      <w:r>
        <w:t xml:space="preserve">Signed dated and delivered </w:t>
      </w:r>
      <w:r w:rsidR="00C81B10">
        <w:t xml:space="preserve">at Ile du Port </w:t>
      </w:r>
      <w:r>
        <w:t xml:space="preserve">on </w:t>
      </w:r>
      <w:r w:rsidR="00882EAA">
        <w:t>14</w:t>
      </w:r>
      <w:r w:rsidR="005D38D9" w:rsidRPr="005D38D9">
        <w:rPr>
          <w:vertAlign w:val="superscript"/>
        </w:rPr>
        <w:t>th</w:t>
      </w:r>
      <w:r w:rsidR="005D38D9">
        <w:t xml:space="preserve"> </w:t>
      </w:r>
      <w:r w:rsidR="00882EAA">
        <w:t>August</w:t>
      </w:r>
      <w:r>
        <w:t xml:space="preserve"> 2023.</w:t>
      </w:r>
    </w:p>
    <w:p w14:paraId="41865DB0" w14:textId="5AC50C4B" w:rsidR="005E7CCF" w:rsidRDefault="005E7CCF" w:rsidP="00AC6E73">
      <w:pPr>
        <w:spacing w:line="360" w:lineRule="auto"/>
        <w:jc w:val="both"/>
      </w:pPr>
    </w:p>
    <w:p w14:paraId="54756D8A" w14:textId="37F82E3C" w:rsidR="005E7CCF" w:rsidRDefault="005E7CCF" w:rsidP="00AC6E73">
      <w:pPr>
        <w:spacing w:line="360" w:lineRule="auto"/>
        <w:jc w:val="both"/>
      </w:pPr>
    </w:p>
    <w:p w14:paraId="47128B3D" w14:textId="2D747C07" w:rsidR="005E7CCF" w:rsidRDefault="005E7CCF" w:rsidP="00AC6E73">
      <w:pPr>
        <w:spacing w:line="360" w:lineRule="auto"/>
        <w:jc w:val="both"/>
      </w:pPr>
    </w:p>
    <w:p w14:paraId="68C6DC5A" w14:textId="0AA37972" w:rsidR="005E7CCF" w:rsidRDefault="005E7CCF" w:rsidP="00AC6E73">
      <w:pPr>
        <w:spacing w:line="360" w:lineRule="auto"/>
        <w:jc w:val="both"/>
      </w:pPr>
      <w:r>
        <w:t>_______________</w:t>
      </w:r>
    </w:p>
    <w:p w14:paraId="173B99F8" w14:textId="07FAC80E" w:rsidR="005E7CCF" w:rsidRPr="003D0008" w:rsidRDefault="005E7CCF" w:rsidP="00AC6E73">
      <w:pPr>
        <w:spacing w:line="360" w:lineRule="auto"/>
        <w:jc w:val="both"/>
        <w:rPr>
          <w:b/>
        </w:rPr>
      </w:pPr>
      <w:r w:rsidRPr="003D0008">
        <w:rPr>
          <w:b/>
        </w:rPr>
        <w:t>A.</w:t>
      </w:r>
      <w:r w:rsidR="003D0008">
        <w:rPr>
          <w:b/>
        </w:rPr>
        <w:t xml:space="preserve"> </w:t>
      </w:r>
      <w:r w:rsidRPr="003D0008">
        <w:rPr>
          <w:b/>
        </w:rPr>
        <w:t>Madeleine, J</w:t>
      </w:r>
    </w:p>
    <w:p w14:paraId="507D308C" w14:textId="517FCDAA" w:rsidR="003A6C9E" w:rsidRPr="00277073" w:rsidRDefault="003A6C9E" w:rsidP="00CC437E">
      <w:pPr>
        <w:keepNext/>
      </w:pPr>
    </w:p>
    <w:p w14:paraId="2F01CEB2" w14:textId="736357A1" w:rsidR="006D49BC" w:rsidRDefault="006D49BC" w:rsidP="00CC437E">
      <w:pPr>
        <w:keepNext/>
      </w:pPr>
    </w:p>
    <w:p w14:paraId="70D42B82" w14:textId="6025E65E" w:rsidR="00235626" w:rsidRPr="001F6D28" w:rsidRDefault="0070371E" w:rsidP="001F6D28">
      <w:pPr>
        <w:keepNext/>
        <w:tabs>
          <w:tab w:val="left" w:pos="2160"/>
        </w:tabs>
        <w:rPr>
          <w:b/>
          <w:bCs/>
        </w:rPr>
      </w:pPr>
      <w:r w:rsidRPr="001F6D28">
        <w:rPr>
          <w:b/>
          <w:bCs/>
        </w:rPr>
        <w:t xml:space="preserve"> </w:t>
      </w:r>
    </w:p>
    <w:sectPr w:rsidR="00235626" w:rsidRPr="001F6D28" w:rsidSect="009B495E">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8AB28" w14:textId="77777777" w:rsidR="002D669B" w:rsidRDefault="002D669B" w:rsidP="006A68E2">
      <w:r>
        <w:separator/>
      </w:r>
    </w:p>
  </w:endnote>
  <w:endnote w:type="continuationSeparator" w:id="0">
    <w:p w14:paraId="6A114BB6" w14:textId="77777777" w:rsidR="002D669B" w:rsidRDefault="002D669B" w:rsidP="006A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rFonts w:ascii="Times New Roman" w:hAnsi="Times New Roman" w:cs="Times New Roman"/>
        <w:noProof/>
        <w:sz w:val="20"/>
        <w:szCs w:val="20"/>
      </w:rPr>
    </w:sdtEndPr>
    <w:sdtContent>
      <w:p w14:paraId="1DC42BC9" w14:textId="0DFB3145" w:rsidR="00F33B83" w:rsidRPr="007E695E" w:rsidRDefault="00F33B83">
        <w:pPr>
          <w:pStyle w:val="Footer"/>
          <w:jc w:val="center"/>
          <w:rPr>
            <w:rFonts w:ascii="Times New Roman" w:hAnsi="Times New Roman" w:cs="Times New Roman"/>
            <w:sz w:val="20"/>
            <w:szCs w:val="20"/>
          </w:rPr>
        </w:pPr>
        <w:r w:rsidRPr="007E695E">
          <w:rPr>
            <w:rFonts w:ascii="Times New Roman" w:hAnsi="Times New Roman" w:cs="Times New Roman"/>
            <w:sz w:val="20"/>
            <w:szCs w:val="20"/>
          </w:rPr>
          <w:fldChar w:fldCharType="begin"/>
        </w:r>
        <w:r w:rsidRPr="007E695E">
          <w:rPr>
            <w:rFonts w:ascii="Times New Roman" w:hAnsi="Times New Roman" w:cs="Times New Roman"/>
            <w:sz w:val="20"/>
            <w:szCs w:val="20"/>
          </w:rPr>
          <w:instrText xml:space="preserve"> PAGE   \* MERGEFORMAT </w:instrText>
        </w:r>
        <w:r w:rsidRPr="007E695E">
          <w:rPr>
            <w:rFonts w:ascii="Times New Roman" w:hAnsi="Times New Roman" w:cs="Times New Roman"/>
            <w:sz w:val="20"/>
            <w:szCs w:val="20"/>
          </w:rPr>
          <w:fldChar w:fldCharType="separate"/>
        </w:r>
        <w:r w:rsidR="00602D24">
          <w:rPr>
            <w:rFonts w:ascii="Times New Roman" w:hAnsi="Times New Roman" w:cs="Times New Roman"/>
            <w:noProof/>
            <w:sz w:val="20"/>
            <w:szCs w:val="20"/>
          </w:rPr>
          <w:t>16</w:t>
        </w:r>
        <w:r w:rsidRPr="007E695E">
          <w:rPr>
            <w:rFonts w:ascii="Times New Roman" w:hAnsi="Times New Roman" w:cs="Times New Roman"/>
            <w:noProof/>
            <w:sz w:val="20"/>
            <w:szCs w:val="20"/>
          </w:rPr>
          <w:fldChar w:fldCharType="end"/>
        </w:r>
      </w:p>
    </w:sdtContent>
  </w:sdt>
  <w:p w14:paraId="09D071B9" w14:textId="77777777"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C2F65" w14:textId="77777777" w:rsidR="002D669B" w:rsidRDefault="002D669B" w:rsidP="006A68E2">
      <w:r>
        <w:separator/>
      </w:r>
    </w:p>
  </w:footnote>
  <w:footnote w:type="continuationSeparator" w:id="0">
    <w:p w14:paraId="2C4ECC4E" w14:textId="77777777" w:rsidR="002D669B" w:rsidRDefault="002D669B" w:rsidP="006A68E2">
      <w:r>
        <w:continuationSeparator/>
      </w:r>
    </w:p>
  </w:footnote>
  <w:footnote w:id="1">
    <w:p w14:paraId="0588391B" w14:textId="7222493E" w:rsidR="00CD5552" w:rsidRPr="00DA7E42" w:rsidRDefault="00CD5552">
      <w:pPr>
        <w:pStyle w:val="FootnoteText"/>
        <w:rPr>
          <w:rFonts w:ascii="Times New Roman" w:hAnsi="Times New Roman" w:cs="Times New Roman"/>
          <w:lang w:val="en-US"/>
        </w:rPr>
      </w:pPr>
      <w:r w:rsidRPr="00CD5552">
        <w:rPr>
          <w:rStyle w:val="FootnoteReference"/>
          <w:rFonts w:ascii="Times New Roman" w:hAnsi="Times New Roman" w:cs="Times New Roman"/>
        </w:rPr>
        <w:footnoteRef/>
      </w:r>
      <w:r w:rsidRPr="00DA7E42">
        <w:rPr>
          <w:rFonts w:ascii="Times New Roman" w:hAnsi="Times New Roman" w:cs="Times New Roman"/>
          <w:lang w:val="en-US"/>
        </w:rPr>
        <w:t xml:space="preserve"> “</w:t>
      </w:r>
      <w:r w:rsidR="00DA7E42" w:rsidRPr="00DA7E42">
        <w:rPr>
          <w:rFonts w:ascii="Times New Roman" w:hAnsi="Times New Roman" w:cs="Times New Roman"/>
          <w:lang w:val="en-US"/>
        </w:rPr>
        <w:t xml:space="preserve">Obligations are discharged by </w:t>
      </w:r>
      <w:r w:rsidR="00DA7E42">
        <w:rPr>
          <w:rFonts w:ascii="Times New Roman" w:hAnsi="Times New Roman" w:cs="Times New Roman"/>
          <w:sz w:val="24"/>
          <w:szCs w:val="24"/>
        </w:rPr>
        <w:t>—</w:t>
      </w:r>
      <w:r w:rsidR="00DA7E42" w:rsidRPr="00882EAA">
        <w:rPr>
          <w:rFonts w:ascii="Times New Roman" w:hAnsi="Times New Roman" w:cs="Times New Roman"/>
          <w:sz w:val="24"/>
          <w:szCs w:val="24"/>
        </w:rPr>
        <w:t xml:space="preserve"> </w:t>
      </w:r>
      <w:r w:rsidR="00DA7E42" w:rsidRPr="00DA7E42">
        <w:rPr>
          <w:rFonts w:ascii="Times New Roman" w:hAnsi="Times New Roman" w:cs="Times New Roman"/>
          <w:lang w:val="en-US"/>
        </w:rPr>
        <w:t>(g</w:t>
      </w:r>
      <w:r w:rsidR="00DA7E42">
        <w:rPr>
          <w:rFonts w:ascii="Times New Roman" w:hAnsi="Times New Roman" w:cs="Times New Roman"/>
          <w:lang w:val="en-US"/>
        </w:rPr>
        <w:t>) nullity or rescission;”</w:t>
      </w:r>
    </w:p>
  </w:footnote>
  <w:footnote w:id="2">
    <w:p w14:paraId="67AE83BF" w14:textId="2CA3F823" w:rsidR="00882EAA" w:rsidRPr="00A055B9" w:rsidRDefault="00882EAA">
      <w:pPr>
        <w:pStyle w:val="FootnoteText"/>
        <w:rPr>
          <w:rFonts w:ascii="Times New Roman" w:hAnsi="Times New Roman" w:cs="Times New Roman"/>
          <w:sz w:val="18"/>
          <w:szCs w:val="18"/>
          <w:lang w:val="fr-FR"/>
        </w:rPr>
      </w:pPr>
      <w:r w:rsidRPr="00A055B9">
        <w:rPr>
          <w:rStyle w:val="FootnoteReference"/>
          <w:rFonts w:ascii="Times New Roman" w:hAnsi="Times New Roman" w:cs="Times New Roman"/>
          <w:sz w:val="18"/>
          <w:szCs w:val="18"/>
        </w:rPr>
        <w:footnoteRef/>
      </w:r>
      <w:r w:rsidRPr="00A055B9">
        <w:rPr>
          <w:rFonts w:ascii="Times New Roman" w:hAnsi="Times New Roman" w:cs="Times New Roman"/>
          <w:sz w:val="18"/>
          <w:szCs w:val="18"/>
          <w:lang w:val="fr-FR"/>
        </w:rPr>
        <w:t xml:space="preserve"> </w:t>
      </w:r>
      <w:r w:rsidRPr="00A055B9">
        <w:rPr>
          <w:rFonts w:ascii="Times New Roman" w:eastAsia="Times New Roman" w:hAnsi="Times New Roman" w:cs="Times New Roman"/>
          <w:sz w:val="18"/>
          <w:szCs w:val="18"/>
          <w:lang w:val="fr-FR" w:eastAsia="en-GB"/>
        </w:rPr>
        <w:t xml:space="preserve">4e </w:t>
      </w:r>
      <w:r w:rsidR="00A055B9" w:rsidRPr="00A055B9">
        <w:rPr>
          <w:rFonts w:ascii="Times New Roman" w:eastAsia="Times New Roman" w:hAnsi="Times New Roman" w:cs="Times New Roman"/>
          <w:sz w:val="18"/>
          <w:szCs w:val="18"/>
          <w:lang w:val="fr-FR" w:eastAsia="en-GB"/>
        </w:rPr>
        <w:t>Édition</w:t>
      </w:r>
      <w:r w:rsidRPr="00A055B9">
        <w:rPr>
          <w:rFonts w:ascii="Times New Roman" w:eastAsia="Times New Roman" w:hAnsi="Times New Roman" w:cs="Times New Roman"/>
          <w:sz w:val="18"/>
          <w:szCs w:val="18"/>
          <w:lang w:val="fr-FR" w:eastAsia="en-GB"/>
        </w:rPr>
        <w:t xml:space="preserve">, </w:t>
      </w:r>
      <w:r w:rsidR="00A055B9" w:rsidRPr="00A055B9">
        <w:rPr>
          <w:rFonts w:ascii="Times New Roman" w:eastAsia="Times New Roman" w:hAnsi="Times New Roman" w:cs="Times New Roman"/>
          <w:sz w:val="18"/>
          <w:szCs w:val="18"/>
          <w:lang w:val="fr-FR" w:eastAsia="en-GB"/>
        </w:rPr>
        <w:t>Deuxième</w:t>
      </w:r>
      <w:r w:rsidRPr="00A055B9">
        <w:rPr>
          <w:rFonts w:ascii="Times New Roman" w:eastAsia="Times New Roman" w:hAnsi="Times New Roman" w:cs="Times New Roman"/>
          <w:sz w:val="18"/>
          <w:szCs w:val="18"/>
          <w:lang w:val="fr-FR" w:eastAsia="en-GB"/>
        </w:rPr>
        <w:t xml:space="preserve"> </w:t>
      </w:r>
      <w:r w:rsidR="00A055B9" w:rsidRPr="00A055B9">
        <w:rPr>
          <w:rFonts w:ascii="Times New Roman" w:eastAsia="Times New Roman" w:hAnsi="Times New Roman" w:cs="Times New Roman"/>
          <w:sz w:val="18"/>
          <w:szCs w:val="18"/>
          <w:lang w:val="fr-FR" w:eastAsia="en-GB"/>
        </w:rPr>
        <w:t>année</w:t>
      </w:r>
      <w:r w:rsidRPr="00A055B9">
        <w:rPr>
          <w:rFonts w:ascii="Times New Roman" w:eastAsia="Times New Roman" w:hAnsi="Times New Roman" w:cs="Times New Roman"/>
          <w:sz w:val="18"/>
          <w:szCs w:val="18"/>
          <w:lang w:val="fr-FR" w:eastAsia="en-GB"/>
        </w:rPr>
        <w:t xml:space="preserve"> </w:t>
      </w:r>
      <w:r w:rsidR="00DA7E42">
        <w:rPr>
          <w:rFonts w:ascii="Times New Roman" w:eastAsia="Times New Roman" w:hAnsi="Times New Roman" w:cs="Times New Roman"/>
          <w:sz w:val="18"/>
          <w:szCs w:val="18"/>
          <w:lang w:val="fr-FR" w:eastAsia="en-GB"/>
        </w:rPr>
        <w:t>– MASSON Paris Barcelone Milan Bonn 1991</w:t>
      </w:r>
    </w:p>
  </w:footnote>
  <w:footnote w:id="3">
    <w:p w14:paraId="4BC68DB1" w14:textId="5C832A68" w:rsidR="00A055B9" w:rsidRPr="00A7567E" w:rsidRDefault="00A055B9">
      <w:pPr>
        <w:pStyle w:val="FootnoteText"/>
        <w:rPr>
          <w:rFonts w:ascii="Times New Roman" w:hAnsi="Times New Roman" w:cs="Times New Roman"/>
          <w:sz w:val="18"/>
          <w:szCs w:val="18"/>
          <w:lang w:val="fr-FR"/>
        </w:rPr>
      </w:pPr>
      <w:r w:rsidRPr="00A055B9">
        <w:rPr>
          <w:rStyle w:val="FootnoteReference"/>
          <w:rFonts w:ascii="Times New Roman" w:hAnsi="Times New Roman" w:cs="Times New Roman"/>
          <w:sz w:val="18"/>
          <w:szCs w:val="18"/>
        </w:rPr>
        <w:footnoteRef/>
      </w:r>
      <w:r w:rsidRPr="00A7567E">
        <w:rPr>
          <w:rFonts w:ascii="Times New Roman" w:hAnsi="Times New Roman" w:cs="Times New Roman"/>
          <w:sz w:val="18"/>
          <w:szCs w:val="18"/>
          <w:lang w:val="fr-FR"/>
        </w:rPr>
        <w:t xml:space="preserve"> </w:t>
      </w:r>
      <w:r w:rsidR="001F6D28" w:rsidRPr="00A7567E">
        <w:rPr>
          <w:rFonts w:ascii="Times New Roman" w:hAnsi="Times New Roman" w:cs="Times New Roman"/>
          <w:sz w:val="18"/>
          <w:szCs w:val="18"/>
          <w:lang w:val="fr-FR"/>
        </w:rPr>
        <w:t>Ibid.</w:t>
      </w:r>
      <w:r w:rsidRPr="00A7567E">
        <w:rPr>
          <w:rFonts w:ascii="Times New Roman" w:hAnsi="Times New Roman" w:cs="Times New Roman"/>
          <w:sz w:val="18"/>
          <w:szCs w:val="18"/>
          <w:lang w:val="fr-FR"/>
        </w:rPr>
        <w:t>, p.93</w:t>
      </w:r>
    </w:p>
  </w:footnote>
  <w:footnote w:id="4">
    <w:p w14:paraId="5959E626" w14:textId="4FF4562F" w:rsidR="00A055B9" w:rsidRPr="00882EAA" w:rsidRDefault="00A055B9" w:rsidP="00A055B9">
      <w:pPr>
        <w:pStyle w:val="FootnoteText"/>
        <w:rPr>
          <w:lang w:val="en-US"/>
        </w:rPr>
      </w:pPr>
      <w:r w:rsidRPr="00A055B9">
        <w:rPr>
          <w:rStyle w:val="FootnoteReference"/>
          <w:rFonts w:ascii="Times New Roman" w:hAnsi="Times New Roman" w:cs="Times New Roman"/>
          <w:sz w:val="18"/>
          <w:szCs w:val="18"/>
        </w:rPr>
        <w:footnoteRef/>
      </w:r>
      <w:r w:rsidRPr="00A055B9">
        <w:rPr>
          <w:rFonts w:ascii="Times New Roman" w:hAnsi="Times New Roman" w:cs="Times New Roman"/>
          <w:sz w:val="18"/>
          <w:szCs w:val="18"/>
        </w:rPr>
        <w:t xml:space="preserve"> </w:t>
      </w:r>
      <w:r>
        <w:rPr>
          <w:rFonts w:ascii="Times New Roman" w:hAnsi="Times New Roman" w:cs="Times New Roman"/>
          <w:sz w:val="18"/>
          <w:szCs w:val="18"/>
        </w:rPr>
        <w:t xml:space="preserve">Ibid, </w:t>
      </w:r>
      <w:r w:rsidR="00DA7E42" w:rsidRPr="00A055B9">
        <w:rPr>
          <w:rFonts w:ascii="Times New Roman" w:hAnsi="Times New Roman" w:cs="Times New Roman"/>
          <w:sz w:val="18"/>
          <w:szCs w:val="18"/>
          <w:lang w:val="en-US"/>
        </w:rPr>
        <w:t>no</w:t>
      </w:r>
      <w:r w:rsidR="00DA7E42">
        <w:rPr>
          <w:rFonts w:ascii="Times New Roman" w:hAnsi="Times New Roman" w:cs="Times New Roman"/>
          <w:sz w:val="18"/>
          <w:szCs w:val="18"/>
          <w:lang w:val="en-US"/>
        </w:rPr>
        <w:t>s</w:t>
      </w:r>
      <w:r w:rsidR="00DA7E42" w:rsidRPr="00A055B9">
        <w:rPr>
          <w:rFonts w:ascii="Times New Roman" w:hAnsi="Times New Roman" w:cs="Times New Roman"/>
          <w:sz w:val="18"/>
          <w:szCs w:val="18"/>
          <w:lang w:val="en-US"/>
        </w:rPr>
        <w:t>.168-169</w:t>
      </w:r>
      <w:r w:rsidR="00DA7E42">
        <w:rPr>
          <w:rFonts w:ascii="Times New Roman" w:hAnsi="Times New Roman" w:cs="Times New Roman"/>
          <w:sz w:val="18"/>
          <w:szCs w:val="18"/>
          <w:lang w:val="en-US"/>
        </w:rPr>
        <w:t>, pp.85-86</w:t>
      </w:r>
      <w:r w:rsidRPr="00A055B9">
        <w:rPr>
          <w:rFonts w:ascii="Times New Roman" w:hAnsi="Times New Roman" w:cs="Times New Roman"/>
          <w:sz w:val="18"/>
          <w:szCs w:val="18"/>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39B4"/>
    <w:multiLevelType w:val="hybridMultilevel"/>
    <w:tmpl w:val="044E6594"/>
    <w:lvl w:ilvl="0" w:tplc="4E1C1C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C19BF"/>
    <w:multiLevelType w:val="hybridMultilevel"/>
    <w:tmpl w:val="638C555C"/>
    <w:lvl w:ilvl="0" w:tplc="FFFFFFFF">
      <w:start w:val="1"/>
      <w:numFmt w:val="lowerRoman"/>
      <w:lvlText w:val="(%1)"/>
      <w:lvlJc w:val="left"/>
      <w:pPr>
        <w:ind w:left="1890" w:hanging="720"/>
      </w:pPr>
      <w:rPr>
        <w:rFonts w:hint="default"/>
        <w:i/>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56188D"/>
    <w:multiLevelType w:val="hybridMultilevel"/>
    <w:tmpl w:val="66FA11A4"/>
    <w:lvl w:ilvl="0" w:tplc="414677CA">
      <w:start w:val="1"/>
      <w:numFmt w:val="lowerRoman"/>
      <w:lvlText w:val="(%1)"/>
      <w:lvlJc w:val="left"/>
      <w:pPr>
        <w:ind w:left="1494" w:hanging="360"/>
      </w:pPr>
      <w:rPr>
        <w:rFonts w:hint="default"/>
        <w:b w:val="0"/>
        <w:bCs w:val="0"/>
        <w:lang w:val="en-G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24714712"/>
    <w:multiLevelType w:val="multilevel"/>
    <w:tmpl w:val="9C0C15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7542D2"/>
    <w:multiLevelType w:val="multilevel"/>
    <w:tmpl w:val="1CC89892"/>
    <w:numStyleLink w:val="Judgments"/>
  </w:abstractNum>
  <w:abstractNum w:abstractNumId="8"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15:restartNumberingAfterBreak="0">
    <w:nsid w:val="359E3089"/>
    <w:multiLevelType w:val="hybridMultilevel"/>
    <w:tmpl w:val="638C555C"/>
    <w:lvl w:ilvl="0" w:tplc="FFFFFFFF">
      <w:start w:val="1"/>
      <w:numFmt w:val="lowerRoman"/>
      <w:lvlText w:val="(%1)"/>
      <w:lvlJc w:val="left"/>
      <w:pPr>
        <w:ind w:left="1288" w:hanging="720"/>
      </w:pPr>
      <w:rPr>
        <w:rFonts w:hint="default"/>
        <w:i/>
      </w:rPr>
    </w:lvl>
    <w:lvl w:ilvl="1" w:tplc="FFFFFFFF">
      <w:start w:val="1"/>
      <w:numFmt w:val="lowerLetter"/>
      <w:lvlText w:val="%2."/>
      <w:lvlJc w:val="left"/>
      <w:pPr>
        <w:ind w:left="1558" w:hanging="360"/>
      </w:pPr>
    </w:lvl>
    <w:lvl w:ilvl="2" w:tplc="FFFFFFFF" w:tentative="1">
      <w:start w:val="1"/>
      <w:numFmt w:val="lowerRoman"/>
      <w:lvlText w:val="%3."/>
      <w:lvlJc w:val="right"/>
      <w:pPr>
        <w:ind w:left="2278" w:hanging="180"/>
      </w:pPr>
    </w:lvl>
    <w:lvl w:ilvl="3" w:tplc="FFFFFFFF" w:tentative="1">
      <w:start w:val="1"/>
      <w:numFmt w:val="decimal"/>
      <w:lvlText w:val="%4."/>
      <w:lvlJc w:val="left"/>
      <w:pPr>
        <w:ind w:left="2998" w:hanging="360"/>
      </w:pPr>
    </w:lvl>
    <w:lvl w:ilvl="4" w:tplc="FFFFFFFF" w:tentative="1">
      <w:start w:val="1"/>
      <w:numFmt w:val="lowerLetter"/>
      <w:lvlText w:val="%5."/>
      <w:lvlJc w:val="left"/>
      <w:pPr>
        <w:ind w:left="3718" w:hanging="360"/>
      </w:pPr>
    </w:lvl>
    <w:lvl w:ilvl="5" w:tplc="FFFFFFFF" w:tentative="1">
      <w:start w:val="1"/>
      <w:numFmt w:val="lowerRoman"/>
      <w:lvlText w:val="%6."/>
      <w:lvlJc w:val="right"/>
      <w:pPr>
        <w:ind w:left="4438" w:hanging="180"/>
      </w:pPr>
    </w:lvl>
    <w:lvl w:ilvl="6" w:tplc="FFFFFFFF" w:tentative="1">
      <w:start w:val="1"/>
      <w:numFmt w:val="decimal"/>
      <w:lvlText w:val="%7."/>
      <w:lvlJc w:val="left"/>
      <w:pPr>
        <w:ind w:left="5158" w:hanging="360"/>
      </w:pPr>
    </w:lvl>
    <w:lvl w:ilvl="7" w:tplc="FFFFFFFF" w:tentative="1">
      <w:start w:val="1"/>
      <w:numFmt w:val="lowerLetter"/>
      <w:lvlText w:val="%8."/>
      <w:lvlJc w:val="left"/>
      <w:pPr>
        <w:ind w:left="5878" w:hanging="360"/>
      </w:pPr>
    </w:lvl>
    <w:lvl w:ilvl="8" w:tplc="FFFFFFFF" w:tentative="1">
      <w:start w:val="1"/>
      <w:numFmt w:val="lowerRoman"/>
      <w:lvlText w:val="%9."/>
      <w:lvlJc w:val="right"/>
      <w:pPr>
        <w:ind w:left="6598" w:hanging="180"/>
      </w:pPr>
    </w:lvl>
  </w:abstractNum>
  <w:abstractNum w:abstractNumId="10" w15:restartNumberingAfterBreak="0">
    <w:nsid w:val="36E535BB"/>
    <w:multiLevelType w:val="hybridMultilevel"/>
    <w:tmpl w:val="638C555C"/>
    <w:lvl w:ilvl="0" w:tplc="82F09E38">
      <w:start w:val="1"/>
      <w:numFmt w:val="lowerRoman"/>
      <w:lvlText w:val="(%1)"/>
      <w:lvlJc w:val="left"/>
      <w:pPr>
        <w:ind w:left="1890" w:hanging="720"/>
      </w:pPr>
      <w:rPr>
        <w:rFonts w:hint="default"/>
        <w:i/>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F0A41"/>
    <w:multiLevelType w:val="hybridMultilevel"/>
    <w:tmpl w:val="5FE099D8"/>
    <w:lvl w:ilvl="0" w:tplc="FFFFFFFF">
      <w:start w:val="1"/>
      <w:numFmt w:val="lowerRoman"/>
      <w:lvlText w:val="(%1)"/>
      <w:lvlJc w:val="left"/>
      <w:pPr>
        <w:ind w:left="1890" w:hanging="720"/>
      </w:pPr>
      <w:rPr>
        <w:rFonts w:hint="default"/>
        <w:i/>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44330D34"/>
    <w:multiLevelType w:val="hybridMultilevel"/>
    <w:tmpl w:val="34180670"/>
    <w:lvl w:ilvl="0" w:tplc="D8C0E858">
      <w:start w:val="1"/>
      <w:numFmt w:val="decimal"/>
      <w:lvlText w:val="[%1.]"/>
      <w:lvlJc w:val="left"/>
      <w:pPr>
        <w:ind w:left="502" w:hanging="360"/>
      </w:pPr>
      <w:rPr>
        <w:rFonts w:hint="default"/>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BA4B11"/>
    <w:multiLevelType w:val="hybridMultilevel"/>
    <w:tmpl w:val="0B88DD12"/>
    <w:lvl w:ilvl="0" w:tplc="C706A88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97702B"/>
    <w:multiLevelType w:val="hybridMultilevel"/>
    <w:tmpl w:val="4104B472"/>
    <w:lvl w:ilvl="0" w:tplc="241219F2">
      <w:start w:val="1"/>
      <w:numFmt w:val="lowerLetter"/>
      <w:lvlText w:val="%1."/>
      <w:lvlJc w:val="left"/>
      <w:pPr>
        <w:ind w:left="2520" w:hanging="360"/>
      </w:pPr>
      <w:rPr>
        <w:rFonts w:hint="default"/>
        <w: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53F2373F"/>
    <w:multiLevelType w:val="hybridMultilevel"/>
    <w:tmpl w:val="BAE22092"/>
    <w:lvl w:ilvl="0" w:tplc="084C86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FDF34D0"/>
    <w:multiLevelType w:val="hybridMultilevel"/>
    <w:tmpl w:val="E7CE8EAC"/>
    <w:lvl w:ilvl="0" w:tplc="00ECAC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BE2D02"/>
    <w:multiLevelType w:val="hybridMultilevel"/>
    <w:tmpl w:val="0AF25AC8"/>
    <w:lvl w:ilvl="0" w:tplc="D13A1A02">
      <w:start w:val="4"/>
      <w:numFmt w:val="bullet"/>
      <w:lvlText w:val="-"/>
      <w:lvlJc w:val="left"/>
      <w:pPr>
        <w:ind w:left="1080" w:hanging="360"/>
      </w:pPr>
      <w:rPr>
        <w:rFonts w:ascii="Times New Roman" w:eastAsia="Times New Roman" w:hAnsi="Times New Roman" w:cs="Times New Roman" w:hint="default"/>
        <w:i/>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4F714E0"/>
    <w:multiLevelType w:val="hybridMultilevel"/>
    <w:tmpl w:val="05C0E262"/>
    <w:lvl w:ilvl="0" w:tplc="5C9A06FA">
      <w:start w:val="1"/>
      <w:numFmt w:val="lowerRoman"/>
      <w:lvlText w:val="(%1)"/>
      <w:lvlJc w:val="left"/>
      <w:pPr>
        <w:ind w:left="1854" w:hanging="720"/>
      </w:pPr>
      <w:rPr>
        <w:rFonts w:hint="default"/>
        <w:i/>
        <w:iCs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AED57FE"/>
    <w:multiLevelType w:val="hybridMultilevel"/>
    <w:tmpl w:val="FE408430"/>
    <w:lvl w:ilvl="0" w:tplc="89CCEB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383012"/>
    <w:multiLevelType w:val="hybridMultilevel"/>
    <w:tmpl w:val="9AB45F4C"/>
    <w:lvl w:ilvl="0" w:tplc="1332AD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DE6406"/>
    <w:multiLevelType w:val="hybridMultilevel"/>
    <w:tmpl w:val="5D2481BA"/>
    <w:lvl w:ilvl="0" w:tplc="859AF8B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7F50704C"/>
    <w:multiLevelType w:val="hybridMultilevel"/>
    <w:tmpl w:val="9280B546"/>
    <w:lvl w:ilvl="0" w:tplc="A0E894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12"/>
  </w:num>
  <w:num w:numId="4">
    <w:abstractNumId w:val="8"/>
  </w:num>
  <w:num w:numId="5">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3"/>
  </w:num>
  <w:num w:numId="7">
    <w:abstractNumId w:val="5"/>
  </w:num>
  <w:num w:numId="8">
    <w:abstractNumId w:val="15"/>
  </w:num>
  <w:num w:numId="9">
    <w:abstractNumId w:val="2"/>
  </w:num>
  <w:num w:numId="10">
    <w:abstractNumId w:val="15"/>
  </w:num>
  <w:num w:numId="11">
    <w:abstractNumId w:val="15"/>
  </w:num>
  <w:num w:numId="12">
    <w:abstractNumId w:val="14"/>
  </w:num>
  <w:num w:numId="13">
    <w:abstractNumId w:val="3"/>
  </w:num>
  <w:num w:numId="14">
    <w:abstractNumId w:val="10"/>
  </w:num>
  <w:num w:numId="15">
    <w:abstractNumId w:val="17"/>
  </w:num>
  <w:num w:numId="16">
    <w:abstractNumId w:val="21"/>
  </w:num>
  <w:num w:numId="17">
    <w:abstractNumId w:val="13"/>
  </w:num>
  <w:num w:numId="18">
    <w:abstractNumId w:val="24"/>
  </w:num>
  <w:num w:numId="19">
    <w:abstractNumId w:val="16"/>
  </w:num>
  <w:num w:numId="20">
    <w:abstractNumId w:val="22"/>
  </w:num>
  <w:num w:numId="21">
    <w:abstractNumId w:val="9"/>
  </w:num>
  <w:num w:numId="22">
    <w:abstractNumId w:val="1"/>
  </w:num>
  <w:num w:numId="23">
    <w:abstractNumId w:val="18"/>
  </w:num>
  <w:num w:numId="24">
    <w:abstractNumId w:val="4"/>
  </w:num>
  <w:num w:numId="25">
    <w:abstractNumId w:val="26"/>
  </w:num>
  <w:num w:numId="26">
    <w:abstractNumId w:val="25"/>
  </w:num>
  <w:num w:numId="27">
    <w:abstractNumId w:val="19"/>
  </w:num>
  <w:num w:numId="28">
    <w:abstractNumId w:val="2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61"/>
    <w:rsid w:val="000033C3"/>
    <w:rsid w:val="000134DD"/>
    <w:rsid w:val="00025CDF"/>
    <w:rsid w:val="00040193"/>
    <w:rsid w:val="00071B84"/>
    <w:rsid w:val="0008560D"/>
    <w:rsid w:val="0009242F"/>
    <w:rsid w:val="00097D19"/>
    <w:rsid w:val="00097D83"/>
    <w:rsid w:val="000A34B9"/>
    <w:rsid w:val="000B7F8E"/>
    <w:rsid w:val="000F5DF1"/>
    <w:rsid w:val="001135C2"/>
    <w:rsid w:val="001362F4"/>
    <w:rsid w:val="001428B9"/>
    <w:rsid w:val="00151733"/>
    <w:rsid w:val="001723B1"/>
    <w:rsid w:val="00174586"/>
    <w:rsid w:val="00175F7C"/>
    <w:rsid w:val="001802B5"/>
    <w:rsid w:val="001816DE"/>
    <w:rsid w:val="001A14C6"/>
    <w:rsid w:val="001A16BA"/>
    <w:rsid w:val="001A3420"/>
    <w:rsid w:val="001A56BB"/>
    <w:rsid w:val="001A7A3A"/>
    <w:rsid w:val="001B1C65"/>
    <w:rsid w:val="001C2D89"/>
    <w:rsid w:val="001C78EC"/>
    <w:rsid w:val="001D33D2"/>
    <w:rsid w:val="001F6D28"/>
    <w:rsid w:val="002015F8"/>
    <w:rsid w:val="00212006"/>
    <w:rsid w:val="0021402A"/>
    <w:rsid w:val="00214DB4"/>
    <w:rsid w:val="002261D5"/>
    <w:rsid w:val="00235626"/>
    <w:rsid w:val="00243AE1"/>
    <w:rsid w:val="00246F35"/>
    <w:rsid w:val="002541E9"/>
    <w:rsid w:val="00277073"/>
    <w:rsid w:val="002958D6"/>
    <w:rsid w:val="002B2FCF"/>
    <w:rsid w:val="002B5161"/>
    <w:rsid w:val="002C3F70"/>
    <w:rsid w:val="002D2AA5"/>
    <w:rsid w:val="002D4EB8"/>
    <w:rsid w:val="002D669B"/>
    <w:rsid w:val="002E2AE3"/>
    <w:rsid w:val="0030249C"/>
    <w:rsid w:val="003137B8"/>
    <w:rsid w:val="00344425"/>
    <w:rsid w:val="00346D7F"/>
    <w:rsid w:val="003500DA"/>
    <w:rsid w:val="00354B12"/>
    <w:rsid w:val="003571E7"/>
    <w:rsid w:val="003615E7"/>
    <w:rsid w:val="003619C4"/>
    <w:rsid w:val="00377371"/>
    <w:rsid w:val="00380619"/>
    <w:rsid w:val="00396101"/>
    <w:rsid w:val="003A43BF"/>
    <w:rsid w:val="003A6C9E"/>
    <w:rsid w:val="003D0008"/>
    <w:rsid w:val="003E104F"/>
    <w:rsid w:val="003E2E94"/>
    <w:rsid w:val="0040063C"/>
    <w:rsid w:val="00402A01"/>
    <w:rsid w:val="00403F4C"/>
    <w:rsid w:val="00405958"/>
    <w:rsid w:val="00406F7A"/>
    <w:rsid w:val="00412994"/>
    <w:rsid w:val="00413E52"/>
    <w:rsid w:val="00433F30"/>
    <w:rsid w:val="00443269"/>
    <w:rsid w:val="00456F6A"/>
    <w:rsid w:val="00463B4E"/>
    <w:rsid w:val="0046691F"/>
    <w:rsid w:val="00467C42"/>
    <w:rsid w:val="00472219"/>
    <w:rsid w:val="00472AAD"/>
    <w:rsid w:val="00473C71"/>
    <w:rsid w:val="004819AF"/>
    <w:rsid w:val="004A0FF8"/>
    <w:rsid w:val="004A2599"/>
    <w:rsid w:val="004B3E88"/>
    <w:rsid w:val="004C16E0"/>
    <w:rsid w:val="004E71C2"/>
    <w:rsid w:val="004F38E7"/>
    <w:rsid w:val="005329F4"/>
    <w:rsid w:val="00543C1A"/>
    <w:rsid w:val="00570915"/>
    <w:rsid w:val="005761A8"/>
    <w:rsid w:val="005857C8"/>
    <w:rsid w:val="005A04DA"/>
    <w:rsid w:val="005A5FCB"/>
    <w:rsid w:val="005B12AA"/>
    <w:rsid w:val="005D38D9"/>
    <w:rsid w:val="005E05E7"/>
    <w:rsid w:val="005E5A78"/>
    <w:rsid w:val="005E7CCF"/>
    <w:rsid w:val="005F500B"/>
    <w:rsid w:val="00602D24"/>
    <w:rsid w:val="006125AF"/>
    <w:rsid w:val="0061354A"/>
    <w:rsid w:val="00615529"/>
    <w:rsid w:val="00620326"/>
    <w:rsid w:val="00630514"/>
    <w:rsid w:val="00635504"/>
    <w:rsid w:val="00652326"/>
    <w:rsid w:val="0065725A"/>
    <w:rsid w:val="00662A7B"/>
    <w:rsid w:val="00662CEA"/>
    <w:rsid w:val="0067015E"/>
    <w:rsid w:val="00677410"/>
    <w:rsid w:val="0068113B"/>
    <w:rsid w:val="00682F0A"/>
    <w:rsid w:val="006A236B"/>
    <w:rsid w:val="006A3284"/>
    <w:rsid w:val="006A68E2"/>
    <w:rsid w:val="006C2E15"/>
    <w:rsid w:val="006C4233"/>
    <w:rsid w:val="006D49BC"/>
    <w:rsid w:val="006E6BA1"/>
    <w:rsid w:val="0070371E"/>
    <w:rsid w:val="00722761"/>
    <w:rsid w:val="00745492"/>
    <w:rsid w:val="00760ACC"/>
    <w:rsid w:val="007964DD"/>
    <w:rsid w:val="00796B89"/>
    <w:rsid w:val="007C34C2"/>
    <w:rsid w:val="007D25FE"/>
    <w:rsid w:val="007E3566"/>
    <w:rsid w:val="007E695E"/>
    <w:rsid w:val="007F1334"/>
    <w:rsid w:val="007F2A93"/>
    <w:rsid w:val="007F7299"/>
    <w:rsid w:val="008001C8"/>
    <w:rsid w:val="00810357"/>
    <w:rsid w:val="008108F2"/>
    <w:rsid w:val="0081655F"/>
    <w:rsid w:val="00816EC4"/>
    <w:rsid w:val="008310FF"/>
    <w:rsid w:val="008577B7"/>
    <w:rsid w:val="00860D1C"/>
    <w:rsid w:val="0086257D"/>
    <w:rsid w:val="00882EAA"/>
    <w:rsid w:val="00893398"/>
    <w:rsid w:val="00897D60"/>
    <w:rsid w:val="008A7AF4"/>
    <w:rsid w:val="008B787E"/>
    <w:rsid w:val="008C4FCD"/>
    <w:rsid w:val="008E0780"/>
    <w:rsid w:val="008E48AA"/>
    <w:rsid w:val="008E771B"/>
    <w:rsid w:val="008F7991"/>
    <w:rsid w:val="00911184"/>
    <w:rsid w:val="00911B9A"/>
    <w:rsid w:val="00920A60"/>
    <w:rsid w:val="00925006"/>
    <w:rsid w:val="0093646E"/>
    <w:rsid w:val="009458FB"/>
    <w:rsid w:val="009539C2"/>
    <w:rsid w:val="00957D70"/>
    <w:rsid w:val="0096283E"/>
    <w:rsid w:val="0098497A"/>
    <w:rsid w:val="009865B5"/>
    <w:rsid w:val="009877D9"/>
    <w:rsid w:val="009A3DFB"/>
    <w:rsid w:val="009A769C"/>
    <w:rsid w:val="009B495E"/>
    <w:rsid w:val="009C2837"/>
    <w:rsid w:val="009E3127"/>
    <w:rsid w:val="009E5E33"/>
    <w:rsid w:val="009F125D"/>
    <w:rsid w:val="00A055B9"/>
    <w:rsid w:val="00A2058F"/>
    <w:rsid w:val="00A26DB7"/>
    <w:rsid w:val="00A5300E"/>
    <w:rsid w:val="00A60880"/>
    <w:rsid w:val="00A7567E"/>
    <w:rsid w:val="00AA05B8"/>
    <w:rsid w:val="00AA3561"/>
    <w:rsid w:val="00AB754B"/>
    <w:rsid w:val="00AC66D8"/>
    <w:rsid w:val="00AC6E73"/>
    <w:rsid w:val="00AE1DC1"/>
    <w:rsid w:val="00B03209"/>
    <w:rsid w:val="00B20758"/>
    <w:rsid w:val="00B51107"/>
    <w:rsid w:val="00B5285D"/>
    <w:rsid w:val="00B53070"/>
    <w:rsid w:val="00B80797"/>
    <w:rsid w:val="00B91FD0"/>
    <w:rsid w:val="00B950DF"/>
    <w:rsid w:val="00BB1A3E"/>
    <w:rsid w:val="00BC0201"/>
    <w:rsid w:val="00BC73B1"/>
    <w:rsid w:val="00BD616B"/>
    <w:rsid w:val="00C00EC9"/>
    <w:rsid w:val="00C0317F"/>
    <w:rsid w:val="00C2181D"/>
    <w:rsid w:val="00C228AA"/>
    <w:rsid w:val="00C2466E"/>
    <w:rsid w:val="00C4344C"/>
    <w:rsid w:val="00C4778C"/>
    <w:rsid w:val="00C56303"/>
    <w:rsid w:val="00C61025"/>
    <w:rsid w:val="00C73425"/>
    <w:rsid w:val="00C81B10"/>
    <w:rsid w:val="00C82705"/>
    <w:rsid w:val="00C8509C"/>
    <w:rsid w:val="00C90554"/>
    <w:rsid w:val="00C9343B"/>
    <w:rsid w:val="00CC0249"/>
    <w:rsid w:val="00CC437E"/>
    <w:rsid w:val="00CC4F63"/>
    <w:rsid w:val="00CD09C7"/>
    <w:rsid w:val="00CD5552"/>
    <w:rsid w:val="00CE4A28"/>
    <w:rsid w:val="00D31F1B"/>
    <w:rsid w:val="00D33DBF"/>
    <w:rsid w:val="00D64DA5"/>
    <w:rsid w:val="00D710E7"/>
    <w:rsid w:val="00D84C2F"/>
    <w:rsid w:val="00D8600D"/>
    <w:rsid w:val="00DA7E42"/>
    <w:rsid w:val="00DB5700"/>
    <w:rsid w:val="00DB6F90"/>
    <w:rsid w:val="00DC7FE1"/>
    <w:rsid w:val="00DD38F3"/>
    <w:rsid w:val="00E0573F"/>
    <w:rsid w:val="00E100BA"/>
    <w:rsid w:val="00E1659A"/>
    <w:rsid w:val="00E30AFD"/>
    <w:rsid w:val="00E446A8"/>
    <w:rsid w:val="00E46350"/>
    <w:rsid w:val="00E464A3"/>
    <w:rsid w:val="00E52BFB"/>
    <w:rsid w:val="00E64739"/>
    <w:rsid w:val="00E8383C"/>
    <w:rsid w:val="00E91C53"/>
    <w:rsid w:val="00EB0890"/>
    <w:rsid w:val="00EB625B"/>
    <w:rsid w:val="00EB66EA"/>
    <w:rsid w:val="00ED0BFC"/>
    <w:rsid w:val="00EE3C01"/>
    <w:rsid w:val="00EF13E2"/>
    <w:rsid w:val="00F24EBC"/>
    <w:rsid w:val="00F25D68"/>
    <w:rsid w:val="00F26AE7"/>
    <w:rsid w:val="00F33B83"/>
    <w:rsid w:val="00F37044"/>
    <w:rsid w:val="00F441AC"/>
    <w:rsid w:val="00F5419B"/>
    <w:rsid w:val="00F55CB1"/>
    <w:rsid w:val="00F63E9A"/>
    <w:rsid w:val="00F81C46"/>
    <w:rsid w:val="00F81E60"/>
    <w:rsid w:val="00F90881"/>
    <w:rsid w:val="00F918C7"/>
    <w:rsid w:val="00F92752"/>
    <w:rsid w:val="00F9657F"/>
    <w:rsid w:val="00FB0291"/>
    <w:rsid w:val="00FC3255"/>
    <w:rsid w:val="00FD49B2"/>
    <w:rsid w:val="00FF6D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8E30"/>
  <w15:docId w15:val="{AAF59406-2620-CA4A-8064-CDFB9878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EAA"/>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57091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spacing w:after="160" w:line="259" w:lineRule="auto"/>
      <w:ind w:left="720"/>
      <w:contextualSpacing/>
    </w:pPr>
    <w:rPr>
      <w:rFonts w:asciiTheme="minorHAnsi" w:eastAsiaTheme="minorHAnsi" w:hAnsiTheme="minorHAnsi" w:cstheme="minorBidi"/>
      <w:sz w:val="22"/>
      <w:szCs w:val="22"/>
      <w:lang w:val="en-GB" w:eastAsia="en-US"/>
    </w:rPr>
  </w:style>
  <w:style w:type="paragraph" w:styleId="BalloonText">
    <w:name w:val="Balloon Text"/>
    <w:basedOn w:val="Normal"/>
    <w:link w:val="BalloonTextChar"/>
    <w:uiPriority w:val="99"/>
    <w:semiHidden/>
    <w:unhideWhenUsed/>
    <w:rsid w:val="00722761"/>
    <w:rPr>
      <w:rFonts w:ascii="Segoe UI" w:eastAsiaTheme="minorHAnsi"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spacing w:after="160" w:line="259" w:lineRule="auto"/>
    </w:pPr>
    <w:rPr>
      <w:rFonts w:eastAsiaTheme="minorHAnsi"/>
      <w:i/>
      <w:lang w:val="en-GB" w:eastAsia="en-US"/>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line="276" w:lineRule="auto"/>
    </w:pPr>
    <w:rPr>
      <w:rFonts w:eastAsiaTheme="minorHAnsi"/>
      <w:b/>
      <w:lang w:val="en-GB" w:eastAsia="en-US"/>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pPr>
    <w:rPr>
      <w:rFonts w:eastAsiaTheme="minorHAnsi"/>
      <w:i/>
      <w:lang w:val="en-GB" w:eastAsia="en-US"/>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FootnoteText">
    <w:name w:val="footnote text"/>
    <w:basedOn w:val="Normal"/>
    <w:link w:val="FootnoteTextChar"/>
    <w:uiPriority w:val="99"/>
    <w:semiHidden/>
    <w:unhideWhenUsed/>
    <w:rsid w:val="00AC6E73"/>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AC6E73"/>
    <w:rPr>
      <w:sz w:val="20"/>
      <w:szCs w:val="20"/>
    </w:rPr>
  </w:style>
  <w:style w:type="character" w:styleId="FootnoteReference">
    <w:name w:val="footnote reference"/>
    <w:basedOn w:val="DefaultParagraphFont"/>
    <w:uiPriority w:val="99"/>
    <w:semiHidden/>
    <w:unhideWhenUsed/>
    <w:rsid w:val="00AC6E73"/>
    <w:rPr>
      <w:vertAlign w:val="superscript"/>
    </w:rPr>
  </w:style>
  <w:style w:type="paragraph" w:styleId="NormalWeb">
    <w:name w:val="Normal (Web)"/>
    <w:basedOn w:val="Normal"/>
    <w:uiPriority w:val="99"/>
    <w:unhideWhenUsed/>
    <w:rsid w:val="00AE1DC1"/>
    <w:pPr>
      <w:spacing w:before="100" w:beforeAutospacing="1" w:after="100" w:afterAutospacing="1"/>
    </w:pPr>
  </w:style>
  <w:style w:type="character" w:customStyle="1" w:styleId="Heading2Char">
    <w:name w:val="Heading 2 Char"/>
    <w:basedOn w:val="DefaultParagraphFont"/>
    <w:link w:val="Heading2"/>
    <w:uiPriority w:val="9"/>
    <w:rsid w:val="00570915"/>
    <w:rPr>
      <w:rFonts w:ascii="Times New Roman" w:eastAsia="Times New Roman" w:hAnsi="Times New Roman" w:cs="Times New Roman"/>
      <w:b/>
      <w:bCs/>
      <w:sz w:val="36"/>
      <w:szCs w:val="36"/>
      <w:lang w:eastAsia="en-GB"/>
    </w:rPr>
  </w:style>
  <w:style w:type="character" w:customStyle="1" w:styleId="akn-p">
    <w:name w:val="akn-p"/>
    <w:basedOn w:val="DefaultParagraphFont"/>
    <w:rsid w:val="00570915"/>
  </w:style>
  <w:style w:type="character" w:customStyle="1" w:styleId="akn-num">
    <w:name w:val="akn-num"/>
    <w:basedOn w:val="DefaultParagraphFont"/>
    <w:rsid w:val="00570915"/>
  </w:style>
  <w:style w:type="paragraph" w:styleId="EndnoteText">
    <w:name w:val="endnote text"/>
    <w:basedOn w:val="Normal"/>
    <w:link w:val="EndnoteTextChar"/>
    <w:uiPriority w:val="99"/>
    <w:semiHidden/>
    <w:unhideWhenUsed/>
    <w:rsid w:val="00882EAA"/>
    <w:rPr>
      <w:sz w:val="20"/>
      <w:szCs w:val="20"/>
    </w:rPr>
  </w:style>
  <w:style w:type="character" w:customStyle="1" w:styleId="EndnoteTextChar">
    <w:name w:val="Endnote Text Char"/>
    <w:basedOn w:val="DefaultParagraphFont"/>
    <w:link w:val="EndnoteText"/>
    <w:uiPriority w:val="99"/>
    <w:semiHidden/>
    <w:rsid w:val="00882EAA"/>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882E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3542">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406735140">
      <w:bodyDiv w:val="1"/>
      <w:marLeft w:val="0"/>
      <w:marRight w:val="0"/>
      <w:marTop w:val="0"/>
      <w:marBottom w:val="0"/>
      <w:divBdr>
        <w:top w:val="none" w:sz="0" w:space="0" w:color="auto"/>
        <w:left w:val="none" w:sz="0" w:space="0" w:color="auto"/>
        <w:bottom w:val="none" w:sz="0" w:space="0" w:color="auto"/>
        <w:right w:val="none" w:sz="0" w:space="0" w:color="auto"/>
      </w:divBdr>
    </w:div>
    <w:div w:id="761949933">
      <w:bodyDiv w:val="1"/>
      <w:marLeft w:val="0"/>
      <w:marRight w:val="0"/>
      <w:marTop w:val="0"/>
      <w:marBottom w:val="0"/>
      <w:divBdr>
        <w:top w:val="none" w:sz="0" w:space="0" w:color="auto"/>
        <w:left w:val="none" w:sz="0" w:space="0" w:color="auto"/>
        <w:bottom w:val="none" w:sz="0" w:space="0" w:color="auto"/>
        <w:right w:val="none" w:sz="0" w:space="0" w:color="auto"/>
      </w:divBdr>
    </w:div>
    <w:div w:id="1110130044">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604337926">
      <w:bodyDiv w:val="1"/>
      <w:marLeft w:val="0"/>
      <w:marRight w:val="0"/>
      <w:marTop w:val="0"/>
      <w:marBottom w:val="0"/>
      <w:divBdr>
        <w:top w:val="none" w:sz="0" w:space="0" w:color="auto"/>
        <w:left w:val="none" w:sz="0" w:space="0" w:color="auto"/>
        <w:bottom w:val="none" w:sz="0" w:space="0" w:color="auto"/>
        <w:right w:val="none" w:sz="0" w:space="0" w:color="auto"/>
      </w:divBdr>
      <w:divsChild>
        <w:div w:id="1125074578">
          <w:marLeft w:val="0"/>
          <w:marRight w:val="0"/>
          <w:marTop w:val="0"/>
          <w:marBottom w:val="0"/>
          <w:divBdr>
            <w:top w:val="none" w:sz="0" w:space="0" w:color="auto"/>
            <w:left w:val="none" w:sz="0" w:space="0" w:color="auto"/>
            <w:bottom w:val="none" w:sz="0" w:space="0" w:color="auto"/>
            <w:right w:val="none" w:sz="0" w:space="0" w:color="auto"/>
          </w:divBdr>
          <w:divsChild>
            <w:div w:id="115956754">
              <w:marLeft w:val="0"/>
              <w:marRight w:val="0"/>
              <w:marTop w:val="0"/>
              <w:marBottom w:val="0"/>
              <w:divBdr>
                <w:top w:val="none" w:sz="0" w:space="0" w:color="auto"/>
                <w:left w:val="none" w:sz="0" w:space="0" w:color="auto"/>
                <w:bottom w:val="none" w:sz="0" w:space="0" w:color="auto"/>
                <w:right w:val="none" w:sz="0" w:space="0" w:color="auto"/>
              </w:divBdr>
              <w:divsChild>
                <w:div w:id="11674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73666">
      <w:bodyDiv w:val="1"/>
      <w:marLeft w:val="0"/>
      <w:marRight w:val="0"/>
      <w:marTop w:val="0"/>
      <w:marBottom w:val="0"/>
      <w:divBdr>
        <w:top w:val="none" w:sz="0" w:space="0" w:color="auto"/>
        <w:left w:val="none" w:sz="0" w:space="0" w:color="auto"/>
        <w:bottom w:val="none" w:sz="0" w:space="0" w:color="auto"/>
        <w:right w:val="none" w:sz="0" w:space="0" w:color="auto"/>
      </w:divBdr>
      <w:divsChild>
        <w:div w:id="1063718472">
          <w:marLeft w:val="0"/>
          <w:marRight w:val="0"/>
          <w:marTop w:val="0"/>
          <w:marBottom w:val="0"/>
          <w:divBdr>
            <w:top w:val="none" w:sz="0" w:space="0" w:color="auto"/>
            <w:left w:val="none" w:sz="0" w:space="0" w:color="auto"/>
            <w:bottom w:val="none" w:sz="0" w:space="0" w:color="auto"/>
            <w:right w:val="none" w:sz="0" w:space="0" w:color="auto"/>
          </w:divBdr>
          <w:divsChild>
            <w:div w:id="1169754554">
              <w:marLeft w:val="0"/>
              <w:marRight w:val="0"/>
              <w:marTop w:val="0"/>
              <w:marBottom w:val="0"/>
              <w:divBdr>
                <w:top w:val="none" w:sz="0" w:space="0" w:color="auto"/>
                <w:left w:val="none" w:sz="0" w:space="0" w:color="auto"/>
                <w:bottom w:val="none" w:sz="0" w:space="0" w:color="auto"/>
                <w:right w:val="none" w:sz="0" w:space="0" w:color="auto"/>
              </w:divBdr>
              <w:divsChild>
                <w:div w:id="204393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C28AA-3F8C-4F7A-9339-DA6C3301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4201</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Noella Dogley</dc:creator>
  <cp:keywords/>
  <dc:description/>
  <cp:lastModifiedBy>Sandra Asba</cp:lastModifiedBy>
  <cp:revision>3</cp:revision>
  <cp:lastPrinted>2023-09-04T09:36:00Z</cp:lastPrinted>
  <dcterms:created xsi:type="dcterms:W3CDTF">2023-09-04T09:32:00Z</dcterms:created>
  <dcterms:modified xsi:type="dcterms:W3CDTF">2023-09-04T09:49:00Z</dcterms:modified>
</cp:coreProperties>
</file>