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4B" w:rsidRPr="004A2599" w:rsidRDefault="00324F4B" w:rsidP="00324F4B">
      <w:pPr>
        <w:tabs>
          <w:tab w:val="left" w:pos="4092"/>
        </w:tabs>
        <w:spacing w:after="0" w:line="240" w:lineRule="auto"/>
        <w:jc w:val="center"/>
        <w:rPr>
          <w:rFonts w:ascii="Times New Roman" w:hAnsi="Times New Roman"/>
          <w:b/>
          <w:sz w:val="24"/>
          <w:szCs w:val="24"/>
        </w:rPr>
      </w:pPr>
      <w:r w:rsidRPr="004A2599">
        <w:rPr>
          <w:rFonts w:ascii="Times New Roman" w:hAnsi="Times New Roman"/>
          <w:b/>
          <w:sz w:val="24"/>
          <w:szCs w:val="24"/>
        </w:rPr>
        <w:t>SUPREME</w:t>
      </w:r>
      <w:r>
        <w:rPr>
          <w:rFonts w:ascii="Times New Roman" w:hAnsi="Times New Roman"/>
          <w:b/>
          <w:sz w:val="24"/>
          <w:szCs w:val="24"/>
        </w:rPr>
        <w:t xml:space="preserve"> </w:t>
      </w:r>
      <w:r w:rsidRPr="004A2599">
        <w:rPr>
          <w:rFonts w:ascii="Times New Roman" w:hAnsi="Times New Roman"/>
          <w:b/>
          <w:sz w:val="24"/>
          <w:szCs w:val="24"/>
        </w:rPr>
        <w:t>COURT OF SEYCHELLES</w:t>
      </w:r>
      <w:r>
        <w:rPr>
          <w:rFonts w:ascii="Times New Roman" w:hAnsi="Times New Roman"/>
          <w:b/>
          <w:sz w:val="24"/>
          <w:szCs w:val="24"/>
        </w:rPr>
        <w:t xml:space="preserve"> </w:t>
      </w:r>
    </w:p>
    <w:p w:rsidR="00324F4B" w:rsidRPr="004A2599" w:rsidRDefault="00324F4B" w:rsidP="00324F4B">
      <w:pPr>
        <w:pBdr>
          <w:bottom w:val="single" w:sz="4" w:space="1" w:color="auto"/>
        </w:pBdr>
        <w:tabs>
          <w:tab w:val="left" w:pos="4092"/>
        </w:tabs>
        <w:spacing w:line="240" w:lineRule="auto"/>
        <w:jc w:val="center"/>
        <w:rPr>
          <w:rFonts w:ascii="Times New Roman" w:hAnsi="Times New Roman"/>
          <w:b/>
          <w:sz w:val="24"/>
          <w:szCs w:val="24"/>
        </w:rPr>
      </w:pPr>
    </w:p>
    <w:p w:rsidR="00324F4B" w:rsidRPr="00380619" w:rsidRDefault="00324F4B" w:rsidP="00324F4B">
      <w:pPr>
        <w:spacing w:after="0" w:line="240" w:lineRule="auto"/>
        <w:ind w:left="5580"/>
        <w:rPr>
          <w:rFonts w:ascii="Times New Roman" w:hAnsi="Times New Roman"/>
          <w:b/>
          <w:sz w:val="24"/>
          <w:szCs w:val="24"/>
          <w:u w:val="single"/>
        </w:rPr>
      </w:pPr>
      <w:r w:rsidRPr="00380619">
        <w:rPr>
          <w:rFonts w:ascii="Times New Roman" w:hAnsi="Times New Roman"/>
          <w:b/>
          <w:sz w:val="24"/>
          <w:szCs w:val="24"/>
          <w:u w:val="single"/>
        </w:rPr>
        <w:t xml:space="preserve">Reportable </w:t>
      </w:r>
    </w:p>
    <w:p w:rsidR="005D6BF7" w:rsidRDefault="005D6BF7" w:rsidP="00324F4B">
      <w:pPr>
        <w:spacing w:after="0" w:line="240" w:lineRule="auto"/>
        <w:ind w:left="5580"/>
        <w:rPr>
          <w:rFonts w:ascii="Times New Roman" w:hAnsi="Times New Roman"/>
          <w:sz w:val="24"/>
          <w:szCs w:val="24"/>
        </w:rPr>
      </w:pPr>
      <w:r>
        <w:rPr>
          <w:rFonts w:ascii="Times New Roman" w:hAnsi="Times New Roman"/>
          <w:sz w:val="24"/>
          <w:szCs w:val="24"/>
        </w:rPr>
        <w:t>MA201/2023</w:t>
      </w:r>
    </w:p>
    <w:p w:rsidR="00324F4B" w:rsidRPr="004A2599" w:rsidRDefault="005D6BF7" w:rsidP="00324F4B">
      <w:pPr>
        <w:spacing w:after="0" w:line="240" w:lineRule="auto"/>
        <w:ind w:left="5580"/>
        <w:rPr>
          <w:rFonts w:ascii="Times New Roman" w:hAnsi="Times New Roman"/>
          <w:sz w:val="24"/>
          <w:szCs w:val="24"/>
        </w:rPr>
      </w:pPr>
      <w:r>
        <w:rPr>
          <w:rFonts w:ascii="Times New Roman" w:hAnsi="Times New Roman"/>
          <w:sz w:val="24"/>
          <w:szCs w:val="24"/>
        </w:rPr>
        <w:t>(</w:t>
      </w:r>
      <w:r w:rsidR="003167BC">
        <w:rPr>
          <w:rFonts w:ascii="Times New Roman" w:hAnsi="Times New Roman"/>
          <w:sz w:val="24"/>
          <w:szCs w:val="24"/>
        </w:rPr>
        <w:t xml:space="preserve">Arising in </w:t>
      </w:r>
      <w:r>
        <w:rPr>
          <w:rFonts w:ascii="Times New Roman" w:hAnsi="Times New Roman"/>
          <w:sz w:val="24"/>
          <w:szCs w:val="24"/>
        </w:rPr>
        <w:t>CS60/2013)</w:t>
      </w:r>
    </w:p>
    <w:p w:rsidR="00324F4B" w:rsidRPr="004A2599" w:rsidRDefault="00B808D0" w:rsidP="00324F4B">
      <w:pPr>
        <w:spacing w:after="0" w:line="240" w:lineRule="auto"/>
        <w:ind w:left="5580"/>
        <w:rPr>
          <w:rFonts w:ascii="Times New Roman" w:hAnsi="Times New Roman"/>
          <w:sz w:val="24"/>
          <w:szCs w:val="24"/>
        </w:rPr>
      </w:pPr>
      <w:r>
        <w:rPr>
          <w:rFonts w:ascii="Times New Roman" w:hAnsi="Times New Roman"/>
          <w:sz w:val="24"/>
          <w:szCs w:val="24"/>
        </w:rPr>
        <w:t>SCSC 697</w:t>
      </w:r>
    </w:p>
    <w:p w:rsidR="00324F4B" w:rsidRPr="004A2599" w:rsidRDefault="00324F4B" w:rsidP="00324F4B">
      <w:pPr>
        <w:tabs>
          <w:tab w:val="left" w:pos="540"/>
          <w:tab w:val="left" w:pos="4092"/>
        </w:tabs>
        <w:spacing w:after="0" w:line="240" w:lineRule="auto"/>
        <w:rPr>
          <w:rFonts w:ascii="Times New Roman" w:hAnsi="Times New Roman"/>
          <w:sz w:val="24"/>
          <w:szCs w:val="24"/>
        </w:rPr>
      </w:pPr>
      <w:r w:rsidRPr="004A2599">
        <w:rPr>
          <w:rFonts w:ascii="Times New Roman" w:hAnsi="Times New Roman"/>
          <w:sz w:val="24"/>
          <w:szCs w:val="24"/>
        </w:rPr>
        <w:t>In the matter between</w:t>
      </w:r>
      <w:r>
        <w:rPr>
          <w:rFonts w:ascii="Times New Roman" w:hAnsi="Times New Roman"/>
          <w:sz w:val="24"/>
          <w:szCs w:val="24"/>
        </w:rPr>
        <w:t>:</w:t>
      </w:r>
    </w:p>
    <w:p w:rsidR="00324F4B" w:rsidRPr="00214DB4" w:rsidRDefault="00B943A4" w:rsidP="00324F4B">
      <w:pPr>
        <w:pStyle w:val="Partynames"/>
      </w:pPr>
      <w:r>
        <w:t>MA GUI YUN</w:t>
      </w:r>
      <w:r w:rsidR="00324F4B" w:rsidRPr="00214DB4">
        <w:tab/>
      </w:r>
      <w:r w:rsidR="005D6BF7">
        <w:tab/>
      </w:r>
      <w:r w:rsidR="005D6BF7">
        <w:tab/>
      </w:r>
      <w:r w:rsidR="005D6BF7">
        <w:tab/>
      </w:r>
      <w:r w:rsidR="00AD1F59">
        <w:t>P</w:t>
      </w:r>
      <w:r w:rsidR="005D6BF7">
        <w:t>ETITIONER</w:t>
      </w:r>
    </w:p>
    <w:p w:rsidR="00324F4B" w:rsidRPr="00214DB4" w:rsidRDefault="005D6BF7" w:rsidP="00324F4B">
      <w:pPr>
        <w:pStyle w:val="Attorneysnames"/>
      </w:pPr>
      <w:r>
        <w:t>(rep. by Frank Elizabeth</w:t>
      </w:r>
      <w:r w:rsidR="00324F4B" w:rsidRPr="00214DB4">
        <w:t>)</w:t>
      </w:r>
    </w:p>
    <w:p w:rsidR="00324F4B" w:rsidRPr="004A2599" w:rsidRDefault="00324F4B" w:rsidP="00324F4B">
      <w:pPr>
        <w:tabs>
          <w:tab w:val="left" w:pos="540"/>
          <w:tab w:val="left" w:pos="4092"/>
          <w:tab w:val="left" w:pos="5580"/>
        </w:tabs>
        <w:spacing w:after="0" w:line="240" w:lineRule="auto"/>
        <w:rPr>
          <w:rFonts w:ascii="Times New Roman" w:hAnsi="Times New Roman"/>
          <w:sz w:val="24"/>
          <w:szCs w:val="24"/>
        </w:rPr>
      </w:pPr>
    </w:p>
    <w:p w:rsidR="00324F4B" w:rsidRPr="004A2599" w:rsidRDefault="00324F4B" w:rsidP="00324F4B">
      <w:pPr>
        <w:tabs>
          <w:tab w:val="left" w:pos="540"/>
          <w:tab w:val="left" w:pos="4092"/>
          <w:tab w:val="left" w:pos="5580"/>
        </w:tabs>
        <w:spacing w:after="0" w:line="240" w:lineRule="auto"/>
        <w:rPr>
          <w:rFonts w:ascii="Times New Roman" w:hAnsi="Times New Roman"/>
          <w:sz w:val="24"/>
          <w:szCs w:val="24"/>
        </w:rPr>
      </w:pPr>
      <w:r w:rsidRPr="004A2599">
        <w:rPr>
          <w:rFonts w:ascii="Times New Roman" w:hAnsi="Times New Roman"/>
          <w:sz w:val="24"/>
          <w:szCs w:val="24"/>
        </w:rPr>
        <w:t>and</w:t>
      </w:r>
    </w:p>
    <w:p w:rsidR="00324F4B" w:rsidRDefault="00324F4B" w:rsidP="00324F4B">
      <w:pPr>
        <w:tabs>
          <w:tab w:val="left" w:pos="540"/>
          <w:tab w:val="left" w:pos="5580"/>
          <w:tab w:val="left" w:pos="6480"/>
        </w:tabs>
        <w:spacing w:after="0" w:line="240" w:lineRule="auto"/>
        <w:rPr>
          <w:rFonts w:ascii="Times New Roman" w:hAnsi="Times New Roman"/>
          <w:b/>
          <w:sz w:val="24"/>
          <w:szCs w:val="24"/>
        </w:rPr>
      </w:pPr>
    </w:p>
    <w:p w:rsidR="00324F4B" w:rsidRPr="004A2599" w:rsidRDefault="005D6BF7" w:rsidP="00324F4B">
      <w:pPr>
        <w:pStyle w:val="Partynames"/>
      </w:pPr>
      <w:r>
        <w:t>ANNE LISE CHURCH</w:t>
      </w:r>
      <w:r w:rsidR="00324F4B" w:rsidRPr="004A2599">
        <w:tab/>
      </w:r>
      <w:r>
        <w:tab/>
      </w:r>
      <w:r>
        <w:tab/>
      </w:r>
      <w:r>
        <w:tab/>
        <w:t>RESPONDENT</w:t>
      </w:r>
    </w:p>
    <w:p w:rsidR="00324F4B" w:rsidRDefault="00324F4B" w:rsidP="00324F4B">
      <w:pPr>
        <w:tabs>
          <w:tab w:val="left" w:pos="540"/>
          <w:tab w:val="left" w:pos="4092"/>
        </w:tabs>
        <w:spacing w:after="0" w:line="240" w:lineRule="auto"/>
        <w:rPr>
          <w:rFonts w:ascii="Times New Roman" w:hAnsi="Times New Roman"/>
          <w:i/>
          <w:sz w:val="24"/>
          <w:szCs w:val="24"/>
        </w:rPr>
      </w:pPr>
      <w:r w:rsidRPr="004A2599">
        <w:rPr>
          <w:rFonts w:ascii="Times New Roman" w:hAnsi="Times New Roman"/>
          <w:i/>
          <w:sz w:val="24"/>
          <w:szCs w:val="24"/>
        </w:rPr>
        <w:t>(</w:t>
      </w:r>
      <w:r>
        <w:rPr>
          <w:rFonts w:ascii="Times New Roman" w:hAnsi="Times New Roman"/>
          <w:i/>
          <w:sz w:val="24"/>
          <w:szCs w:val="24"/>
        </w:rPr>
        <w:t>rep. by</w:t>
      </w:r>
      <w:r w:rsidR="005D6BF7">
        <w:rPr>
          <w:rFonts w:ascii="Times New Roman" w:hAnsi="Times New Roman"/>
          <w:i/>
          <w:sz w:val="24"/>
          <w:szCs w:val="24"/>
        </w:rPr>
        <w:t xml:space="preserve"> William Herminie)</w:t>
      </w:r>
    </w:p>
    <w:p w:rsidR="00324F4B" w:rsidRPr="00BB1A3E" w:rsidRDefault="00324F4B" w:rsidP="00324F4B">
      <w:pPr>
        <w:pBdr>
          <w:bottom w:val="single" w:sz="4" w:space="1" w:color="auto"/>
        </w:pBdr>
        <w:tabs>
          <w:tab w:val="left" w:pos="540"/>
          <w:tab w:val="left" w:pos="5580"/>
        </w:tabs>
        <w:spacing w:after="0" w:line="240" w:lineRule="auto"/>
        <w:rPr>
          <w:rFonts w:ascii="Times New Roman" w:hAnsi="Times New Roman"/>
          <w:i/>
          <w:sz w:val="24"/>
          <w:szCs w:val="24"/>
        </w:rPr>
      </w:pPr>
    </w:p>
    <w:p w:rsidR="00324F4B" w:rsidRDefault="00324F4B" w:rsidP="00324F4B">
      <w:pPr>
        <w:spacing w:after="0" w:line="240" w:lineRule="auto"/>
        <w:ind w:left="1890" w:hanging="1890"/>
        <w:rPr>
          <w:rFonts w:ascii="Times New Roman" w:hAnsi="Times New Roman"/>
          <w:sz w:val="24"/>
          <w:szCs w:val="24"/>
        </w:rPr>
      </w:pPr>
      <w:r>
        <w:rPr>
          <w:rFonts w:ascii="Times New Roman" w:hAnsi="Times New Roman"/>
          <w:b/>
          <w:sz w:val="24"/>
          <w:szCs w:val="24"/>
        </w:rPr>
        <w:t>Before</w:t>
      </w:r>
      <w:r w:rsidRPr="004A2599">
        <w:rPr>
          <w:rFonts w:ascii="Times New Roman" w:hAnsi="Times New Roman"/>
          <w:b/>
          <w:sz w:val="24"/>
          <w:szCs w:val="24"/>
        </w:rPr>
        <w:t xml:space="preserve">: </w:t>
      </w:r>
      <w:r>
        <w:rPr>
          <w:rFonts w:ascii="Times New Roman" w:hAnsi="Times New Roman"/>
          <w:b/>
          <w:sz w:val="24"/>
          <w:szCs w:val="24"/>
        </w:rPr>
        <w:tab/>
      </w:r>
      <w:proofErr w:type="spellStart"/>
      <w:r w:rsidR="00AD1F59">
        <w:rPr>
          <w:rFonts w:ascii="Times New Roman" w:hAnsi="Times New Roman"/>
          <w:sz w:val="24"/>
          <w:szCs w:val="24"/>
        </w:rPr>
        <w:t>Dodin</w:t>
      </w:r>
      <w:proofErr w:type="spellEnd"/>
      <w:r w:rsidR="00AD1F59">
        <w:rPr>
          <w:rFonts w:ascii="Times New Roman" w:hAnsi="Times New Roman"/>
          <w:sz w:val="24"/>
          <w:szCs w:val="24"/>
        </w:rPr>
        <w:t xml:space="preserve"> </w:t>
      </w:r>
      <w:r>
        <w:rPr>
          <w:rFonts w:ascii="Times New Roman" w:hAnsi="Times New Roman"/>
          <w:sz w:val="24"/>
          <w:szCs w:val="24"/>
        </w:rPr>
        <w:t>J</w:t>
      </w:r>
    </w:p>
    <w:p w:rsidR="00324F4B" w:rsidRPr="005B12AA" w:rsidRDefault="00324F4B" w:rsidP="00324F4B">
      <w:pPr>
        <w:tabs>
          <w:tab w:val="left" w:pos="720"/>
          <w:tab w:val="left" w:pos="1440"/>
          <w:tab w:val="left" w:pos="2160"/>
        </w:tabs>
        <w:spacing w:after="0" w:line="240" w:lineRule="auto"/>
        <w:ind w:left="1890" w:hanging="1890"/>
        <w:rPr>
          <w:rFonts w:ascii="Times New Roman" w:hAnsi="Times New Roman"/>
          <w:sz w:val="24"/>
          <w:szCs w:val="24"/>
        </w:rPr>
      </w:pPr>
      <w:r w:rsidRPr="004A2599">
        <w:rPr>
          <w:rFonts w:ascii="Times New Roman" w:hAnsi="Times New Roman"/>
          <w:b/>
          <w:sz w:val="24"/>
          <w:szCs w:val="24"/>
        </w:rPr>
        <w:t xml:space="preserve">Heard: </w:t>
      </w:r>
      <w:r w:rsidRPr="005B12AA">
        <w:rPr>
          <w:rFonts w:ascii="Times New Roman" w:hAnsi="Times New Roman"/>
          <w:sz w:val="24"/>
          <w:szCs w:val="24"/>
        </w:rPr>
        <w:tab/>
      </w:r>
      <w:r>
        <w:rPr>
          <w:rFonts w:ascii="Times New Roman" w:hAnsi="Times New Roman"/>
          <w:sz w:val="24"/>
          <w:szCs w:val="24"/>
        </w:rPr>
        <w:tab/>
      </w:r>
      <w:r w:rsidR="00F844F0">
        <w:rPr>
          <w:rFonts w:ascii="Times New Roman" w:hAnsi="Times New Roman"/>
          <w:sz w:val="24"/>
          <w:szCs w:val="24"/>
        </w:rPr>
        <w:t>26 June 2023</w:t>
      </w:r>
    </w:p>
    <w:p w:rsidR="00324F4B" w:rsidRDefault="00324F4B" w:rsidP="00324F4B">
      <w:pPr>
        <w:pBdr>
          <w:bottom w:val="single" w:sz="4" w:space="1" w:color="auto"/>
        </w:pBdr>
        <w:spacing w:after="0" w:line="240" w:lineRule="auto"/>
        <w:ind w:left="1890" w:hanging="1890"/>
        <w:rPr>
          <w:rFonts w:ascii="Times New Roman" w:hAnsi="Times New Roman"/>
          <w:sz w:val="24"/>
          <w:szCs w:val="24"/>
        </w:rPr>
      </w:pPr>
      <w:r w:rsidRPr="004A2599">
        <w:rPr>
          <w:rFonts w:ascii="Times New Roman" w:hAnsi="Times New Roman"/>
          <w:b/>
          <w:sz w:val="24"/>
          <w:szCs w:val="24"/>
        </w:rPr>
        <w:t>Delivered:</w:t>
      </w:r>
      <w:r w:rsidR="00F844F0">
        <w:rPr>
          <w:rFonts w:ascii="Times New Roman" w:hAnsi="Times New Roman"/>
          <w:sz w:val="24"/>
          <w:szCs w:val="24"/>
        </w:rPr>
        <w:tab/>
        <w:t>15</w:t>
      </w:r>
      <w:r w:rsidR="00F844F0" w:rsidRPr="00F844F0">
        <w:rPr>
          <w:rFonts w:ascii="Times New Roman" w:hAnsi="Times New Roman"/>
          <w:sz w:val="24"/>
          <w:szCs w:val="24"/>
          <w:vertAlign w:val="superscript"/>
        </w:rPr>
        <w:t>th</w:t>
      </w:r>
      <w:r w:rsidR="00F844F0">
        <w:rPr>
          <w:rFonts w:ascii="Times New Roman" w:hAnsi="Times New Roman"/>
          <w:sz w:val="24"/>
          <w:szCs w:val="24"/>
        </w:rPr>
        <w:t xml:space="preserve"> September, 2023</w:t>
      </w:r>
      <w:r w:rsidRPr="004A2599">
        <w:rPr>
          <w:rFonts w:ascii="Times New Roman" w:hAnsi="Times New Roman"/>
          <w:b/>
          <w:sz w:val="24"/>
          <w:szCs w:val="24"/>
        </w:rPr>
        <w:tab/>
      </w:r>
    </w:p>
    <w:p w:rsidR="00324F4B" w:rsidRPr="00F33B83" w:rsidRDefault="00324F4B" w:rsidP="00CF1C85">
      <w:pPr>
        <w:spacing w:after="0" w:line="240" w:lineRule="auto"/>
        <w:ind w:left="1890" w:hanging="1890"/>
        <w:rPr>
          <w:rFonts w:ascii="Times New Roman" w:hAnsi="Times New Roman"/>
          <w:sz w:val="24"/>
          <w:szCs w:val="24"/>
        </w:rPr>
      </w:pPr>
    </w:p>
    <w:p w:rsidR="00324F4B" w:rsidRPr="00DA4FF8" w:rsidRDefault="00E05291" w:rsidP="00CF1C85">
      <w:pPr>
        <w:spacing w:before="120" w:after="0" w:line="240" w:lineRule="auto"/>
        <w:jc w:val="center"/>
        <w:rPr>
          <w:rFonts w:ascii="Times New Roman" w:hAnsi="Times New Roman"/>
          <w:b/>
          <w:color w:val="000000"/>
          <w:sz w:val="24"/>
          <w:szCs w:val="24"/>
        </w:rPr>
      </w:pPr>
      <w:r>
        <w:rPr>
          <w:rFonts w:ascii="Times New Roman" w:hAnsi="Times New Roman"/>
          <w:b/>
          <w:color w:val="000000"/>
          <w:sz w:val="24"/>
          <w:szCs w:val="24"/>
        </w:rPr>
        <w:t>RULING</w:t>
      </w:r>
    </w:p>
    <w:p w:rsidR="00324F4B" w:rsidRPr="00F33B83" w:rsidRDefault="00324F4B" w:rsidP="00CF1C85">
      <w:pPr>
        <w:pBdr>
          <w:bottom w:val="single" w:sz="4" w:space="1" w:color="auto"/>
        </w:pBdr>
        <w:tabs>
          <w:tab w:val="left" w:pos="2892"/>
        </w:tabs>
        <w:spacing w:after="0" w:line="276" w:lineRule="auto"/>
        <w:rPr>
          <w:rFonts w:ascii="Times New Roman" w:hAnsi="Times New Roman"/>
          <w:b/>
          <w:sz w:val="24"/>
          <w:szCs w:val="24"/>
        </w:rPr>
      </w:pPr>
    </w:p>
    <w:p w:rsidR="00324F4B" w:rsidRPr="004A2599" w:rsidRDefault="00324F4B" w:rsidP="00CF1C85">
      <w:pPr>
        <w:spacing w:after="0" w:line="240" w:lineRule="auto"/>
        <w:rPr>
          <w:rFonts w:ascii="Times New Roman" w:hAnsi="Times New Roman"/>
          <w:sz w:val="24"/>
          <w:szCs w:val="24"/>
        </w:rPr>
      </w:pPr>
    </w:p>
    <w:p w:rsidR="00A12880" w:rsidRDefault="00AD1F59" w:rsidP="00A12880">
      <w:pPr>
        <w:pStyle w:val="JudgmentText"/>
        <w:numPr>
          <w:ilvl w:val="0"/>
          <w:numId w:val="0"/>
        </w:numPr>
        <w:spacing w:after="0" w:line="480" w:lineRule="auto"/>
        <w:ind w:left="720" w:hanging="720"/>
        <w:rPr>
          <w:b/>
        </w:rPr>
      </w:pPr>
      <w:r>
        <w:rPr>
          <w:b/>
        </w:rPr>
        <w:t xml:space="preserve">DODIN </w:t>
      </w:r>
      <w:r w:rsidR="00324F4B">
        <w:rPr>
          <w:b/>
        </w:rPr>
        <w:t>J</w:t>
      </w:r>
    </w:p>
    <w:p w:rsidR="00B943A4" w:rsidRPr="00D53225" w:rsidRDefault="00A12880" w:rsidP="00A12880">
      <w:pPr>
        <w:pStyle w:val="JudgmentText"/>
        <w:tabs>
          <w:tab w:val="clear" w:pos="360"/>
        </w:tabs>
        <w:ind w:hanging="720"/>
        <w:rPr>
          <w:b/>
        </w:rPr>
      </w:pPr>
      <w:r>
        <w:t>T</w:t>
      </w:r>
      <w:r w:rsidR="00B943A4">
        <w:t xml:space="preserve">he </w:t>
      </w:r>
      <w:r w:rsidR="006811B7">
        <w:t>Applicant</w:t>
      </w:r>
      <w:r w:rsidR="00B943A4">
        <w:t xml:space="preserve"> </w:t>
      </w:r>
      <w:r>
        <w:t>is a businessman</w:t>
      </w:r>
      <w:r w:rsidR="00B943A4">
        <w:t xml:space="preserve"> and the </w:t>
      </w:r>
      <w:r w:rsidR="006811B7">
        <w:t>Respondent</w:t>
      </w:r>
      <w:r w:rsidR="00B943A4">
        <w:t xml:space="preserve"> is the Proprietor of</w:t>
      </w:r>
      <w:r>
        <w:t xml:space="preserve"> two </w:t>
      </w:r>
      <w:r w:rsidR="00B943A4">
        <w:t>parcel</w:t>
      </w:r>
      <w:r>
        <w:t xml:space="preserve">s of land namely H8692 and H8694 </w:t>
      </w:r>
      <w:r w:rsidR="00B943A4">
        <w:t xml:space="preserve">located at Glacis, </w:t>
      </w:r>
      <w:proofErr w:type="spellStart"/>
      <w:r w:rsidR="00B943A4">
        <w:t>Mahe</w:t>
      </w:r>
      <w:proofErr w:type="spellEnd"/>
      <w:r w:rsidR="00B943A4">
        <w:t>, Seychelles.</w:t>
      </w:r>
      <w:r>
        <w:rPr>
          <w:b/>
        </w:rPr>
        <w:t xml:space="preserve"> </w:t>
      </w:r>
      <w:r w:rsidR="00B943A4">
        <w:t xml:space="preserve">The </w:t>
      </w:r>
      <w:r w:rsidR="006811B7">
        <w:t>Applicant</w:t>
      </w:r>
      <w:r w:rsidR="00B943A4">
        <w:t xml:space="preserve"> avers that at or around July 2019, the </w:t>
      </w:r>
      <w:r w:rsidR="006811B7">
        <w:t>Applicant</w:t>
      </w:r>
      <w:r w:rsidR="00B943A4">
        <w:t xml:space="preserve"> expressed his interest to purchase the parcels from the </w:t>
      </w:r>
      <w:r w:rsidR="006811B7">
        <w:t>Respondent</w:t>
      </w:r>
      <w:r w:rsidR="00D53225">
        <w:t xml:space="preserve">.  The </w:t>
      </w:r>
      <w:r w:rsidR="006811B7">
        <w:t>Applicant</w:t>
      </w:r>
      <w:r w:rsidR="00D53225">
        <w:t xml:space="preserve"> further</w:t>
      </w:r>
      <w:r w:rsidR="00B943A4">
        <w:t xml:space="preserve"> avers that the </w:t>
      </w:r>
      <w:r w:rsidR="006811B7">
        <w:t>Applicant</w:t>
      </w:r>
      <w:r w:rsidR="00B943A4">
        <w:t xml:space="preserve"> did not see or negotiate with the</w:t>
      </w:r>
      <w:r w:rsidR="00D53225">
        <w:t xml:space="preserve"> </w:t>
      </w:r>
      <w:r w:rsidR="006811B7">
        <w:t>Respondent</w:t>
      </w:r>
      <w:r w:rsidR="00D53225">
        <w:t xml:space="preserve"> directly but through</w:t>
      </w:r>
      <w:r w:rsidR="00B943A4">
        <w:t xml:space="preserve"> the </w:t>
      </w:r>
      <w:r w:rsidR="006811B7">
        <w:t>Respondent</w:t>
      </w:r>
      <w:r w:rsidR="00B943A4">
        <w:t xml:space="preserve">’s agent, </w:t>
      </w:r>
      <w:r w:rsidR="00B808D0">
        <w:t>Mr</w:t>
      </w:r>
      <w:r w:rsidR="00B943A4">
        <w:t xml:space="preserve"> Peter Esparon.  The </w:t>
      </w:r>
      <w:r w:rsidR="006811B7">
        <w:t>Applicant</w:t>
      </w:r>
      <w:r w:rsidR="00B943A4">
        <w:t xml:space="preserve"> avers that the </w:t>
      </w:r>
      <w:r w:rsidR="006811B7">
        <w:t>Respondent</w:t>
      </w:r>
      <w:r w:rsidR="00B943A4">
        <w:t>’s agent was charged with carrying out searches and completing the necessary procedures to enable the sale of the parcels to take place.</w:t>
      </w:r>
    </w:p>
    <w:p w:rsidR="00D53225" w:rsidRPr="00D53225" w:rsidRDefault="00B943A4" w:rsidP="00D53225">
      <w:pPr>
        <w:pStyle w:val="JudgmentText"/>
        <w:tabs>
          <w:tab w:val="clear" w:pos="360"/>
        </w:tabs>
        <w:ind w:hanging="720"/>
        <w:rPr>
          <w:b/>
        </w:rPr>
      </w:pPr>
      <w:r>
        <w:t xml:space="preserve">The </w:t>
      </w:r>
      <w:r w:rsidR="006811B7">
        <w:t>Applicant</w:t>
      </w:r>
      <w:r>
        <w:t xml:space="preserve"> avers</w:t>
      </w:r>
      <w:r w:rsidR="00D53225">
        <w:t xml:space="preserve"> further</w:t>
      </w:r>
      <w:r>
        <w:t xml:space="preserve"> that at or around August 2019, the </w:t>
      </w:r>
      <w:r w:rsidR="006811B7">
        <w:t>Respondent</w:t>
      </w:r>
      <w:r>
        <w:t xml:space="preserve"> informed the </w:t>
      </w:r>
      <w:r w:rsidR="006811B7">
        <w:t>Applicant</w:t>
      </w:r>
      <w:r>
        <w:t xml:space="preserve"> that parcel number H8692 has an extent of 164 square metres, and parcel number H8694 has an extent of 3550 square metres.</w:t>
      </w:r>
      <w:r w:rsidR="00D53225" w:rsidRPr="00D53225">
        <w:rPr>
          <w:b/>
        </w:rPr>
        <w:t xml:space="preserve"> </w:t>
      </w:r>
      <w:r>
        <w:t xml:space="preserve">The </w:t>
      </w:r>
      <w:r w:rsidR="006811B7">
        <w:t>Applicant</w:t>
      </w:r>
      <w:r>
        <w:t xml:space="preserve"> avers that on the 30</w:t>
      </w:r>
      <w:r w:rsidRPr="00D53225">
        <w:rPr>
          <w:vertAlign w:val="superscript"/>
        </w:rPr>
        <w:t>th</w:t>
      </w:r>
      <w:r w:rsidR="00D53225">
        <w:t xml:space="preserve"> August 2019, relying on the </w:t>
      </w:r>
      <w:r w:rsidR="006811B7">
        <w:t>Respondent</w:t>
      </w:r>
      <w:r w:rsidR="00D53225">
        <w:t>’s representations,</w:t>
      </w:r>
      <w:r>
        <w:t xml:space="preserve"> the </w:t>
      </w:r>
      <w:r w:rsidR="006811B7">
        <w:t>Applicant</w:t>
      </w:r>
      <w:r>
        <w:t xml:space="preserve"> entered into a Promise of </w:t>
      </w:r>
      <w:r>
        <w:lastRenderedPageBreak/>
        <w:t>Sale to purchase the parcels for the sum of Seychelles Rupees Fou</w:t>
      </w:r>
      <w:r w:rsidR="00D53225">
        <w:t>r Million Five Hundred Thousand</w:t>
      </w:r>
      <w:r>
        <w:t>.</w:t>
      </w:r>
    </w:p>
    <w:p w:rsidR="00B943A4" w:rsidRPr="00B80097" w:rsidRDefault="00B943A4" w:rsidP="00D53225">
      <w:pPr>
        <w:pStyle w:val="JudgmentText"/>
        <w:tabs>
          <w:tab w:val="clear" w:pos="360"/>
        </w:tabs>
        <w:ind w:hanging="720"/>
        <w:rPr>
          <w:b/>
        </w:rPr>
      </w:pPr>
      <w:r>
        <w:t xml:space="preserve">The </w:t>
      </w:r>
      <w:r w:rsidR="006811B7">
        <w:t>Applicant</w:t>
      </w:r>
      <w:r>
        <w:t xml:space="preserve"> avers that on the 31</w:t>
      </w:r>
      <w:r w:rsidRPr="00D53225">
        <w:rPr>
          <w:vertAlign w:val="superscript"/>
        </w:rPr>
        <w:t>st</w:t>
      </w:r>
      <w:r>
        <w:t xml:space="preserve"> August 2019,</w:t>
      </w:r>
      <w:r w:rsidR="00D53225">
        <w:t xml:space="preserve"> by way of Whats</w:t>
      </w:r>
      <w:r w:rsidR="00DB32B6">
        <w:t xml:space="preserve">App messenger, the </w:t>
      </w:r>
      <w:r w:rsidR="006811B7">
        <w:t>Respondent</w:t>
      </w:r>
      <w:r w:rsidR="00DB32B6">
        <w:t xml:space="preserve">’s agent provided the </w:t>
      </w:r>
      <w:r w:rsidR="006811B7">
        <w:t>Applicant</w:t>
      </w:r>
      <w:r w:rsidR="00DB32B6">
        <w:t xml:space="preserve"> with two Certificates of Official Search, dated 27</w:t>
      </w:r>
      <w:r w:rsidR="00DB32B6" w:rsidRPr="00D53225">
        <w:rPr>
          <w:vertAlign w:val="superscript"/>
        </w:rPr>
        <w:t>th</w:t>
      </w:r>
      <w:r w:rsidR="00DB32B6">
        <w:t xml:space="preserve"> August 2019, for parcels H8694 and H8692 respectively.  The </w:t>
      </w:r>
      <w:r w:rsidR="006811B7">
        <w:t>Applicant</w:t>
      </w:r>
      <w:r w:rsidR="00DB32B6">
        <w:t xml:space="preserve"> further avers that a Certificate of Official Search showed a declaration had been registered as an encumbrance against parcel H8692; and that a declaration and a court order was registered as encumbrances against parcel H8694.</w:t>
      </w:r>
    </w:p>
    <w:p w:rsidR="00DB32B6" w:rsidRPr="00B80097" w:rsidRDefault="00DB32B6" w:rsidP="00B80097">
      <w:pPr>
        <w:pStyle w:val="JudgmentText"/>
        <w:tabs>
          <w:tab w:val="clear" w:pos="360"/>
        </w:tabs>
        <w:ind w:hanging="720"/>
        <w:rPr>
          <w:b/>
        </w:rPr>
      </w:pPr>
      <w:r>
        <w:t xml:space="preserve">The </w:t>
      </w:r>
      <w:r w:rsidR="006811B7">
        <w:t>Applicant</w:t>
      </w:r>
      <w:r>
        <w:t xml:space="preserve"> avers that on </w:t>
      </w:r>
      <w:bookmarkStart w:id="0" w:name="_GoBack"/>
      <w:bookmarkEnd w:id="0"/>
      <w:r>
        <w:t>the 2</w:t>
      </w:r>
      <w:r w:rsidRPr="00B80097">
        <w:rPr>
          <w:vertAlign w:val="superscript"/>
        </w:rPr>
        <w:t>nd</w:t>
      </w:r>
      <w:r>
        <w:t xml:space="preserve"> September 2019, the </w:t>
      </w:r>
      <w:r w:rsidR="006811B7">
        <w:t>Applicant</w:t>
      </w:r>
      <w:r>
        <w:t xml:space="preserve"> applied to the Department of Legal Affairs Registration Division for a copy of the court order and declarations registered as encumbrances against parcels H8692 and H8694.</w:t>
      </w:r>
      <w:r w:rsidR="00B80097">
        <w:rPr>
          <w:b/>
        </w:rPr>
        <w:t xml:space="preserve"> </w:t>
      </w:r>
      <w:r>
        <w:t xml:space="preserve">The </w:t>
      </w:r>
      <w:r w:rsidR="006811B7">
        <w:t>Applicant</w:t>
      </w:r>
      <w:r>
        <w:t xml:space="preserve"> avers that at or around 7</w:t>
      </w:r>
      <w:r w:rsidRPr="00B80097">
        <w:rPr>
          <w:vertAlign w:val="superscript"/>
        </w:rPr>
        <w:t>th</w:t>
      </w:r>
      <w:r>
        <w:t xml:space="preserve"> September 2019, the </w:t>
      </w:r>
      <w:r w:rsidR="006811B7">
        <w:t>Respondent</w:t>
      </w:r>
      <w:r>
        <w:t xml:space="preserve">’s agent provided the </w:t>
      </w:r>
      <w:r w:rsidR="006811B7">
        <w:t>Applicant</w:t>
      </w:r>
      <w:r>
        <w:t xml:space="preserve"> with two new certificates of official search.  The </w:t>
      </w:r>
      <w:r w:rsidR="006811B7">
        <w:t>Applicant</w:t>
      </w:r>
      <w:r>
        <w:t xml:space="preserve"> avers that both Certificates of Official Search, dated 6</w:t>
      </w:r>
      <w:r w:rsidRPr="00B80097">
        <w:rPr>
          <w:vertAlign w:val="superscript"/>
        </w:rPr>
        <w:t>th</w:t>
      </w:r>
      <w:r>
        <w:t xml:space="preserve"> September 2019, confirmed that parcels H8692 and parcel H8694 were free of encumbrances. The </w:t>
      </w:r>
      <w:r w:rsidR="006811B7">
        <w:t>Applicant</w:t>
      </w:r>
      <w:r>
        <w:t xml:space="preserve"> further avers that the certificates of official search showed that parcel H8692 has an extent of 164 square metres, and Title H8694 has an extent of 3550 square metres.</w:t>
      </w:r>
    </w:p>
    <w:p w:rsidR="00DB32B6" w:rsidRPr="00B80097" w:rsidRDefault="00DB32B6" w:rsidP="00B80097">
      <w:pPr>
        <w:pStyle w:val="JudgmentText"/>
        <w:tabs>
          <w:tab w:val="clear" w:pos="360"/>
        </w:tabs>
        <w:ind w:hanging="720"/>
        <w:rPr>
          <w:b/>
        </w:rPr>
      </w:pPr>
      <w:r>
        <w:t xml:space="preserve">The </w:t>
      </w:r>
      <w:r w:rsidR="006811B7">
        <w:t>Applicant</w:t>
      </w:r>
      <w:r>
        <w:t xml:space="preserve"> avers that at or around 7</w:t>
      </w:r>
      <w:r w:rsidRPr="00B80097">
        <w:rPr>
          <w:vertAlign w:val="superscript"/>
        </w:rPr>
        <w:t>th</w:t>
      </w:r>
      <w:r>
        <w:t xml:space="preserve"> September 2019, the </w:t>
      </w:r>
      <w:r w:rsidR="006811B7">
        <w:t>Respondent</w:t>
      </w:r>
      <w:r>
        <w:t xml:space="preserve"> accepted the </w:t>
      </w:r>
      <w:r w:rsidR="006811B7">
        <w:t>Applicant</w:t>
      </w:r>
      <w:r>
        <w:t xml:space="preserve">’s deposit of Seychelles Rupees One Million Nine Hundred Thousand only (SCR1,900,000.00). The </w:t>
      </w:r>
      <w:r w:rsidR="006811B7">
        <w:t>Applicant</w:t>
      </w:r>
      <w:r>
        <w:t xml:space="preserve"> further avers that the </w:t>
      </w:r>
      <w:r w:rsidR="006811B7">
        <w:t>Respondent</w:t>
      </w:r>
      <w:r>
        <w:t xml:space="preserve"> agreed to purchase goods and services from the </w:t>
      </w:r>
      <w:r w:rsidR="006811B7">
        <w:t>Applicant</w:t>
      </w:r>
      <w:r>
        <w:t>’s company, Ma Sun Trading Ltd. to the value of Seychelles Rupees One Hundred Thousand only (SCR100,000.00).</w:t>
      </w:r>
      <w:r w:rsidR="00B80097">
        <w:rPr>
          <w:b/>
        </w:rPr>
        <w:t xml:space="preserve"> </w:t>
      </w:r>
      <w:r>
        <w:t xml:space="preserve">The </w:t>
      </w:r>
      <w:r w:rsidR="006811B7">
        <w:t>Applicant</w:t>
      </w:r>
      <w:r>
        <w:t xml:space="preserve"> avers that at or around February 2020, together with the </w:t>
      </w:r>
      <w:r w:rsidR="006811B7">
        <w:t>Respondent</w:t>
      </w:r>
      <w:r>
        <w:t xml:space="preserve">’s agent and land surveyor, Mr. Ah-Kong, the </w:t>
      </w:r>
      <w:r w:rsidR="006811B7">
        <w:t>Applicant</w:t>
      </w:r>
      <w:r>
        <w:t xml:space="preserve"> visited the parcels.  The </w:t>
      </w:r>
      <w:r w:rsidR="006811B7">
        <w:t>Applicant</w:t>
      </w:r>
      <w:r>
        <w:t xml:space="preserve"> further avers that during the visit, the </w:t>
      </w:r>
      <w:r w:rsidR="006811B7">
        <w:t>Applicant</w:t>
      </w:r>
      <w:r>
        <w:t xml:space="preserve"> was informed by the occupier of a dwelling on parcel H8694 that part of parcel H8694 had been awarded to her by the Supreme Court of Seychelles.</w:t>
      </w:r>
    </w:p>
    <w:p w:rsidR="00DB32B6" w:rsidRPr="00B80097" w:rsidRDefault="00DB32B6" w:rsidP="00B80097">
      <w:pPr>
        <w:pStyle w:val="JudgmentText"/>
        <w:tabs>
          <w:tab w:val="clear" w:pos="360"/>
        </w:tabs>
        <w:ind w:hanging="720"/>
        <w:rPr>
          <w:b/>
        </w:rPr>
      </w:pPr>
      <w:r>
        <w:t xml:space="preserve">The </w:t>
      </w:r>
      <w:r w:rsidR="006811B7">
        <w:t>Applicant</w:t>
      </w:r>
      <w:r>
        <w:t xml:space="preserve"> avers that on the 13</w:t>
      </w:r>
      <w:r w:rsidRPr="00B80097">
        <w:rPr>
          <w:vertAlign w:val="superscript"/>
        </w:rPr>
        <w:t>th</w:t>
      </w:r>
      <w:r>
        <w:t xml:space="preserve"> February 2020, via WhatsApp, the </w:t>
      </w:r>
      <w:r w:rsidR="006811B7">
        <w:t>Respondent</w:t>
      </w:r>
      <w:r>
        <w:t xml:space="preserve">’s agent informed the </w:t>
      </w:r>
      <w:r w:rsidR="006811B7">
        <w:t>Applicant</w:t>
      </w:r>
      <w:r>
        <w:t xml:space="preserve"> that 400 square metres belonged to the occupier.</w:t>
      </w:r>
      <w:r w:rsidR="00B80097">
        <w:rPr>
          <w:b/>
        </w:rPr>
        <w:t xml:space="preserve"> </w:t>
      </w:r>
      <w:r>
        <w:t xml:space="preserve">The </w:t>
      </w:r>
      <w:r w:rsidR="006811B7">
        <w:t>Applicant</w:t>
      </w:r>
      <w:r>
        <w:t xml:space="preserve"> avers that at or around July 2020, the </w:t>
      </w:r>
      <w:r w:rsidR="006811B7">
        <w:t>Applicant</w:t>
      </w:r>
      <w:r>
        <w:t xml:space="preserve"> obtained a copy of the judgement of the Supreme Court dated 27</w:t>
      </w:r>
      <w:r w:rsidRPr="00B80097">
        <w:rPr>
          <w:vertAlign w:val="superscript"/>
        </w:rPr>
        <w:t>th</w:t>
      </w:r>
      <w:r>
        <w:t xml:space="preserve"> July 2016 in civil side CS60/2013 [2016] SCSC 536.  The </w:t>
      </w:r>
      <w:r w:rsidR="006811B7">
        <w:t>Applicant</w:t>
      </w:r>
      <w:r>
        <w:t xml:space="preserve"> avers that in the judgement dated 27</w:t>
      </w:r>
      <w:r w:rsidRPr="00B80097">
        <w:rPr>
          <w:vertAlign w:val="superscript"/>
        </w:rPr>
        <w:t>th</w:t>
      </w:r>
      <w:r>
        <w:t xml:space="preserve"> July 2016, it was held that 560 square metres of parcel number H8694 is to be extracted from parcel H8694 and registered in Bernadette Boniface’s name.</w:t>
      </w:r>
    </w:p>
    <w:p w:rsidR="00DB32B6" w:rsidRPr="00E16114" w:rsidRDefault="00DB32B6" w:rsidP="00E16114">
      <w:pPr>
        <w:pStyle w:val="JudgmentText"/>
        <w:tabs>
          <w:tab w:val="clear" w:pos="360"/>
        </w:tabs>
        <w:ind w:hanging="720"/>
        <w:rPr>
          <w:b/>
        </w:rPr>
      </w:pPr>
      <w:r>
        <w:t xml:space="preserve">The </w:t>
      </w:r>
      <w:r w:rsidR="006811B7">
        <w:t>Applicant</w:t>
      </w:r>
      <w:r>
        <w:t xml:space="preserve"> avers that by a letter dated 19</w:t>
      </w:r>
      <w:r w:rsidRPr="00B80097">
        <w:rPr>
          <w:vertAlign w:val="superscript"/>
        </w:rPr>
        <w:t>th</w:t>
      </w:r>
      <w:r>
        <w:t xml:space="preserve"> August 2</w:t>
      </w:r>
      <w:r w:rsidR="00B808D0">
        <w:t>0</w:t>
      </w:r>
      <w:r>
        <w:t xml:space="preserve">20, the </w:t>
      </w:r>
      <w:r w:rsidR="006811B7">
        <w:t>Applicant</w:t>
      </w:r>
      <w:r>
        <w:t xml:space="preserve"> notified the </w:t>
      </w:r>
      <w:r w:rsidR="006811B7">
        <w:t>Respondent</w:t>
      </w:r>
      <w:r>
        <w:t xml:space="preserve"> that the </w:t>
      </w:r>
      <w:r w:rsidR="006811B7">
        <w:t>Applicant</w:t>
      </w:r>
      <w:r>
        <w:t xml:space="preserve"> had learnt that the </w:t>
      </w:r>
      <w:r w:rsidR="006811B7">
        <w:t>Respondent</w:t>
      </w:r>
      <w:r>
        <w:t xml:space="preserve"> has misrepresented the size of Title H8694 and wished to amend the sale price to take into account the deduction of 560 square metres from parcel H8694, as ordered in the judgement</w:t>
      </w:r>
      <w:r w:rsidR="00E16114">
        <w:t>.</w:t>
      </w:r>
      <w:r w:rsidR="00E16114">
        <w:rPr>
          <w:b/>
        </w:rPr>
        <w:t xml:space="preserve"> </w:t>
      </w:r>
      <w:r>
        <w:t xml:space="preserve">The </w:t>
      </w:r>
      <w:r w:rsidR="006811B7">
        <w:t>Applicant</w:t>
      </w:r>
      <w:r>
        <w:t xml:space="preserve"> avers that in a letter dated 24</w:t>
      </w:r>
      <w:r w:rsidRPr="00E16114">
        <w:rPr>
          <w:vertAlign w:val="superscript"/>
        </w:rPr>
        <w:t>th</w:t>
      </w:r>
      <w:r>
        <w:t xml:space="preserve"> September 202</w:t>
      </w:r>
      <w:r w:rsidR="00B808D0">
        <w:t>0</w:t>
      </w:r>
      <w:r>
        <w:t xml:space="preserve">, the </w:t>
      </w:r>
      <w:r w:rsidR="006811B7">
        <w:t>Applicant</w:t>
      </w:r>
      <w:r>
        <w:t xml:space="preserve"> wrote to the </w:t>
      </w:r>
      <w:r w:rsidR="006811B7">
        <w:t>Respondent</w:t>
      </w:r>
      <w:r>
        <w:t xml:space="preserve"> offering to purchase the parcels for Seychelles Rupees Three Million Eight Hundred Thousand only (SCR3,800,00.00); or to have the </w:t>
      </w:r>
      <w:r w:rsidR="006811B7">
        <w:t>Applicant</w:t>
      </w:r>
      <w:r>
        <w:t>’s deposit refunded to him.</w:t>
      </w:r>
      <w:r w:rsidR="00E16114">
        <w:rPr>
          <w:b/>
        </w:rPr>
        <w:t xml:space="preserve"> </w:t>
      </w:r>
      <w:r>
        <w:t xml:space="preserve">The </w:t>
      </w:r>
      <w:r w:rsidR="006811B7">
        <w:t>Applicant</w:t>
      </w:r>
      <w:r>
        <w:t xml:space="preserve"> avers that to date, the </w:t>
      </w:r>
      <w:r w:rsidR="006811B7">
        <w:t>Respondent</w:t>
      </w:r>
      <w:r>
        <w:t xml:space="preserve"> has failed and or refused to consider, reply and or accept either of the offers</w:t>
      </w:r>
      <w:r w:rsidR="00E16114">
        <w:t>.</w:t>
      </w:r>
    </w:p>
    <w:p w:rsidR="00DB32B6" w:rsidRPr="00E16114" w:rsidRDefault="00787B47" w:rsidP="00E16114">
      <w:pPr>
        <w:pStyle w:val="JudgmentText"/>
        <w:tabs>
          <w:tab w:val="clear" w:pos="360"/>
        </w:tabs>
        <w:ind w:hanging="720"/>
        <w:rPr>
          <w:b/>
        </w:rPr>
      </w:pPr>
      <w:r>
        <w:t xml:space="preserve">The </w:t>
      </w:r>
      <w:r w:rsidR="006811B7">
        <w:t>Applicant</w:t>
      </w:r>
      <w:r>
        <w:t xml:space="preserve"> further avers that in breach of the express and implied terms </w:t>
      </w:r>
      <w:r w:rsidR="00E16114">
        <w:t>of the agreement,</w:t>
      </w:r>
      <w:r>
        <w:t xml:space="preserve"> the </w:t>
      </w:r>
      <w:r w:rsidR="006811B7">
        <w:t>Respondent</w:t>
      </w:r>
      <w:r>
        <w:t xml:space="preserve">’s acts and or </w:t>
      </w:r>
      <w:r w:rsidR="00E16114">
        <w:t xml:space="preserve">omissions </w:t>
      </w:r>
      <w:r>
        <w:t xml:space="preserve">amount to material breaches that was accepted by the </w:t>
      </w:r>
      <w:r w:rsidR="006811B7">
        <w:t>Applicant</w:t>
      </w:r>
      <w:r>
        <w:t xml:space="preserve"> at or around October 2020.</w:t>
      </w:r>
    </w:p>
    <w:p w:rsidR="00E16114" w:rsidRDefault="00787B47" w:rsidP="00E16114">
      <w:pPr>
        <w:pStyle w:val="JudgmentText"/>
        <w:tabs>
          <w:tab w:val="clear" w:pos="360"/>
        </w:tabs>
        <w:ind w:hanging="720"/>
        <w:rPr>
          <w:b/>
        </w:rPr>
      </w:pPr>
      <w:r>
        <w:t xml:space="preserve">The </w:t>
      </w:r>
      <w:r w:rsidR="006811B7">
        <w:t>Applicant</w:t>
      </w:r>
      <w:r>
        <w:t xml:space="preserve"> avers that the actions and or </w:t>
      </w:r>
      <w:r w:rsidR="00E16114">
        <w:t>omissions</w:t>
      </w:r>
      <w:r>
        <w:t xml:space="preserve"> of the </w:t>
      </w:r>
      <w:r w:rsidR="006811B7">
        <w:t>Respondent</w:t>
      </w:r>
      <w:r>
        <w:t xml:space="preserve">, the </w:t>
      </w:r>
      <w:r w:rsidR="006811B7">
        <w:t>Respondent</w:t>
      </w:r>
      <w:r>
        <w:t xml:space="preserve">’s agents, servants or employee’s amount to breaches of contract in law and accordingly the </w:t>
      </w:r>
      <w:r w:rsidR="006811B7">
        <w:t>Applicant</w:t>
      </w:r>
      <w:r>
        <w:t xml:space="preserve"> is entitled to and claims the sum of SCR1,900,000.00 with interest and costs.</w:t>
      </w:r>
    </w:p>
    <w:p w:rsidR="00F421B9" w:rsidRPr="00E16114" w:rsidRDefault="00E16114" w:rsidP="00E16114">
      <w:pPr>
        <w:pStyle w:val="JudgmentText"/>
        <w:tabs>
          <w:tab w:val="clear" w:pos="360"/>
        </w:tabs>
        <w:ind w:hanging="720"/>
        <w:rPr>
          <w:b/>
        </w:rPr>
      </w:pPr>
      <w:r w:rsidRPr="00E16114">
        <w:t xml:space="preserve">The </w:t>
      </w:r>
      <w:r w:rsidR="006811B7">
        <w:t>Applicant</w:t>
      </w:r>
      <w:r w:rsidRPr="00E16114">
        <w:t xml:space="preserve"> moved the Court for an order</w:t>
      </w:r>
      <w:r>
        <w:t xml:space="preserve"> o</w:t>
      </w:r>
      <w:r w:rsidR="00787B47" w:rsidRPr="00E16114">
        <w:t>rder</w:t>
      </w:r>
      <w:r>
        <w:t>ing</w:t>
      </w:r>
      <w:r w:rsidR="00787B47">
        <w:t xml:space="preserve"> the </w:t>
      </w:r>
      <w:r w:rsidR="006811B7">
        <w:t>Respondent</w:t>
      </w:r>
      <w:r w:rsidR="00787B47">
        <w:t xml:space="preserve"> to pay the </w:t>
      </w:r>
      <w:r w:rsidR="006811B7">
        <w:t>Applicant</w:t>
      </w:r>
      <w:r w:rsidR="00787B47">
        <w:t xml:space="preserve"> the sum of SCR2,600,000.00</w:t>
      </w:r>
      <w:r>
        <w:t xml:space="preserve"> or alternatively to </w:t>
      </w:r>
      <w:r w:rsidR="00F421B9">
        <w:t>declare that the Promise of Sale has been frustrated</w:t>
      </w:r>
      <w:r>
        <w:rPr>
          <w:b/>
        </w:rPr>
        <w:t xml:space="preserve"> </w:t>
      </w:r>
      <w:r w:rsidRPr="00E16114">
        <w:t>and</w:t>
      </w:r>
      <w:r>
        <w:rPr>
          <w:b/>
        </w:rPr>
        <w:t xml:space="preserve"> </w:t>
      </w:r>
      <w:r w:rsidR="00F421B9">
        <w:t>order rescission of the Promise of Sale</w:t>
      </w:r>
      <w:r>
        <w:t xml:space="preserve"> and </w:t>
      </w:r>
      <w:r w:rsidR="00F421B9">
        <w:t xml:space="preserve">order the </w:t>
      </w:r>
      <w:r w:rsidR="006811B7">
        <w:t>Respondent</w:t>
      </w:r>
      <w:r w:rsidR="00F421B9">
        <w:t xml:space="preserve"> to pay the </w:t>
      </w:r>
      <w:r w:rsidR="006811B7">
        <w:t>Applicant</w:t>
      </w:r>
      <w:r w:rsidR="00F421B9">
        <w:t xml:space="preserve"> the sum of SCR1,900,000.00</w:t>
      </w:r>
      <w:r>
        <w:t xml:space="preserve"> and the sum of </w:t>
      </w:r>
      <w:r w:rsidR="00F421B9">
        <w:t>SCR1,000,000.00 as damages together with interest and costs.</w:t>
      </w:r>
    </w:p>
    <w:p w:rsidR="00C40EE1" w:rsidRPr="00C40EE1" w:rsidRDefault="00E16114" w:rsidP="00E16114">
      <w:pPr>
        <w:pStyle w:val="JudgmentText"/>
        <w:tabs>
          <w:tab w:val="clear" w:pos="360"/>
        </w:tabs>
        <w:ind w:hanging="720"/>
        <w:rPr>
          <w:b/>
        </w:rPr>
      </w:pPr>
      <w:r>
        <w:t xml:space="preserve">The </w:t>
      </w:r>
      <w:r w:rsidR="006811B7">
        <w:t xml:space="preserve">Respondent objected to the claim of the Applicant in the Plaint and the case was set for hearing which started on the </w:t>
      </w:r>
      <w:r w:rsidR="007947E2">
        <w:t>27</w:t>
      </w:r>
      <w:r w:rsidR="007947E2" w:rsidRPr="007947E2">
        <w:rPr>
          <w:vertAlign w:val="superscript"/>
        </w:rPr>
        <w:t>th</w:t>
      </w:r>
      <w:r w:rsidR="007947E2">
        <w:t xml:space="preserve"> April 2023. After the Applicant had completed his testimony learned counsel for the Applicant moved the Court</w:t>
      </w:r>
      <w:r w:rsidR="002F3630">
        <w:t xml:space="preserve"> for leave to amend the Plaint.</w:t>
      </w:r>
    </w:p>
    <w:p w:rsidR="00C40EE1" w:rsidRPr="00C40EE1" w:rsidRDefault="00A64C82" w:rsidP="00E16114">
      <w:pPr>
        <w:pStyle w:val="JudgmentText"/>
        <w:tabs>
          <w:tab w:val="clear" w:pos="360"/>
        </w:tabs>
        <w:ind w:hanging="720"/>
        <w:rPr>
          <w:b/>
        </w:rPr>
      </w:pPr>
      <w:r>
        <w:t xml:space="preserve">The proposed amendments </w:t>
      </w:r>
      <w:r w:rsidR="00C40EE1">
        <w:t xml:space="preserve">Start from paragraph 15 of the Plaint and </w:t>
      </w:r>
      <w:r>
        <w:t>read as follows</w:t>
      </w:r>
      <w:r w:rsidR="00C40EE1">
        <w:t xml:space="preserve"> with the additions in bold:</w:t>
      </w:r>
    </w:p>
    <w:p w:rsidR="00C40EE1" w:rsidRPr="00C40EE1" w:rsidRDefault="00C40EE1" w:rsidP="00C40EE1">
      <w:pPr>
        <w:pStyle w:val="JudgmentText"/>
        <w:numPr>
          <w:ilvl w:val="0"/>
          <w:numId w:val="0"/>
        </w:numPr>
        <w:tabs>
          <w:tab w:val="left" w:pos="1260"/>
        </w:tabs>
        <w:ind w:left="1260" w:right="720"/>
        <w:rPr>
          <w:i/>
        </w:rPr>
      </w:pPr>
      <w:r>
        <w:rPr>
          <w:i/>
        </w:rPr>
        <w:t>“</w:t>
      </w:r>
      <w:r w:rsidRPr="00C40EE1">
        <w:rPr>
          <w:i/>
        </w:rPr>
        <w:t xml:space="preserve">15. The Plaintiff avers that to date, </w:t>
      </w:r>
      <w:r w:rsidRPr="00C40EE1">
        <w:rPr>
          <w:b/>
          <w:i/>
        </w:rPr>
        <w:t>the Defendant’s agent, Mr. Peter Esparon has agreed to accept the sum of SCR4,000,000.00 as purchase price for the two parcels of land for and on behalf of the Defendant</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 xml:space="preserve">16. The Plaintiff further avers that in breach of the express and/or implied terms set out in paragraph 3, and 4 above, the Defendant’s acts and/or omissions, above-stated in paragraphs 12, 13 and 14 amount to material breaches </w:t>
      </w:r>
      <w:r w:rsidRPr="00C40EE1">
        <w:rPr>
          <w:b/>
          <w:i/>
        </w:rPr>
        <w:t>of the promise of sale</w:t>
      </w:r>
      <w:r w:rsidRPr="00C40EE1">
        <w:rPr>
          <w:i/>
        </w:rPr>
        <w:t xml:space="preserve"> that was accepted by the Defendant at or around October 2020.</w:t>
      </w:r>
    </w:p>
    <w:p w:rsidR="00C40EE1" w:rsidRPr="00C40EE1" w:rsidRDefault="00C40EE1" w:rsidP="00C40EE1">
      <w:pPr>
        <w:pStyle w:val="JudgmentText"/>
        <w:numPr>
          <w:ilvl w:val="0"/>
          <w:numId w:val="0"/>
        </w:numPr>
        <w:tabs>
          <w:tab w:val="left" w:pos="1260"/>
        </w:tabs>
        <w:ind w:left="1260" w:right="720"/>
        <w:rPr>
          <w:i/>
        </w:rPr>
      </w:pPr>
      <w:r w:rsidRPr="00C40EE1">
        <w:rPr>
          <w:i/>
        </w:rPr>
        <w:t xml:space="preserve">17. The plaintiff avers that the actions and/or omissions of the Defendant, the Defendant’s agents, servants or employee’s described above, amount to breaches of contract in law and accordingly the Plaintiff is entitled </w:t>
      </w:r>
      <w:r w:rsidRPr="00C40EE1">
        <w:rPr>
          <w:b/>
          <w:i/>
        </w:rPr>
        <w:t>to the remedy of specific performance of the contract and damages</w:t>
      </w:r>
      <w:r w:rsidRPr="00C40EE1">
        <w:rPr>
          <w:i/>
        </w:rPr>
        <w:t>.</w:t>
      </w:r>
    </w:p>
    <w:p w:rsidR="00C40EE1" w:rsidRPr="00C40EE1" w:rsidRDefault="00C40EE1" w:rsidP="00C40EE1">
      <w:pPr>
        <w:pStyle w:val="JudgmentText"/>
        <w:numPr>
          <w:ilvl w:val="0"/>
          <w:numId w:val="0"/>
        </w:numPr>
        <w:tabs>
          <w:tab w:val="left" w:pos="1260"/>
        </w:tabs>
        <w:ind w:left="1260" w:right="720"/>
        <w:rPr>
          <w:i/>
          <w:u w:val="single"/>
        </w:rPr>
      </w:pPr>
    </w:p>
    <w:p w:rsidR="00C40EE1" w:rsidRPr="00C40EE1" w:rsidRDefault="00C40EE1" w:rsidP="00C40EE1">
      <w:pPr>
        <w:pStyle w:val="JudgmentText"/>
        <w:numPr>
          <w:ilvl w:val="0"/>
          <w:numId w:val="0"/>
        </w:numPr>
        <w:tabs>
          <w:tab w:val="left" w:pos="1260"/>
        </w:tabs>
        <w:ind w:left="1260" w:right="720"/>
        <w:rPr>
          <w:i/>
          <w:u w:val="single"/>
        </w:rPr>
      </w:pPr>
      <w:r w:rsidRPr="00C40EE1">
        <w:rPr>
          <w:i/>
          <w:u w:val="single"/>
        </w:rPr>
        <w:t>PARTICULARS</w:t>
      </w:r>
    </w:p>
    <w:p w:rsidR="00C40EE1" w:rsidRPr="00C40EE1" w:rsidRDefault="00C40EE1" w:rsidP="00C40EE1">
      <w:pPr>
        <w:pStyle w:val="JudgmentText"/>
        <w:numPr>
          <w:ilvl w:val="0"/>
          <w:numId w:val="0"/>
        </w:numPr>
        <w:tabs>
          <w:tab w:val="left" w:pos="1260"/>
        </w:tabs>
        <w:ind w:left="1260" w:right="720"/>
        <w:rPr>
          <w:b/>
          <w:i/>
        </w:rPr>
      </w:pPr>
      <w:r w:rsidRPr="00C40EE1">
        <w:rPr>
          <w:b/>
          <w:i/>
        </w:rPr>
        <w:t>Damages for breach of contract</w:t>
      </w:r>
      <w:r w:rsidRPr="00C40EE1">
        <w:rPr>
          <w:b/>
          <w:i/>
        </w:rPr>
        <w:tab/>
      </w:r>
      <w:r w:rsidRPr="00C40EE1">
        <w:rPr>
          <w:b/>
          <w:i/>
        </w:rPr>
        <w:tab/>
      </w:r>
      <w:r w:rsidRPr="00C40EE1">
        <w:rPr>
          <w:b/>
          <w:i/>
        </w:rPr>
        <w:tab/>
        <w:t>SCR4,000,000.00</w:t>
      </w:r>
    </w:p>
    <w:p w:rsidR="00C40EE1" w:rsidRPr="00C40EE1" w:rsidRDefault="00C40EE1" w:rsidP="00C40EE1">
      <w:pPr>
        <w:pStyle w:val="JudgmentText"/>
        <w:numPr>
          <w:ilvl w:val="0"/>
          <w:numId w:val="0"/>
        </w:numPr>
        <w:tabs>
          <w:tab w:val="left" w:pos="1260"/>
        </w:tabs>
        <w:ind w:left="1260" w:right="720"/>
        <w:rPr>
          <w:b/>
          <w:i/>
        </w:rPr>
      </w:pPr>
      <w:r w:rsidRPr="00C40EE1">
        <w:rPr>
          <w:b/>
          <w:i/>
        </w:rPr>
        <w:t>Calculated as twice the deposit paid</w:t>
      </w:r>
    </w:p>
    <w:p w:rsidR="00C40EE1" w:rsidRPr="00C40EE1" w:rsidRDefault="00C40EE1" w:rsidP="00C40EE1">
      <w:pPr>
        <w:pStyle w:val="JudgmentText"/>
        <w:numPr>
          <w:ilvl w:val="0"/>
          <w:numId w:val="0"/>
        </w:numPr>
        <w:tabs>
          <w:tab w:val="left" w:pos="1260"/>
        </w:tabs>
        <w:ind w:left="1260" w:right="720"/>
        <w:rPr>
          <w:i/>
        </w:rPr>
      </w:pPr>
      <w:r w:rsidRPr="00C40EE1">
        <w:rPr>
          <w:b/>
          <w:i/>
        </w:rPr>
        <w:t>By the Plaintiff to the Defendant.</w:t>
      </w:r>
    </w:p>
    <w:p w:rsidR="00C40EE1" w:rsidRPr="00C40EE1" w:rsidRDefault="00C40EE1" w:rsidP="00C40EE1">
      <w:pPr>
        <w:pStyle w:val="JudgmentText"/>
        <w:numPr>
          <w:ilvl w:val="0"/>
          <w:numId w:val="0"/>
        </w:numPr>
        <w:tabs>
          <w:tab w:val="left" w:pos="1260"/>
        </w:tabs>
        <w:ind w:left="1260" w:right="720"/>
        <w:rPr>
          <w:i/>
        </w:rPr>
      </w:pPr>
    </w:p>
    <w:p w:rsidR="00C40EE1" w:rsidRPr="00C40EE1" w:rsidRDefault="00C40EE1" w:rsidP="00C40EE1">
      <w:pPr>
        <w:pStyle w:val="JudgmentText"/>
        <w:numPr>
          <w:ilvl w:val="0"/>
          <w:numId w:val="0"/>
        </w:numPr>
        <w:tabs>
          <w:tab w:val="left" w:pos="1260"/>
        </w:tabs>
        <w:ind w:left="1260" w:right="720"/>
        <w:rPr>
          <w:i/>
        </w:rPr>
      </w:pPr>
      <w:r w:rsidRPr="00C40EE1">
        <w:rPr>
          <w:i/>
        </w:rPr>
        <w:t xml:space="preserve">WHEREFORE, the Plaintiff prays to this Honourable Court to enter judgment in favour of the Plaintiff </w:t>
      </w:r>
      <w:r w:rsidRPr="00C40EE1">
        <w:rPr>
          <w:b/>
          <w:i/>
        </w:rPr>
        <w:t>in the sum of SCR4,000,000.00</w:t>
      </w:r>
      <w:r w:rsidRPr="00C40EE1">
        <w:rPr>
          <w:i/>
        </w:rPr>
        <w:t xml:space="preserve"> and make the following </w:t>
      </w:r>
      <w:proofErr w:type="gramStart"/>
      <w:r w:rsidRPr="00C40EE1">
        <w:rPr>
          <w:i/>
        </w:rPr>
        <w:t>orders:-</w:t>
      </w:r>
      <w:proofErr w:type="gramEnd"/>
    </w:p>
    <w:p w:rsidR="00C40EE1" w:rsidRPr="00C40EE1" w:rsidRDefault="00C40EE1" w:rsidP="00C40EE1">
      <w:pPr>
        <w:pStyle w:val="JudgmentText"/>
        <w:numPr>
          <w:ilvl w:val="0"/>
          <w:numId w:val="0"/>
        </w:numPr>
        <w:tabs>
          <w:tab w:val="left" w:pos="1260"/>
        </w:tabs>
        <w:ind w:left="1260" w:right="720"/>
        <w:rPr>
          <w:i/>
        </w:rPr>
      </w:pPr>
      <w:r w:rsidRPr="00C40EE1">
        <w:rPr>
          <w:i/>
        </w:rPr>
        <w:t>1.</w:t>
      </w:r>
      <w:r w:rsidRPr="00C40EE1">
        <w:rPr>
          <w:i/>
        </w:rPr>
        <w:tab/>
      </w:r>
      <w:r w:rsidRPr="00C40EE1">
        <w:rPr>
          <w:b/>
          <w:i/>
        </w:rPr>
        <w:t xml:space="preserve">declare that Mr. Peter </w:t>
      </w:r>
      <w:proofErr w:type="spellStart"/>
      <w:r w:rsidRPr="00C40EE1">
        <w:rPr>
          <w:b/>
          <w:i/>
        </w:rPr>
        <w:t>Lesperance</w:t>
      </w:r>
      <w:proofErr w:type="spellEnd"/>
      <w:r w:rsidRPr="00C40EE1">
        <w:rPr>
          <w:b/>
          <w:i/>
        </w:rPr>
        <w:t xml:space="preserve"> was acting in his capacity as agent of the Defendant in law throughout the negotiations with the Plaintiff to purchase Titles H8694 and H8692</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2.</w:t>
      </w:r>
      <w:r w:rsidRPr="00C40EE1">
        <w:rPr>
          <w:i/>
        </w:rPr>
        <w:tab/>
      </w:r>
      <w:r w:rsidRPr="00C40EE1">
        <w:rPr>
          <w:b/>
          <w:i/>
        </w:rPr>
        <w:t>make a finding that there has been a variation of the terms and conditions of the promise of sale in that the purchase price agreed upon in the promise of sale between the Plaintiff and the Defendant was subsequently varied from SCR4,500,000,000.00 to SCR4,000,000.00 as the land area was much smaller than the size originally agreed by the Plaintiff and the Defendant due to the extraction of 560 square meters in favour of Bernadette Boniface as per the court order</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3.</w:t>
      </w:r>
      <w:r w:rsidRPr="00C40EE1">
        <w:rPr>
          <w:i/>
        </w:rPr>
        <w:tab/>
      </w:r>
      <w:r w:rsidRPr="00C40EE1">
        <w:rPr>
          <w:b/>
          <w:i/>
        </w:rPr>
        <w:t>declare that there has been a sale of Titles H8694 and H8692 from the Defendant to the Plaintiff for the sum of SCR4,000,000.00 by operation of law</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4.</w:t>
      </w:r>
      <w:r w:rsidRPr="00C40EE1">
        <w:rPr>
          <w:i/>
        </w:rPr>
        <w:tab/>
      </w:r>
      <w:r w:rsidRPr="00C40EE1">
        <w:rPr>
          <w:b/>
          <w:i/>
        </w:rPr>
        <w:t>order the Defendant to pay the Plaintiff the sum of SCR2,000,000.00 three months after the date of the judgment of the Supreme Court</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5.</w:t>
      </w:r>
      <w:r w:rsidRPr="00C40EE1">
        <w:rPr>
          <w:i/>
        </w:rPr>
        <w:tab/>
      </w:r>
      <w:r w:rsidRPr="00C40EE1">
        <w:rPr>
          <w:b/>
          <w:i/>
        </w:rPr>
        <w:t>order the Defendant to transfer title numbers H8694 and H8692 to the Plaintiff upon receipt of the sum of SCR2000,000.00 from the Plaintiff to the Defendant</w:t>
      </w:r>
      <w:r w:rsidRPr="00C40EE1">
        <w:rPr>
          <w:i/>
        </w:rPr>
        <w:t>.</w:t>
      </w:r>
    </w:p>
    <w:p w:rsidR="00C40EE1" w:rsidRPr="00C40EE1" w:rsidRDefault="00C40EE1" w:rsidP="00C40EE1">
      <w:pPr>
        <w:pStyle w:val="JudgmentText"/>
        <w:numPr>
          <w:ilvl w:val="0"/>
          <w:numId w:val="0"/>
        </w:numPr>
        <w:tabs>
          <w:tab w:val="left" w:pos="1260"/>
        </w:tabs>
        <w:ind w:left="1260" w:right="720"/>
        <w:rPr>
          <w:i/>
        </w:rPr>
      </w:pPr>
      <w:r w:rsidRPr="00C40EE1">
        <w:rPr>
          <w:i/>
        </w:rPr>
        <w:t>6.</w:t>
      </w:r>
      <w:r w:rsidRPr="00C40EE1">
        <w:rPr>
          <w:i/>
        </w:rPr>
        <w:tab/>
      </w:r>
      <w:r w:rsidRPr="00C40EE1">
        <w:rPr>
          <w:b/>
          <w:i/>
        </w:rPr>
        <w:t>Failing which, order the Registrar of Lands to rectify the land register by registering title numbers H8694 and H8692 in the name of the Plaintiff upon proof of payment of the sum of SCR2000,000.00 from the Plaintiff to the Defendant</w:t>
      </w:r>
      <w:r w:rsidRPr="00C40EE1">
        <w:rPr>
          <w:i/>
        </w:rPr>
        <w:t>.</w:t>
      </w:r>
      <w:r>
        <w:rPr>
          <w:i/>
        </w:rPr>
        <w:t>”</w:t>
      </w:r>
    </w:p>
    <w:p w:rsidR="00E16114" w:rsidRPr="00E16114" w:rsidRDefault="00A64C82" w:rsidP="00C40EE1">
      <w:pPr>
        <w:pStyle w:val="JudgmentText"/>
        <w:numPr>
          <w:ilvl w:val="0"/>
          <w:numId w:val="0"/>
        </w:numPr>
        <w:ind w:left="720"/>
        <w:rPr>
          <w:b/>
        </w:rPr>
      </w:pPr>
      <w:r>
        <w:t xml:space="preserve">  </w:t>
      </w:r>
    </w:p>
    <w:p w:rsidR="00F421B9" w:rsidRDefault="00DB649E" w:rsidP="00DB649E">
      <w:pPr>
        <w:pStyle w:val="JudgmentText"/>
        <w:tabs>
          <w:tab w:val="clear" w:pos="360"/>
          <w:tab w:val="num" w:pos="720"/>
        </w:tabs>
        <w:ind w:hanging="720"/>
      </w:pPr>
      <w:r>
        <w:t xml:space="preserve">The Respondent objected to the amendments stating that she has been advised </w:t>
      </w:r>
      <w:r w:rsidR="00F421B9">
        <w:t xml:space="preserve">by </w:t>
      </w:r>
      <w:r>
        <w:t xml:space="preserve">her </w:t>
      </w:r>
      <w:r w:rsidR="00F421B9">
        <w:t>Attorney that the proposed amendments are contrary to law and in particular to the provisions of section 146 of the Seychelles Code of Civil Procedure in that the proposed amendments are intended to convert a suit of one character into a suit of another and substantially different character.</w:t>
      </w:r>
      <w:r>
        <w:t xml:space="preserve"> The Respondent further avers that</w:t>
      </w:r>
      <w:r w:rsidR="00F421B9">
        <w:t xml:space="preserve"> the Applicant is attempting to convert a suit with a cause of sale into a different suit and cause of action based on the remedy of specific performance.</w:t>
      </w:r>
    </w:p>
    <w:p w:rsidR="00F421B9" w:rsidRDefault="00DB649E" w:rsidP="00E72D34">
      <w:pPr>
        <w:pStyle w:val="JudgmentText"/>
        <w:tabs>
          <w:tab w:val="clear" w:pos="360"/>
          <w:tab w:val="num" w:pos="720"/>
        </w:tabs>
        <w:ind w:hanging="720"/>
      </w:pPr>
      <w:r>
        <w:t xml:space="preserve">The Respondent further averred that she has been advised by her attorney </w:t>
      </w:r>
      <w:r w:rsidR="00F421B9">
        <w:t>that the proposed amendments are not being sought i</w:t>
      </w:r>
      <w:r>
        <w:t>n good faith, they would cause her</w:t>
      </w:r>
      <w:r w:rsidR="00F421B9">
        <w:t xml:space="preserve"> prejudice, </w:t>
      </w:r>
      <w:r>
        <w:t>she</w:t>
      </w:r>
      <w:r w:rsidR="00F421B9">
        <w:t xml:space="preserve"> would not be compensated by costs and it would alter t</w:t>
      </w:r>
      <w:r>
        <w:t>he nature of the suit as was</w:t>
      </w:r>
      <w:r w:rsidR="00F421B9">
        <w:t xml:space="preserve"> found in the case of </w:t>
      </w:r>
      <w:r w:rsidR="00F421B9" w:rsidRPr="00DB649E">
        <w:rPr>
          <w:i/>
          <w:u w:val="single"/>
        </w:rPr>
        <w:t>Petit Car Hire v Mandelson [1977] SLR 68, 72-73.</w:t>
      </w:r>
      <w:r w:rsidR="00E72D34">
        <w:t xml:space="preserve"> She further </w:t>
      </w:r>
      <w:proofErr w:type="gramStart"/>
      <w:r w:rsidR="00E72D34">
        <w:t>aver</w:t>
      </w:r>
      <w:proofErr w:type="gramEnd"/>
      <w:r w:rsidR="00E72D34">
        <w:t xml:space="preserve"> that </w:t>
      </w:r>
      <w:r w:rsidR="00F421B9">
        <w:t>the proposed amendments are not necessary for the determination of the real questions in controversy between the parties as these questions were never raised during the course of the examination of the Applicant.</w:t>
      </w:r>
    </w:p>
    <w:p w:rsidR="00192544" w:rsidRDefault="00E72D34" w:rsidP="00192544">
      <w:pPr>
        <w:pStyle w:val="JudgmentText"/>
        <w:tabs>
          <w:tab w:val="clear" w:pos="360"/>
          <w:tab w:val="num" w:pos="720"/>
        </w:tabs>
        <w:ind w:hanging="720"/>
      </w:pPr>
      <w:r>
        <w:t xml:space="preserve">In his submission learned counsel for the Applicant submitted </w:t>
      </w:r>
      <w:r w:rsidR="00192544">
        <w:t xml:space="preserve">this application is made under Section 146 of the Seychelles Code of Civil Procedure which provides that the Court may allow any amendments to be made to pleadings.  There are two issues that the Court has to consider under Section 146 in the interest of justice.  The Court can allow or can grant leave to amend pleadings if it may be just to do so.  The Court has to be guided by what is in the circumstances in the interest of justice and secondly, whether the amendments would help the Court to determine what are the real questions in controversy between the parties. </w:t>
      </w:r>
    </w:p>
    <w:p w:rsidR="007E04DB" w:rsidRDefault="00192544" w:rsidP="00192544">
      <w:pPr>
        <w:pStyle w:val="JudgmentText"/>
        <w:tabs>
          <w:tab w:val="clear" w:pos="360"/>
          <w:tab w:val="num" w:pos="720"/>
        </w:tabs>
        <w:ind w:hanging="720"/>
      </w:pPr>
      <w:r>
        <w:t>Learned counsel submitted further that there is a proviso to Section 146 where the Court may not allow the amendment which is if the a</w:t>
      </w:r>
      <w:r w:rsidR="004C3D09">
        <w:t>mendment would convert the suit</w:t>
      </w:r>
      <w:r>
        <w:t xml:space="preserve"> from one character into another of substantially different character.  This is the only reason that the Court may decide not to grant leave to amend pleadings. Learned counsel submitted that the amendments that are being pro</w:t>
      </w:r>
      <w:r w:rsidR="004C3D09">
        <w:t>posed will not convert the suit</w:t>
      </w:r>
      <w:r>
        <w:t xml:space="preserve"> from one character into a substantially different character because the crux of the matter remain</w:t>
      </w:r>
      <w:r w:rsidR="007E04DB">
        <w:t>s</w:t>
      </w:r>
      <w:r>
        <w:t xml:space="preserve"> the same.  At the heart of this case is an allegation by the Applicant in this motion against the Respondent of a breach of contract and the prayer remain</w:t>
      </w:r>
      <w:r w:rsidR="007E04DB">
        <w:t>s</w:t>
      </w:r>
      <w:r>
        <w:t xml:space="preserve"> the same for a specific performance of the contract.  </w:t>
      </w:r>
    </w:p>
    <w:p w:rsidR="00192544" w:rsidRDefault="007E04DB" w:rsidP="007E04DB">
      <w:pPr>
        <w:pStyle w:val="JudgmentText"/>
        <w:tabs>
          <w:tab w:val="clear" w:pos="360"/>
          <w:tab w:val="num" w:pos="720"/>
        </w:tabs>
        <w:ind w:hanging="720"/>
      </w:pPr>
      <w:r>
        <w:t xml:space="preserve">Learned counsel referred the Court to </w:t>
      </w:r>
      <w:r w:rsidR="00192544">
        <w:t>the case</w:t>
      </w:r>
      <w:r>
        <w:t>s</w:t>
      </w:r>
      <w:r w:rsidR="00192544">
        <w:t xml:space="preserve"> </w:t>
      </w:r>
      <w:r w:rsidR="00192544" w:rsidRPr="007E04DB">
        <w:rPr>
          <w:i/>
          <w:u w:val="single"/>
        </w:rPr>
        <w:t>of Mechanism Development Manager vs. Yangtze Construction Company Pty Limited - MA 340 of 2015</w:t>
      </w:r>
      <w:r w:rsidR="00192544">
        <w:t xml:space="preserve"> </w:t>
      </w:r>
      <w:r>
        <w:t>and</w:t>
      </w:r>
      <w:r w:rsidR="00192544">
        <w:t xml:space="preserve"> </w:t>
      </w:r>
      <w:proofErr w:type="spellStart"/>
      <w:r w:rsidR="00192544" w:rsidRPr="007E04DB">
        <w:rPr>
          <w:i/>
          <w:u w:val="single"/>
        </w:rPr>
        <w:t>Yussuf</w:t>
      </w:r>
      <w:proofErr w:type="spellEnd"/>
      <w:r w:rsidR="00192544" w:rsidRPr="007E04DB">
        <w:rPr>
          <w:i/>
          <w:u w:val="single"/>
        </w:rPr>
        <w:t xml:space="preserve"> </w:t>
      </w:r>
      <w:proofErr w:type="spellStart"/>
      <w:r w:rsidR="00192544" w:rsidRPr="007E04DB">
        <w:rPr>
          <w:i/>
          <w:u w:val="single"/>
        </w:rPr>
        <w:t>Darwish</w:t>
      </w:r>
      <w:proofErr w:type="spellEnd"/>
      <w:r w:rsidR="00192544" w:rsidRPr="007E04DB">
        <w:rPr>
          <w:i/>
          <w:u w:val="single"/>
        </w:rPr>
        <w:t xml:space="preserve"> and Anor</w:t>
      </w:r>
      <w:r w:rsidRPr="007E04DB">
        <w:rPr>
          <w:i/>
          <w:u w:val="single"/>
        </w:rPr>
        <w:t xml:space="preserve"> vs. Eco Villas - CS 66 of 2021</w:t>
      </w:r>
      <w:r>
        <w:t xml:space="preserve"> in support of his submission.</w:t>
      </w:r>
    </w:p>
    <w:p w:rsidR="00192544" w:rsidRDefault="007E04DB" w:rsidP="00192544">
      <w:pPr>
        <w:pStyle w:val="JudgmentText"/>
        <w:tabs>
          <w:tab w:val="clear" w:pos="360"/>
        </w:tabs>
        <w:ind w:hanging="720"/>
      </w:pPr>
      <w:r>
        <w:t>Learned counsel for the Respondent submitted that in his view the a</w:t>
      </w:r>
      <w:r w:rsidR="004C3D09">
        <w:t>mendments would change the suit</w:t>
      </w:r>
      <w:r>
        <w:t xml:space="preserve"> from one character into one of another character</w:t>
      </w:r>
      <w:r w:rsidR="00192544">
        <w:t>.</w:t>
      </w:r>
      <w:r>
        <w:t xml:space="preserve"> Learned counsel referred the Court to the case of</w:t>
      </w:r>
      <w:r w:rsidR="00192544">
        <w:t xml:space="preserve"> </w:t>
      </w:r>
      <w:r w:rsidR="00192544" w:rsidRPr="00E34997">
        <w:rPr>
          <w:i/>
          <w:u w:val="single"/>
        </w:rPr>
        <w:t>Petit Care Hire vs. Mand</w:t>
      </w:r>
      <w:r w:rsidR="00E34997">
        <w:rPr>
          <w:i/>
          <w:u w:val="single"/>
        </w:rPr>
        <w:t>e</w:t>
      </w:r>
      <w:r w:rsidR="00192544" w:rsidRPr="00E34997">
        <w:rPr>
          <w:i/>
          <w:u w:val="single"/>
        </w:rPr>
        <w:t>lson 1997 SLR 68</w:t>
      </w:r>
      <w:r w:rsidR="00E34997">
        <w:t xml:space="preserve">. He argued that </w:t>
      </w:r>
      <w:r w:rsidR="00192544">
        <w:t xml:space="preserve">initially the Plaintiff </w:t>
      </w:r>
      <w:r w:rsidR="00E34997">
        <w:t xml:space="preserve">was </w:t>
      </w:r>
      <w:r w:rsidR="00192544">
        <w:t>requested t</w:t>
      </w:r>
      <w:r w:rsidR="00E34997">
        <w:t>o refund the</w:t>
      </w:r>
      <w:r w:rsidR="00192544">
        <w:t xml:space="preserve"> deposit</w:t>
      </w:r>
      <w:r w:rsidR="00E34997">
        <w:t xml:space="preserve"> and damages</w:t>
      </w:r>
      <w:r w:rsidR="00192544">
        <w:t>.</w:t>
      </w:r>
      <w:r w:rsidR="00E34997">
        <w:t xml:space="preserve"> </w:t>
      </w:r>
      <w:r w:rsidR="00192544">
        <w:t>The amendment</w:t>
      </w:r>
      <w:r w:rsidR="00E34997">
        <w:t>s</w:t>
      </w:r>
      <w:r w:rsidR="00192544">
        <w:t xml:space="preserve"> move away from this to specific performance. </w:t>
      </w:r>
      <w:r w:rsidR="00E34997">
        <w:t>T</w:t>
      </w:r>
      <w:r w:rsidR="004C3D09">
        <w:t>his has altered the suit</w:t>
      </w:r>
      <w:r w:rsidR="00192544">
        <w:t xml:space="preserve"> and it should not be permitted</w:t>
      </w:r>
      <w:r w:rsidR="00E34997">
        <w:t>.</w:t>
      </w:r>
    </w:p>
    <w:p w:rsidR="00E34997" w:rsidRDefault="00E34997" w:rsidP="00E34997">
      <w:pPr>
        <w:pStyle w:val="JudgmentText"/>
        <w:tabs>
          <w:tab w:val="clear" w:pos="360"/>
        </w:tabs>
        <w:ind w:hanging="720"/>
      </w:pPr>
      <w:r>
        <w:t xml:space="preserve">Learned counsel submitted that </w:t>
      </w:r>
      <w:r w:rsidR="00192544">
        <w:t xml:space="preserve">in certain instances an amendment can be permitted if it is necessary for the </w:t>
      </w:r>
      <w:r>
        <w:t>real</w:t>
      </w:r>
      <w:r w:rsidR="00192544">
        <w:t xml:space="preserve"> question in controversy between</w:t>
      </w:r>
      <w:r>
        <w:t xml:space="preserve"> the parties to be determined. T</w:t>
      </w:r>
      <w:r w:rsidR="00192544">
        <w:t>he</w:t>
      </w:r>
      <w:r>
        <w:t xml:space="preserve"> original plaint is very clear on </w:t>
      </w:r>
      <w:r w:rsidR="00192544">
        <w:t>refund and pay</w:t>
      </w:r>
      <w:r>
        <w:t xml:space="preserve">ing of </w:t>
      </w:r>
      <w:r w:rsidR="00192544">
        <w:t>damages</w:t>
      </w:r>
      <w:r>
        <w:t xml:space="preserve"> moving for </w:t>
      </w:r>
      <w:r w:rsidR="00192544">
        <w:t xml:space="preserve">specific </w:t>
      </w:r>
      <w:r>
        <w:t>performance</w:t>
      </w:r>
      <w:r w:rsidR="00192544">
        <w:t xml:space="preserve"> is clearly a differen</w:t>
      </w:r>
      <w:r>
        <w:t>t</w:t>
      </w:r>
      <w:r w:rsidR="00192544">
        <w:t xml:space="preserve"> cause of action.  </w:t>
      </w:r>
    </w:p>
    <w:p w:rsidR="004D0CB8" w:rsidRDefault="00E34997" w:rsidP="00E34997">
      <w:pPr>
        <w:pStyle w:val="JudgmentText"/>
        <w:tabs>
          <w:tab w:val="clear" w:pos="360"/>
        </w:tabs>
        <w:ind w:hanging="720"/>
      </w:pPr>
      <w:r>
        <w:t xml:space="preserve">Learned counsel further submitted that in the Plaint </w:t>
      </w:r>
      <w:r w:rsidR="00192544">
        <w:t xml:space="preserve">the price that was originally agreed between the parties was SCR4,500,000 but </w:t>
      </w:r>
      <w:r>
        <w:t xml:space="preserve">now </w:t>
      </w:r>
      <w:r w:rsidR="00192544">
        <w:t xml:space="preserve">the Plaintiff is asking this Court to order specific performance </w:t>
      </w:r>
      <w:r>
        <w:t>and he is proposing payment of</w:t>
      </w:r>
      <w:r w:rsidR="00192544">
        <w:t xml:space="preserve"> SCR3,800,000.  </w:t>
      </w:r>
      <w:r>
        <w:t>T</w:t>
      </w:r>
      <w:r w:rsidR="00192544">
        <w:t xml:space="preserve">here is no need to amend the plaint in order to determine the case, it is straight forward; a deposit was made and the Plaintiff says requesting originally to have the money back and damages.   </w:t>
      </w:r>
    </w:p>
    <w:p w:rsidR="007813AC" w:rsidRPr="00DF51A4" w:rsidRDefault="007813AC" w:rsidP="007813AC">
      <w:pPr>
        <w:pStyle w:val="JudgmentText"/>
        <w:tabs>
          <w:tab w:val="clear" w:pos="360"/>
        </w:tabs>
        <w:ind w:hanging="720"/>
      </w:pPr>
      <w:r>
        <w:t xml:space="preserve">Article </w:t>
      </w:r>
      <w:r w:rsidRPr="00DF51A4">
        <w:rPr>
          <w:bCs/>
        </w:rPr>
        <w:t>146</w:t>
      </w:r>
      <w:r>
        <w:rPr>
          <w:bCs/>
        </w:rPr>
        <w:t xml:space="preserve"> of the Seychelles Code of Civil Procedure Act provides for a</w:t>
      </w:r>
      <w:r w:rsidRPr="00DF51A4">
        <w:rPr>
          <w:bCs/>
        </w:rPr>
        <w:t>mendment of pleadings</w:t>
      </w:r>
      <w:r>
        <w:rPr>
          <w:bCs/>
        </w:rPr>
        <w:t xml:space="preserve"> as follows:</w:t>
      </w:r>
    </w:p>
    <w:p w:rsidR="007813AC" w:rsidRDefault="007813AC" w:rsidP="007813AC">
      <w:pPr>
        <w:spacing w:before="100" w:beforeAutospacing="1" w:after="100" w:afterAutospacing="1" w:line="240" w:lineRule="auto"/>
        <w:ind w:left="1800" w:right="720" w:hanging="540"/>
        <w:jc w:val="both"/>
        <w:rPr>
          <w:rFonts w:ascii="Times New Roman" w:eastAsia="Times New Roman" w:hAnsi="Times New Roman"/>
          <w:i/>
          <w:sz w:val="24"/>
          <w:szCs w:val="24"/>
        </w:rPr>
      </w:pPr>
      <w:r>
        <w:rPr>
          <w:rFonts w:ascii="Times New Roman" w:eastAsia="Times New Roman" w:hAnsi="Times New Roman"/>
          <w:i/>
          <w:sz w:val="24"/>
          <w:szCs w:val="24"/>
        </w:rPr>
        <w:t>“146.</w:t>
      </w:r>
      <w:r w:rsidRPr="00DF51A4">
        <w:rPr>
          <w:rFonts w:ascii="Times New Roman" w:eastAsia="Times New Roman" w:hAnsi="Times New Roman"/>
          <w:i/>
          <w:sz w:val="24"/>
          <w:szCs w:val="24"/>
        </w:rPr>
        <w:t xml:space="preserve">The court may, at any stage of the proceedings, allow either </w:t>
      </w:r>
      <w:hyperlink r:id="rId8" w:anchor="defn-term-party" w:history="1">
        <w:r w:rsidRPr="00DF51A4">
          <w:rPr>
            <w:rFonts w:ascii="Times New Roman" w:eastAsia="Times New Roman" w:hAnsi="Times New Roman"/>
            <w:i/>
            <w:sz w:val="24"/>
            <w:szCs w:val="24"/>
          </w:rPr>
          <w:t>party</w:t>
        </w:r>
      </w:hyperlink>
      <w:r w:rsidRPr="00DF51A4">
        <w:rPr>
          <w:rFonts w:ascii="Times New Roman" w:eastAsia="Times New Roman" w:hAnsi="Times New Roman"/>
          <w:i/>
          <w:sz w:val="24"/>
          <w:szCs w:val="24"/>
        </w:rPr>
        <w:t xml:space="preserve"> to alter or amend his pleadings, in such manner and on such terms as may be just, and all such amendments shall be made as may be necessary for the purpose of determining the real questions in controversy between the parties:</w:t>
      </w:r>
    </w:p>
    <w:p w:rsidR="007813AC" w:rsidRPr="00DF51A4" w:rsidRDefault="007813AC" w:rsidP="007813AC">
      <w:pPr>
        <w:spacing w:before="100" w:beforeAutospacing="1" w:after="100" w:afterAutospacing="1" w:line="240" w:lineRule="auto"/>
        <w:ind w:left="1800" w:right="720"/>
        <w:jc w:val="both"/>
        <w:rPr>
          <w:rFonts w:ascii="Times New Roman" w:eastAsia="Times New Roman" w:hAnsi="Times New Roman"/>
          <w:i/>
          <w:sz w:val="24"/>
          <w:szCs w:val="24"/>
        </w:rPr>
      </w:pPr>
      <w:r w:rsidRPr="00DF51A4">
        <w:rPr>
          <w:rFonts w:ascii="Times New Roman" w:eastAsia="Times New Roman" w:hAnsi="Times New Roman"/>
          <w:i/>
          <w:sz w:val="24"/>
          <w:szCs w:val="24"/>
        </w:rPr>
        <w:t xml:space="preserve">Provided that a plaint shall not be amended so as to convert a </w:t>
      </w:r>
      <w:hyperlink r:id="rId9" w:anchor="defn-term-suit" w:history="1">
        <w:r w:rsidRPr="00DF51A4">
          <w:rPr>
            <w:rFonts w:ascii="Times New Roman" w:eastAsia="Times New Roman" w:hAnsi="Times New Roman"/>
            <w:i/>
            <w:sz w:val="24"/>
            <w:szCs w:val="24"/>
          </w:rPr>
          <w:t>suit</w:t>
        </w:r>
      </w:hyperlink>
      <w:r w:rsidRPr="00DF51A4">
        <w:rPr>
          <w:rFonts w:ascii="Times New Roman" w:eastAsia="Times New Roman" w:hAnsi="Times New Roman"/>
          <w:i/>
          <w:sz w:val="24"/>
          <w:szCs w:val="24"/>
        </w:rPr>
        <w:t xml:space="preserve"> of one character into a </w:t>
      </w:r>
      <w:hyperlink r:id="rId10" w:anchor="defn-term-suit" w:history="1">
        <w:r w:rsidRPr="00DF51A4">
          <w:rPr>
            <w:rFonts w:ascii="Times New Roman" w:eastAsia="Times New Roman" w:hAnsi="Times New Roman"/>
            <w:i/>
            <w:sz w:val="24"/>
            <w:szCs w:val="24"/>
          </w:rPr>
          <w:t>suit</w:t>
        </w:r>
      </w:hyperlink>
      <w:r w:rsidRPr="00DF51A4">
        <w:rPr>
          <w:rFonts w:ascii="Times New Roman" w:eastAsia="Times New Roman" w:hAnsi="Times New Roman"/>
          <w:i/>
          <w:sz w:val="24"/>
          <w:szCs w:val="24"/>
        </w:rPr>
        <w:t xml:space="preserve"> of another and substantially diffe</w:t>
      </w:r>
      <w:r>
        <w:rPr>
          <w:rFonts w:ascii="Times New Roman" w:eastAsia="Times New Roman" w:hAnsi="Times New Roman"/>
          <w:i/>
          <w:sz w:val="24"/>
          <w:szCs w:val="24"/>
        </w:rPr>
        <w:t xml:space="preserve">rent </w:t>
      </w:r>
      <w:r w:rsidRPr="00DF51A4">
        <w:rPr>
          <w:rFonts w:ascii="Times New Roman" w:eastAsia="Times New Roman" w:hAnsi="Times New Roman"/>
          <w:i/>
          <w:sz w:val="24"/>
          <w:szCs w:val="24"/>
        </w:rPr>
        <w:t>character.</w:t>
      </w:r>
      <w:r>
        <w:rPr>
          <w:rFonts w:ascii="Times New Roman" w:eastAsia="Times New Roman" w:hAnsi="Times New Roman"/>
          <w:i/>
          <w:sz w:val="24"/>
          <w:szCs w:val="24"/>
        </w:rPr>
        <w:t>”</w:t>
      </w:r>
    </w:p>
    <w:p w:rsidR="007813AC" w:rsidRPr="007813AC" w:rsidRDefault="007813AC" w:rsidP="007813AC">
      <w:pPr>
        <w:pStyle w:val="JudgmentText"/>
        <w:tabs>
          <w:tab w:val="clear" w:pos="360"/>
        </w:tabs>
        <w:ind w:hanging="720"/>
      </w:pPr>
      <w:r>
        <w:t xml:space="preserve">The </w:t>
      </w:r>
      <w:r w:rsidRPr="007813AC">
        <w:t xml:space="preserve">Ugandan case of </w:t>
      </w:r>
      <w:proofErr w:type="spellStart"/>
      <w:r w:rsidRPr="007813AC">
        <w:rPr>
          <w:i/>
          <w:u w:val="single"/>
        </w:rPr>
        <w:t>Okello</w:t>
      </w:r>
      <w:proofErr w:type="spellEnd"/>
      <w:r w:rsidRPr="007813AC">
        <w:rPr>
          <w:i/>
          <w:u w:val="single"/>
        </w:rPr>
        <w:t xml:space="preserve"> Wilbert v </w:t>
      </w:r>
      <w:proofErr w:type="spellStart"/>
      <w:r w:rsidRPr="007813AC">
        <w:rPr>
          <w:i/>
          <w:u w:val="single"/>
        </w:rPr>
        <w:t>Obel</w:t>
      </w:r>
      <w:proofErr w:type="spellEnd"/>
      <w:r w:rsidRPr="007813AC">
        <w:rPr>
          <w:i/>
          <w:u w:val="single"/>
        </w:rPr>
        <w:t xml:space="preserve"> Ronald MA No: 97/2020 arising in CS No. 157/2017</w:t>
      </w:r>
      <w:r w:rsidRPr="007813AC">
        <w:t xml:space="preserve"> </w:t>
      </w:r>
      <w:r>
        <w:t xml:space="preserve">has been referred to by this Court in the case of </w:t>
      </w:r>
      <w:r w:rsidRPr="007813AC">
        <w:rPr>
          <w:i/>
          <w:u w:val="single"/>
        </w:rPr>
        <w:t>University of Seychelles</w:t>
      </w:r>
      <w:r w:rsidR="00D14AEE">
        <w:rPr>
          <w:i/>
          <w:u w:val="single"/>
        </w:rPr>
        <w:t xml:space="preserve"> American Institute of Medicine</w:t>
      </w:r>
      <w:r w:rsidRPr="007813AC">
        <w:rPr>
          <w:i/>
          <w:u w:val="single"/>
        </w:rPr>
        <w:t xml:space="preserve"> </w:t>
      </w:r>
      <w:proofErr w:type="gramStart"/>
      <w:r w:rsidRPr="007813AC">
        <w:rPr>
          <w:i/>
          <w:u w:val="single"/>
        </w:rPr>
        <w:t>vs</w:t>
      </w:r>
      <w:proofErr w:type="gramEnd"/>
      <w:r w:rsidRPr="007813AC">
        <w:rPr>
          <w:i/>
          <w:u w:val="single"/>
        </w:rPr>
        <w:t xml:space="preserve"> The Attorney GeneralMA19/2022 </w:t>
      </w:r>
      <w:r>
        <w:rPr>
          <w:i/>
          <w:u w:val="single"/>
        </w:rPr>
        <w:t xml:space="preserve">arising from </w:t>
      </w:r>
      <w:r w:rsidRPr="007813AC">
        <w:rPr>
          <w:i/>
          <w:u w:val="single"/>
        </w:rPr>
        <w:t>(CS131/2019</w:t>
      </w:r>
      <w:r>
        <w:rPr>
          <w:i/>
          <w:u w:val="single"/>
        </w:rPr>
        <w:t>.</w:t>
      </w:r>
      <w:r>
        <w:t xml:space="preserve">  T</w:t>
      </w:r>
      <w:r w:rsidRPr="007813AC">
        <w:t xml:space="preserve">he Court in reference to </w:t>
      </w:r>
      <w:r w:rsidRPr="007813AC">
        <w:rPr>
          <w:i/>
          <w:iCs/>
        </w:rPr>
        <w:t>Order 6 Rule 19 of the Civil Procedure Rules</w:t>
      </w:r>
      <w:r w:rsidRPr="007813AC">
        <w:t xml:space="preserve"> which is similar to article 146 and empowers the Court to grant leave to a party to amend their pleadings at any stage of the proceedings</w:t>
      </w:r>
      <w:r w:rsidR="00D14AEE">
        <w:t xml:space="preserve"> gave the following elaborations</w:t>
      </w:r>
      <w:r w:rsidRPr="007813AC">
        <w:t xml:space="preserve">:  </w:t>
      </w:r>
    </w:p>
    <w:p w:rsidR="007813AC" w:rsidRPr="007813AC" w:rsidRDefault="007813AC" w:rsidP="00D14AEE">
      <w:pPr>
        <w:spacing w:after="100" w:afterAutospacing="1" w:line="240" w:lineRule="auto"/>
        <w:ind w:left="1530" w:right="720" w:hanging="90"/>
        <w:jc w:val="both"/>
        <w:rPr>
          <w:rFonts w:ascii="Times New Roman" w:eastAsia="Times New Roman" w:hAnsi="Times New Roman"/>
          <w:i/>
          <w:sz w:val="24"/>
          <w:szCs w:val="24"/>
        </w:rPr>
      </w:pPr>
      <w:r w:rsidRPr="007813AC">
        <w:rPr>
          <w:rFonts w:ascii="Times New Roman" w:eastAsia="Times New Roman" w:hAnsi="Times New Roman"/>
          <w:i/>
          <w:color w:val="000000"/>
          <w:sz w:val="24"/>
          <w:szCs w:val="24"/>
        </w:rPr>
        <w:t>“The principles that have been recognized by the courts as governing the exercise of discretion to allow or disallow amendment of pleadings have been summarized in a number of decided cases and they boil down to the following:</w:t>
      </w:r>
    </w:p>
    <w:p w:rsidR="007813AC" w:rsidRPr="00D14AEE" w:rsidRDefault="007813AC" w:rsidP="00D14AEE">
      <w:pPr>
        <w:numPr>
          <w:ilvl w:val="0"/>
          <w:numId w:val="4"/>
        </w:numPr>
        <w:spacing w:after="100" w:afterAutospacing="1" w:line="240" w:lineRule="auto"/>
        <w:ind w:right="720" w:hanging="270"/>
        <w:jc w:val="both"/>
        <w:rPr>
          <w:rFonts w:ascii="Times New Roman" w:eastAsia="Times New Roman" w:hAnsi="Times New Roman"/>
          <w:i/>
          <w:sz w:val="24"/>
          <w:szCs w:val="24"/>
        </w:rPr>
      </w:pPr>
      <w:bookmarkStart w:id="1" w:name="bookmark31"/>
      <w:bookmarkEnd w:id="1"/>
      <w:r w:rsidRPr="007813AC">
        <w:rPr>
          <w:rFonts w:ascii="Times New Roman" w:eastAsia="Times New Roman" w:hAnsi="Times New Roman"/>
          <w:i/>
          <w:color w:val="000000"/>
          <w:sz w:val="24"/>
          <w:szCs w:val="24"/>
        </w:rPr>
        <w:t>Amendments are allowed by the courts so that the real question in controversy between the parties is determined and justice is administered without undue regard to technicalities.</w:t>
      </w:r>
    </w:p>
    <w:p w:rsidR="00D14AEE" w:rsidRPr="007813AC" w:rsidRDefault="00D14AEE" w:rsidP="00D14AEE">
      <w:pPr>
        <w:spacing w:after="100" w:afterAutospacing="1" w:line="240" w:lineRule="auto"/>
        <w:ind w:left="2160" w:right="720"/>
        <w:jc w:val="both"/>
        <w:rPr>
          <w:rFonts w:ascii="Times New Roman" w:eastAsia="Times New Roman" w:hAnsi="Times New Roman"/>
          <w:i/>
          <w:sz w:val="24"/>
          <w:szCs w:val="24"/>
        </w:rPr>
      </w:pPr>
    </w:p>
    <w:p w:rsidR="007813AC" w:rsidRPr="007813AC" w:rsidRDefault="007813AC" w:rsidP="00D14AEE">
      <w:pPr>
        <w:numPr>
          <w:ilvl w:val="0"/>
          <w:numId w:val="4"/>
        </w:numPr>
        <w:spacing w:after="0" w:line="240" w:lineRule="auto"/>
        <w:ind w:right="720" w:hanging="270"/>
        <w:jc w:val="both"/>
        <w:rPr>
          <w:rFonts w:ascii="Times New Roman" w:eastAsia="Times New Roman" w:hAnsi="Times New Roman"/>
          <w:i/>
          <w:sz w:val="24"/>
          <w:szCs w:val="24"/>
        </w:rPr>
      </w:pPr>
      <w:bookmarkStart w:id="2" w:name="bookmark32"/>
      <w:bookmarkEnd w:id="2"/>
      <w:r w:rsidRPr="007813AC">
        <w:rPr>
          <w:rFonts w:ascii="Times New Roman" w:eastAsia="Times New Roman" w:hAnsi="Times New Roman"/>
          <w:i/>
          <w:color w:val="000000"/>
          <w:sz w:val="24"/>
          <w:szCs w:val="24"/>
        </w:rPr>
        <w:t>An amendment should not work an injustice to the other side. An injury that can be compensated by an award of damages is not treated as an injustice.</w:t>
      </w:r>
    </w:p>
    <w:p w:rsidR="007813AC" w:rsidRPr="007813AC" w:rsidRDefault="007813AC" w:rsidP="00D14AEE">
      <w:pPr>
        <w:spacing w:after="0" w:line="240" w:lineRule="auto"/>
        <w:ind w:right="720"/>
        <w:jc w:val="both"/>
        <w:rPr>
          <w:rFonts w:ascii="Times New Roman" w:eastAsia="Times New Roman" w:hAnsi="Times New Roman"/>
          <w:i/>
          <w:sz w:val="24"/>
          <w:szCs w:val="24"/>
        </w:rPr>
      </w:pPr>
    </w:p>
    <w:p w:rsidR="007813AC" w:rsidRPr="007813AC" w:rsidRDefault="007813AC" w:rsidP="00D14AEE">
      <w:pPr>
        <w:numPr>
          <w:ilvl w:val="0"/>
          <w:numId w:val="4"/>
        </w:numPr>
        <w:spacing w:after="0" w:line="240" w:lineRule="auto"/>
        <w:ind w:right="720" w:hanging="270"/>
        <w:jc w:val="both"/>
        <w:rPr>
          <w:rFonts w:ascii="Times New Roman" w:eastAsia="Times New Roman" w:hAnsi="Times New Roman"/>
          <w:i/>
          <w:sz w:val="24"/>
          <w:szCs w:val="24"/>
        </w:rPr>
      </w:pPr>
      <w:bookmarkStart w:id="3" w:name="bookmark33"/>
      <w:bookmarkEnd w:id="3"/>
      <w:r w:rsidRPr="007813AC">
        <w:rPr>
          <w:rFonts w:ascii="Times New Roman" w:eastAsia="Times New Roman" w:hAnsi="Times New Roman"/>
          <w:i/>
          <w:color w:val="000000"/>
          <w:sz w:val="24"/>
          <w:szCs w:val="24"/>
        </w:rPr>
        <w:t xml:space="preserve">  Multiplicity of proceedings should be avoided as far as possible and all amendments which avoid such multiplicity should be allowed.</w:t>
      </w:r>
    </w:p>
    <w:p w:rsidR="007813AC" w:rsidRPr="007813AC" w:rsidRDefault="007813AC" w:rsidP="00D14AEE">
      <w:pPr>
        <w:ind w:left="720"/>
        <w:contextualSpacing/>
        <w:rPr>
          <w:rFonts w:ascii="Times New Roman" w:eastAsia="Times New Roman" w:hAnsi="Times New Roman"/>
          <w:i/>
          <w:sz w:val="24"/>
          <w:szCs w:val="24"/>
          <w:lang w:val="x-none" w:eastAsia="x-none"/>
        </w:rPr>
      </w:pPr>
    </w:p>
    <w:p w:rsidR="007813AC" w:rsidRPr="007813AC" w:rsidRDefault="007813AC" w:rsidP="00D14AEE">
      <w:pPr>
        <w:spacing w:after="0" w:line="240" w:lineRule="auto"/>
        <w:ind w:left="2160" w:right="720"/>
        <w:contextualSpacing/>
        <w:jc w:val="both"/>
        <w:rPr>
          <w:rFonts w:ascii="Times New Roman" w:eastAsia="Times New Roman" w:hAnsi="Times New Roman"/>
          <w:i/>
          <w:sz w:val="24"/>
          <w:szCs w:val="24"/>
        </w:rPr>
      </w:pPr>
    </w:p>
    <w:p w:rsidR="007813AC" w:rsidRPr="007813AC" w:rsidRDefault="007813AC" w:rsidP="00D14AEE">
      <w:pPr>
        <w:numPr>
          <w:ilvl w:val="0"/>
          <w:numId w:val="4"/>
        </w:numPr>
        <w:spacing w:after="100" w:afterAutospacing="1" w:line="240" w:lineRule="auto"/>
        <w:ind w:right="720" w:hanging="270"/>
        <w:jc w:val="both"/>
        <w:rPr>
          <w:rFonts w:ascii="Times New Roman" w:eastAsia="Times New Roman" w:hAnsi="Times New Roman"/>
          <w:i/>
          <w:sz w:val="24"/>
          <w:szCs w:val="24"/>
        </w:rPr>
      </w:pPr>
      <w:bookmarkStart w:id="4" w:name="bookmark34"/>
      <w:bookmarkEnd w:id="4"/>
      <w:r w:rsidRPr="007813AC">
        <w:rPr>
          <w:rFonts w:ascii="Times New Roman" w:eastAsia="Times New Roman" w:hAnsi="Times New Roman"/>
          <w:i/>
          <w:color w:val="000000"/>
          <w:sz w:val="24"/>
          <w:szCs w:val="24"/>
        </w:rPr>
        <w:t xml:space="preserve">An application that is made </w:t>
      </w:r>
      <w:proofErr w:type="spellStart"/>
      <w:r w:rsidRPr="007813AC">
        <w:rPr>
          <w:rFonts w:ascii="Times New Roman" w:eastAsia="Times New Roman" w:hAnsi="Times New Roman"/>
          <w:i/>
          <w:color w:val="000000"/>
          <w:sz w:val="24"/>
          <w:szCs w:val="24"/>
        </w:rPr>
        <w:t>malafide</w:t>
      </w:r>
      <w:proofErr w:type="spellEnd"/>
      <w:r w:rsidRPr="007813AC">
        <w:rPr>
          <w:rFonts w:ascii="Times New Roman" w:eastAsia="Times New Roman" w:hAnsi="Times New Roman"/>
          <w:i/>
          <w:color w:val="000000"/>
          <w:sz w:val="24"/>
          <w:szCs w:val="24"/>
        </w:rPr>
        <w:t xml:space="preserve"> should not be granted.</w:t>
      </w:r>
    </w:p>
    <w:p w:rsidR="007813AC" w:rsidRPr="007813AC" w:rsidRDefault="007813AC" w:rsidP="00D14AEE">
      <w:pPr>
        <w:spacing w:after="0" w:line="240" w:lineRule="auto"/>
        <w:ind w:left="2160" w:right="720"/>
        <w:jc w:val="both"/>
        <w:rPr>
          <w:rFonts w:ascii="Times New Roman" w:eastAsia="Times New Roman" w:hAnsi="Times New Roman"/>
          <w:i/>
          <w:sz w:val="24"/>
          <w:szCs w:val="24"/>
        </w:rPr>
      </w:pPr>
    </w:p>
    <w:p w:rsidR="007813AC" w:rsidRPr="007813AC" w:rsidRDefault="007813AC" w:rsidP="00D14AEE">
      <w:pPr>
        <w:numPr>
          <w:ilvl w:val="0"/>
          <w:numId w:val="4"/>
        </w:numPr>
        <w:spacing w:after="100" w:afterAutospacing="1" w:line="240" w:lineRule="auto"/>
        <w:ind w:right="720" w:hanging="270"/>
        <w:jc w:val="both"/>
        <w:rPr>
          <w:rFonts w:ascii="Times New Roman" w:eastAsia="Times New Roman" w:hAnsi="Times New Roman"/>
          <w:i/>
          <w:sz w:val="24"/>
          <w:szCs w:val="24"/>
        </w:rPr>
      </w:pPr>
      <w:bookmarkStart w:id="5" w:name="bookmark35"/>
      <w:bookmarkEnd w:id="5"/>
      <w:r w:rsidRPr="007813AC">
        <w:rPr>
          <w:rFonts w:ascii="Times New Roman" w:eastAsia="Times New Roman" w:hAnsi="Times New Roman"/>
          <w:i/>
          <w:color w:val="000000"/>
          <w:sz w:val="24"/>
          <w:szCs w:val="24"/>
        </w:rPr>
        <w:t xml:space="preserve"> No amendments should be allowed where it is expressly or impliedly prohibited by any law.</w:t>
      </w:r>
    </w:p>
    <w:p w:rsidR="007813AC" w:rsidRPr="007813AC" w:rsidRDefault="007813AC" w:rsidP="00D14AEE">
      <w:pPr>
        <w:spacing w:after="0" w:line="240" w:lineRule="auto"/>
        <w:ind w:right="720"/>
        <w:jc w:val="both"/>
        <w:rPr>
          <w:rFonts w:ascii="Times New Roman" w:eastAsia="Times New Roman" w:hAnsi="Times New Roman"/>
          <w:i/>
          <w:sz w:val="24"/>
          <w:szCs w:val="24"/>
        </w:rPr>
      </w:pPr>
    </w:p>
    <w:p w:rsidR="007813AC" w:rsidRPr="007813AC" w:rsidRDefault="007813AC" w:rsidP="00D14AEE">
      <w:pPr>
        <w:numPr>
          <w:ilvl w:val="0"/>
          <w:numId w:val="4"/>
        </w:numPr>
        <w:spacing w:after="420" w:line="240" w:lineRule="auto"/>
        <w:ind w:right="720" w:hanging="270"/>
        <w:jc w:val="both"/>
        <w:rPr>
          <w:rFonts w:ascii="Times New Roman" w:eastAsia="Times New Roman" w:hAnsi="Times New Roman"/>
          <w:i/>
          <w:sz w:val="24"/>
          <w:szCs w:val="24"/>
        </w:rPr>
      </w:pPr>
      <w:bookmarkStart w:id="6" w:name="bookmark36"/>
      <w:bookmarkEnd w:id="6"/>
      <w:r w:rsidRPr="007813AC">
        <w:rPr>
          <w:rFonts w:ascii="Times New Roman" w:eastAsia="Times New Roman" w:hAnsi="Times New Roman"/>
          <w:i/>
          <w:color w:val="000000"/>
          <w:sz w:val="24"/>
          <w:szCs w:val="24"/>
        </w:rPr>
        <w:t>The court shall not exercise its discretion to allow an amendment which has the effect of substituting one distinctive cause of action for another.</w:t>
      </w:r>
    </w:p>
    <w:p w:rsidR="00D14AEE" w:rsidRDefault="00D14AEE" w:rsidP="00E72D34">
      <w:pPr>
        <w:pStyle w:val="JudgmentText"/>
        <w:tabs>
          <w:tab w:val="clear" w:pos="360"/>
          <w:tab w:val="num" w:pos="720"/>
        </w:tabs>
        <w:ind w:hanging="720"/>
      </w:pPr>
      <w:r>
        <w:t xml:space="preserve">In the same case of </w:t>
      </w:r>
      <w:r w:rsidRPr="007813AC">
        <w:rPr>
          <w:i/>
          <w:u w:val="single"/>
        </w:rPr>
        <w:t>University of Seychelles</w:t>
      </w:r>
      <w:r>
        <w:rPr>
          <w:i/>
          <w:u w:val="single"/>
        </w:rPr>
        <w:t xml:space="preserve"> American Institute of Medicine</w:t>
      </w:r>
      <w:r w:rsidRPr="00D14AEE">
        <w:t xml:space="preserve"> (supra)</w:t>
      </w:r>
      <w:r>
        <w:t xml:space="preserve"> this Court also stated:</w:t>
      </w:r>
    </w:p>
    <w:p w:rsidR="00D14AEE" w:rsidRPr="00D14AEE" w:rsidRDefault="00D14AEE" w:rsidP="00D14AEE">
      <w:pPr>
        <w:pStyle w:val="JudgmentText"/>
        <w:numPr>
          <w:ilvl w:val="0"/>
          <w:numId w:val="0"/>
        </w:numPr>
        <w:ind w:left="1890" w:right="720" w:firstLine="90"/>
        <w:rPr>
          <w:i/>
          <w:u w:val="single"/>
        </w:rPr>
      </w:pPr>
      <w:r>
        <w:t>“</w:t>
      </w:r>
      <w:r w:rsidRPr="00D14AEE">
        <w:rPr>
          <w:i/>
        </w:rPr>
        <w:t xml:space="preserve">The Seychelles jurisprudence has adopted a similar liberal application in respect to amendment of pleadings as has been referred to by both learned counsel in their submissions. See </w:t>
      </w:r>
      <w:r w:rsidRPr="00D14AEE">
        <w:rPr>
          <w:i/>
          <w:u w:val="single"/>
        </w:rPr>
        <w:t>Petit Car Hire v Mandelson [1977] SLR 68 and Eastern European Engineering Ltd v Vijay Construction (Pty) Ltd SCA 10/2014 [2016] SCCA 4.</w:t>
      </w:r>
      <w:r>
        <w:rPr>
          <w:i/>
          <w:u w:val="single"/>
        </w:rPr>
        <w:t>”</w:t>
      </w:r>
    </w:p>
    <w:p w:rsidR="00D14AEE" w:rsidRDefault="00D14AEE" w:rsidP="00D14AEE">
      <w:pPr>
        <w:pStyle w:val="JudgmentText"/>
        <w:numPr>
          <w:ilvl w:val="0"/>
          <w:numId w:val="0"/>
        </w:numPr>
        <w:ind w:left="720"/>
      </w:pPr>
      <w:proofErr w:type="gramStart"/>
      <w:r>
        <w:t>Indeed</w:t>
      </w:r>
      <w:proofErr w:type="gramEnd"/>
      <w:r>
        <w:t xml:space="preserve"> in this case, the amendment being sought has the effect of asking for an additional remedy of specific performance which was not originally pleaded. Otherwise, the cause of action remains the same, being breach of the promise of sale</w:t>
      </w:r>
      <w:r w:rsidR="008824EB">
        <w:t>. The variation of the outstanding price is a matter for the Court to determine if the Plaintiff’s case is successfully established.</w:t>
      </w:r>
    </w:p>
    <w:p w:rsidR="00A91F79" w:rsidRPr="00A91F79" w:rsidRDefault="00A91F79" w:rsidP="00A91F79">
      <w:pPr>
        <w:pStyle w:val="JudgmentText"/>
        <w:tabs>
          <w:tab w:val="clear" w:pos="360"/>
          <w:tab w:val="num" w:pos="720"/>
        </w:tabs>
        <w:ind w:hanging="720"/>
      </w:pPr>
      <w:r>
        <w:t xml:space="preserve">The case of </w:t>
      </w:r>
      <w:proofErr w:type="spellStart"/>
      <w:r w:rsidRPr="00A91F79">
        <w:rPr>
          <w:i/>
          <w:u w:val="single"/>
        </w:rPr>
        <w:t>Multichoice</w:t>
      </w:r>
      <w:proofErr w:type="spellEnd"/>
      <w:r w:rsidRPr="00A91F79">
        <w:rPr>
          <w:i/>
          <w:u w:val="single"/>
        </w:rPr>
        <w:t xml:space="preserve"> Africa Ltd v </w:t>
      </w:r>
      <w:proofErr w:type="spellStart"/>
      <w:r w:rsidRPr="00A91F79">
        <w:rPr>
          <w:i/>
          <w:u w:val="single"/>
        </w:rPr>
        <w:t>Intelvision</w:t>
      </w:r>
      <w:proofErr w:type="spellEnd"/>
      <w:r w:rsidRPr="00A91F79">
        <w:rPr>
          <w:i/>
          <w:u w:val="single"/>
        </w:rPr>
        <w:t xml:space="preserve"> Network Ltd &amp; </w:t>
      </w:r>
      <w:proofErr w:type="spellStart"/>
      <w:r w:rsidRPr="00A91F79">
        <w:rPr>
          <w:i/>
          <w:u w:val="single"/>
        </w:rPr>
        <w:t>Ors</w:t>
      </w:r>
      <w:proofErr w:type="spellEnd"/>
      <w:r w:rsidRPr="00A91F79">
        <w:rPr>
          <w:i/>
          <w:u w:val="single"/>
        </w:rPr>
        <w:t xml:space="preserve"> (Civil Appeal SCA 45/2017) [2019] SCCA 1</w:t>
      </w:r>
      <w:r w:rsidRPr="00A91F79">
        <w:t xml:space="preserve"> (09 April 2019)</w:t>
      </w:r>
      <w:r w:rsidR="00941EDB">
        <w:t xml:space="preserve"> the following analysis were made in respect of the cases of </w:t>
      </w:r>
      <w:r w:rsidR="00941EDB" w:rsidRPr="00941EDB">
        <w:rPr>
          <w:i/>
          <w:u w:val="single"/>
        </w:rPr>
        <w:t>Petit Car Hire</w:t>
      </w:r>
      <w:r w:rsidR="00941EDB">
        <w:t xml:space="preserve"> and </w:t>
      </w:r>
      <w:r w:rsidR="00941EDB" w:rsidRPr="00941EDB">
        <w:rPr>
          <w:i/>
          <w:u w:val="single"/>
        </w:rPr>
        <w:t xml:space="preserve">Fisherman’s Cove </w:t>
      </w:r>
      <w:proofErr w:type="gramStart"/>
      <w:r w:rsidR="00941EDB" w:rsidRPr="00941EDB">
        <w:rPr>
          <w:i/>
          <w:u w:val="single"/>
        </w:rPr>
        <w:t>Limited</w:t>
      </w:r>
      <w:r w:rsidR="00941EDB">
        <w:t xml:space="preserve"> </w:t>
      </w:r>
      <w:r w:rsidRPr="00A91F79">
        <w:t>:</w:t>
      </w:r>
      <w:proofErr w:type="gramEnd"/>
    </w:p>
    <w:p w:rsidR="00A91F79" w:rsidRPr="00A91F79" w:rsidRDefault="00A91F79" w:rsidP="00A91F79">
      <w:pPr>
        <w:spacing w:before="100" w:beforeAutospacing="1" w:after="100" w:afterAutospacing="1" w:line="240" w:lineRule="auto"/>
        <w:ind w:left="1440" w:right="636"/>
        <w:jc w:val="both"/>
        <w:rPr>
          <w:rFonts w:ascii="Times New Roman" w:eastAsia="Times New Roman" w:hAnsi="Times New Roman"/>
          <w:i/>
          <w:sz w:val="24"/>
          <w:szCs w:val="24"/>
        </w:rPr>
      </w:pPr>
      <w:r w:rsidRPr="00A91F79">
        <w:rPr>
          <w:rFonts w:ascii="Times New Roman" w:eastAsia="Times New Roman" w:hAnsi="Times New Roman"/>
          <w:i/>
          <w:sz w:val="24"/>
          <w:szCs w:val="24"/>
        </w:rPr>
        <w:t>“The two most instructive cases in the domestic jurisprudence relating to amendments to pleadings are the following:</w:t>
      </w:r>
    </w:p>
    <w:p w:rsidR="00A91F79" w:rsidRPr="00A91F79" w:rsidRDefault="00A91F79" w:rsidP="00A91F79">
      <w:pPr>
        <w:spacing w:before="100" w:beforeAutospacing="1" w:after="100" w:afterAutospacing="1" w:line="240" w:lineRule="auto"/>
        <w:ind w:left="1440" w:right="636"/>
        <w:jc w:val="both"/>
        <w:rPr>
          <w:rFonts w:ascii="Times New Roman" w:eastAsia="Times New Roman" w:hAnsi="Times New Roman"/>
          <w:i/>
          <w:sz w:val="24"/>
          <w:szCs w:val="24"/>
        </w:rPr>
      </w:pPr>
      <w:r w:rsidRPr="00A91F79">
        <w:rPr>
          <w:rFonts w:ascii="Times New Roman" w:eastAsia="Times New Roman" w:hAnsi="Times New Roman"/>
          <w:i/>
          <w:sz w:val="24"/>
          <w:szCs w:val="24"/>
        </w:rPr>
        <w:t xml:space="preserve">1.    </w:t>
      </w:r>
      <w:r w:rsidRPr="00941EDB">
        <w:rPr>
          <w:rFonts w:ascii="Times New Roman" w:eastAsia="Times New Roman" w:hAnsi="Times New Roman"/>
          <w:i/>
          <w:iCs/>
          <w:sz w:val="24"/>
          <w:szCs w:val="24"/>
          <w:u w:val="single"/>
        </w:rPr>
        <w:t>Petit Car Hire v Mandelson</w:t>
      </w:r>
      <w:r w:rsidRPr="00A91F79">
        <w:rPr>
          <w:rFonts w:ascii="Times New Roman" w:eastAsia="Times New Roman" w:hAnsi="Times New Roman"/>
          <w:i/>
          <w:sz w:val="24"/>
          <w:szCs w:val="24"/>
          <w:u w:val="single"/>
        </w:rPr>
        <w:t xml:space="preserve"> [1977] SLR 68, 72-73,</w:t>
      </w:r>
      <w:r w:rsidRPr="00A91F79">
        <w:rPr>
          <w:rFonts w:ascii="Times New Roman" w:eastAsia="Times New Roman" w:hAnsi="Times New Roman"/>
          <w:i/>
          <w:sz w:val="24"/>
          <w:szCs w:val="24"/>
        </w:rPr>
        <w:t xml:space="preserve"> in which </w:t>
      </w:r>
      <w:proofErr w:type="spellStart"/>
      <w:r w:rsidRPr="00A91F79">
        <w:rPr>
          <w:rFonts w:ascii="Times New Roman" w:eastAsia="Times New Roman" w:hAnsi="Times New Roman"/>
          <w:i/>
          <w:sz w:val="24"/>
          <w:szCs w:val="24"/>
        </w:rPr>
        <w:t>Sauzier</w:t>
      </w:r>
      <w:proofErr w:type="spellEnd"/>
      <w:r w:rsidRPr="00A91F79">
        <w:rPr>
          <w:rFonts w:ascii="Times New Roman" w:eastAsia="Times New Roman" w:hAnsi="Times New Roman"/>
          <w:i/>
          <w:sz w:val="24"/>
          <w:szCs w:val="24"/>
        </w:rPr>
        <w:t xml:space="preserve"> J stated that an amendment to a plaint before the close of one’s case should not be refused (1) if sought in good faith, (2) would not cause prejudice to the other party, (3) would not be compensated by costs and (4) did not alter the nature of the suit. He added that apart from the specific prohibition in the proviso to section 146, the provision was couched in very wide terms and must be given a liberal meaning.</w:t>
      </w:r>
    </w:p>
    <w:p w:rsidR="00A91F79" w:rsidRPr="00A91F79" w:rsidRDefault="00A91F79" w:rsidP="00A91F79">
      <w:pPr>
        <w:spacing w:before="100" w:beforeAutospacing="1" w:after="100" w:afterAutospacing="1" w:line="240" w:lineRule="auto"/>
        <w:ind w:left="1440" w:right="636"/>
        <w:jc w:val="both"/>
        <w:rPr>
          <w:rFonts w:ascii="Times New Roman" w:eastAsia="Times New Roman" w:hAnsi="Times New Roman"/>
          <w:sz w:val="24"/>
          <w:szCs w:val="24"/>
        </w:rPr>
      </w:pPr>
      <w:r w:rsidRPr="00A91F79">
        <w:rPr>
          <w:rFonts w:ascii="Times New Roman" w:eastAsia="Times New Roman" w:hAnsi="Times New Roman"/>
          <w:i/>
          <w:sz w:val="24"/>
          <w:szCs w:val="24"/>
        </w:rPr>
        <w:t xml:space="preserve">2.    </w:t>
      </w:r>
      <w:r w:rsidRPr="00941EDB">
        <w:rPr>
          <w:rFonts w:ascii="Times New Roman" w:eastAsia="Times New Roman" w:hAnsi="Times New Roman"/>
          <w:i/>
          <w:iCs/>
          <w:sz w:val="24"/>
          <w:szCs w:val="24"/>
          <w:u w:val="single"/>
        </w:rPr>
        <w:t xml:space="preserve">Fisherman’s Cove Limited v Petit and </w:t>
      </w:r>
      <w:proofErr w:type="spellStart"/>
      <w:r w:rsidRPr="00941EDB">
        <w:rPr>
          <w:rFonts w:ascii="Times New Roman" w:eastAsia="Times New Roman" w:hAnsi="Times New Roman"/>
          <w:i/>
          <w:iCs/>
          <w:sz w:val="24"/>
          <w:szCs w:val="24"/>
          <w:u w:val="single"/>
        </w:rPr>
        <w:t>Dumbleton</w:t>
      </w:r>
      <w:proofErr w:type="spellEnd"/>
      <w:r w:rsidRPr="00941EDB">
        <w:rPr>
          <w:rFonts w:ascii="Times New Roman" w:eastAsia="Times New Roman" w:hAnsi="Times New Roman"/>
          <w:i/>
          <w:iCs/>
          <w:sz w:val="24"/>
          <w:szCs w:val="24"/>
          <w:u w:val="single"/>
        </w:rPr>
        <w:t xml:space="preserve"> Limited</w:t>
      </w:r>
      <w:r w:rsidRPr="00A91F79">
        <w:rPr>
          <w:rFonts w:ascii="Times New Roman" w:eastAsia="Times New Roman" w:hAnsi="Times New Roman"/>
          <w:i/>
          <w:sz w:val="24"/>
          <w:szCs w:val="24"/>
          <w:u w:val="single"/>
        </w:rPr>
        <w:t xml:space="preserve"> (1978) SLR 15, 18</w:t>
      </w:r>
      <w:r w:rsidRPr="00A91F79">
        <w:rPr>
          <w:rFonts w:ascii="Times New Roman" w:eastAsia="Times New Roman" w:hAnsi="Times New Roman"/>
          <w:i/>
          <w:sz w:val="24"/>
          <w:szCs w:val="24"/>
        </w:rPr>
        <w:t xml:space="preserve"> in which </w:t>
      </w:r>
      <w:proofErr w:type="spellStart"/>
      <w:r w:rsidRPr="00A91F79">
        <w:rPr>
          <w:rFonts w:ascii="Times New Roman" w:eastAsia="Times New Roman" w:hAnsi="Times New Roman"/>
          <w:i/>
          <w:sz w:val="24"/>
          <w:szCs w:val="24"/>
        </w:rPr>
        <w:t>Sauzier</w:t>
      </w:r>
      <w:proofErr w:type="spellEnd"/>
      <w:r w:rsidRPr="00A91F79">
        <w:rPr>
          <w:rFonts w:ascii="Times New Roman" w:eastAsia="Times New Roman" w:hAnsi="Times New Roman"/>
          <w:i/>
          <w:sz w:val="24"/>
          <w:szCs w:val="24"/>
        </w:rPr>
        <w:t xml:space="preserve"> J stated that an amendment sought would be permitted where it was necessary for the real questions in controversy between the parties to be determined once and for all. He permitted an additional cause of action in the alternative</w:t>
      </w:r>
      <w:r w:rsidRPr="00A91F79">
        <w:rPr>
          <w:rFonts w:ascii="Times New Roman" w:eastAsia="Times New Roman" w:hAnsi="Times New Roman"/>
          <w:sz w:val="24"/>
          <w:szCs w:val="24"/>
        </w:rPr>
        <w:t>.”  </w:t>
      </w:r>
    </w:p>
    <w:p w:rsidR="00A91F79" w:rsidRDefault="00941EDB" w:rsidP="00D14AEE">
      <w:pPr>
        <w:pStyle w:val="JudgmentText"/>
        <w:numPr>
          <w:ilvl w:val="0"/>
          <w:numId w:val="0"/>
        </w:numPr>
        <w:ind w:left="720"/>
      </w:pPr>
      <w:r>
        <w:t xml:space="preserve">In both cases </w:t>
      </w:r>
      <w:proofErr w:type="spellStart"/>
      <w:r>
        <w:t>Sauzier</w:t>
      </w:r>
      <w:proofErr w:type="spellEnd"/>
      <w:r>
        <w:t xml:space="preserve"> J. was correct reflecting the wider context and spirit of article 146 of the Seychelles Code of Civil Procedure which was intended to be applied liberally.</w:t>
      </w:r>
      <w:r w:rsidR="00C10155">
        <w:t xml:space="preserve"> Unless the amendment materially changes the nature of a case from one cause of action into another or would result in injustice, or is likely to cause unacceptable prejudice to a party that cannot be compensated, the amendment should be allowed.</w:t>
      </w:r>
    </w:p>
    <w:p w:rsidR="00941EDB" w:rsidRDefault="00941EDB" w:rsidP="00941EDB">
      <w:pPr>
        <w:pStyle w:val="JudgmentText"/>
        <w:tabs>
          <w:tab w:val="clear" w:pos="360"/>
        </w:tabs>
        <w:ind w:hanging="720"/>
      </w:pPr>
      <w:r>
        <w:t xml:space="preserve">Having considered the amendments proposed in the Motion, I am satisfied that they do not convert the existing suit into another. I find that they expand the pleadings and make clearer the issues in controversy between the parties </w:t>
      </w:r>
      <w:r w:rsidR="00C10155">
        <w:t>and expand on the scope of remedies claimed.</w:t>
      </w:r>
      <w:r>
        <w:t xml:space="preserve"> The proposed amendments are also not prohibited by law and have not been made </w:t>
      </w:r>
      <w:r w:rsidRPr="00C10155">
        <w:rPr>
          <w:i/>
        </w:rPr>
        <w:t>mala</w:t>
      </w:r>
      <w:r w:rsidR="00C10155" w:rsidRPr="00C10155">
        <w:rPr>
          <w:i/>
        </w:rPr>
        <w:t xml:space="preserve"> </w:t>
      </w:r>
      <w:r w:rsidRPr="00C10155">
        <w:rPr>
          <w:i/>
        </w:rPr>
        <w:t>fide</w:t>
      </w:r>
      <w:r>
        <w:t xml:space="preserve">. There is no </w:t>
      </w:r>
      <w:r w:rsidR="003A5277">
        <w:t>prove or any ascertained notion</w:t>
      </w:r>
      <w:r>
        <w:t xml:space="preserve"> of bad faith. </w:t>
      </w:r>
    </w:p>
    <w:p w:rsidR="00941EDB" w:rsidRPr="009A16CF" w:rsidRDefault="00941EDB" w:rsidP="00941EDB">
      <w:pPr>
        <w:pStyle w:val="JudgmentText"/>
        <w:tabs>
          <w:tab w:val="clear" w:pos="360"/>
        </w:tabs>
        <w:ind w:hanging="720"/>
      </w:pPr>
      <w:r>
        <w:t>Consequently, I rule in favour of the Applicant and I make the following orders.</w:t>
      </w:r>
    </w:p>
    <w:p w:rsidR="00941EDB" w:rsidRPr="006D4712" w:rsidRDefault="00941EDB" w:rsidP="00941EDB">
      <w:pPr>
        <w:numPr>
          <w:ilvl w:val="2"/>
          <w:numId w:val="2"/>
        </w:numPr>
        <w:spacing w:after="0" w:line="240" w:lineRule="auto"/>
        <w:rPr>
          <w:rFonts w:ascii="Times New Roman" w:eastAsia="Times New Roman" w:hAnsi="Times New Roman"/>
          <w:sz w:val="24"/>
          <w:szCs w:val="24"/>
        </w:rPr>
      </w:pPr>
      <w:r w:rsidRPr="006D4712">
        <w:rPr>
          <w:rFonts w:ascii="Times New Roman" w:eastAsia="Times New Roman" w:hAnsi="Times New Roman"/>
          <w:color w:val="000000"/>
          <w:sz w:val="24"/>
          <w:szCs w:val="24"/>
        </w:rPr>
        <w:t xml:space="preserve">The Applicant is granted leave to amend </w:t>
      </w:r>
      <w:r>
        <w:rPr>
          <w:rFonts w:ascii="Times New Roman" w:eastAsia="Times New Roman" w:hAnsi="Times New Roman"/>
          <w:color w:val="000000"/>
          <w:sz w:val="24"/>
          <w:szCs w:val="24"/>
        </w:rPr>
        <w:t>its</w:t>
      </w:r>
      <w:r w:rsidR="004C3D09">
        <w:rPr>
          <w:rFonts w:ascii="Times New Roman" w:eastAsia="Times New Roman" w:hAnsi="Times New Roman"/>
          <w:color w:val="000000"/>
          <w:sz w:val="24"/>
          <w:szCs w:val="24"/>
        </w:rPr>
        <w:t xml:space="preserve"> pleadings in C</w:t>
      </w:r>
      <w:r w:rsidRPr="006D4712">
        <w:rPr>
          <w:rFonts w:ascii="Times New Roman" w:eastAsia="Times New Roman" w:hAnsi="Times New Roman"/>
          <w:color w:val="000000"/>
          <w:sz w:val="24"/>
          <w:szCs w:val="24"/>
        </w:rPr>
        <w:t xml:space="preserve">S </w:t>
      </w:r>
      <w:r w:rsidR="003A5277">
        <w:rPr>
          <w:rFonts w:ascii="Times New Roman" w:eastAsia="Times New Roman" w:hAnsi="Times New Roman"/>
          <w:color w:val="000000"/>
          <w:sz w:val="24"/>
          <w:szCs w:val="24"/>
        </w:rPr>
        <w:t>25</w:t>
      </w:r>
      <w:r w:rsidRPr="006D4712">
        <w:rPr>
          <w:rFonts w:ascii="Times New Roman" w:eastAsia="Times New Roman" w:hAnsi="Times New Roman"/>
          <w:color w:val="000000"/>
          <w:sz w:val="24"/>
          <w:szCs w:val="24"/>
        </w:rPr>
        <w:t xml:space="preserve"> of 20</w:t>
      </w:r>
      <w:r w:rsidR="003A5277">
        <w:rPr>
          <w:rFonts w:ascii="Times New Roman" w:eastAsia="Times New Roman" w:hAnsi="Times New Roman"/>
          <w:color w:val="000000"/>
          <w:sz w:val="24"/>
          <w:szCs w:val="24"/>
        </w:rPr>
        <w:t>2</w:t>
      </w:r>
      <w:r w:rsidRPr="006D4712">
        <w:rPr>
          <w:rFonts w:ascii="Times New Roman" w:eastAsia="Times New Roman" w:hAnsi="Times New Roman"/>
          <w:color w:val="000000"/>
          <w:sz w:val="24"/>
          <w:szCs w:val="24"/>
        </w:rPr>
        <w:t>1.</w:t>
      </w:r>
    </w:p>
    <w:p w:rsidR="00941EDB" w:rsidRPr="006D4712" w:rsidRDefault="00941EDB" w:rsidP="00941EDB">
      <w:pPr>
        <w:spacing w:after="0" w:line="240" w:lineRule="auto"/>
        <w:ind w:left="2160"/>
        <w:rPr>
          <w:rFonts w:ascii="Times New Roman" w:eastAsia="Times New Roman" w:hAnsi="Times New Roman"/>
          <w:sz w:val="24"/>
          <w:szCs w:val="24"/>
        </w:rPr>
      </w:pPr>
    </w:p>
    <w:p w:rsidR="00941EDB" w:rsidRPr="003A5277" w:rsidRDefault="00941EDB" w:rsidP="00941EDB">
      <w:pPr>
        <w:numPr>
          <w:ilvl w:val="2"/>
          <w:numId w:val="2"/>
        </w:numPr>
        <w:spacing w:after="0" w:line="240" w:lineRule="auto"/>
        <w:rPr>
          <w:rFonts w:ascii="Times New Roman" w:eastAsia="Times New Roman" w:hAnsi="Times New Roman"/>
          <w:sz w:val="24"/>
          <w:szCs w:val="24"/>
        </w:rPr>
      </w:pPr>
      <w:r w:rsidRPr="006D4712">
        <w:rPr>
          <w:rFonts w:ascii="Times New Roman" w:eastAsia="Times New Roman" w:hAnsi="Times New Roman"/>
          <w:sz w:val="24"/>
          <w:szCs w:val="24"/>
        </w:rPr>
        <w:t xml:space="preserve"> </w:t>
      </w:r>
      <w:bookmarkStart w:id="7" w:name="bookmark41"/>
      <w:bookmarkEnd w:id="7"/>
      <w:r w:rsidRPr="006D4712">
        <w:rPr>
          <w:rFonts w:ascii="Times New Roman" w:eastAsia="Times New Roman" w:hAnsi="Times New Roman"/>
          <w:color w:val="000000"/>
          <w:sz w:val="24"/>
          <w:szCs w:val="24"/>
        </w:rPr>
        <w:t xml:space="preserve">The Applicant shall file the amended plaint within </w:t>
      </w:r>
      <w:r w:rsidR="003A5277">
        <w:rPr>
          <w:rFonts w:ascii="Times New Roman" w:eastAsia="Times New Roman" w:hAnsi="Times New Roman"/>
          <w:color w:val="000000"/>
          <w:sz w:val="24"/>
          <w:szCs w:val="24"/>
        </w:rPr>
        <w:t>14</w:t>
      </w:r>
      <w:r w:rsidRPr="006D4712">
        <w:rPr>
          <w:rFonts w:ascii="Times New Roman" w:eastAsia="Times New Roman" w:hAnsi="Times New Roman"/>
          <w:color w:val="000000"/>
          <w:sz w:val="24"/>
          <w:szCs w:val="24"/>
        </w:rPr>
        <w:t xml:space="preserve"> days from the date of this Ruling.</w:t>
      </w:r>
    </w:p>
    <w:p w:rsidR="003A5277" w:rsidRDefault="003A5277" w:rsidP="003A5277">
      <w:pPr>
        <w:pStyle w:val="ListParagraph"/>
        <w:rPr>
          <w:rFonts w:ascii="Times New Roman" w:eastAsia="Times New Roman" w:hAnsi="Times New Roman"/>
          <w:sz w:val="24"/>
          <w:szCs w:val="24"/>
        </w:rPr>
      </w:pPr>
    </w:p>
    <w:p w:rsidR="003A5277" w:rsidRDefault="003A5277" w:rsidP="00941EDB">
      <w:pPr>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Respondent shall then be given time to file amended </w:t>
      </w:r>
      <w:proofErr w:type="spellStart"/>
      <w:r>
        <w:rPr>
          <w:rFonts w:ascii="Times New Roman" w:eastAsia="Times New Roman" w:hAnsi="Times New Roman"/>
          <w:sz w:val="24"/>
          <w:szCs w:val="24"/>
        </w:rPr>
        <w:t>defence</w:t>
      </w:r>
      <w:proofErr w:type="spellEnd"/>
      <w:r>
        <w:rPr>
          <w:rFonts w:ascii="Times New Roman" w:eastAsia="Times New Roman" w:hAnsi="Times New Roman"/>
          <w:sz w:val="24"/>
          <w:szCs w:val="24"/>
        </w:rPr>
        <w:t xml:space="preserve"> as and if deemed appropriate.</w:t>
      </w:r>
    </w:p>
    <w:p w:rsidR="003A5277" w:rsidRDefault="003A5277" w:rsidP="003A5277">
      <w:pPr>
        <w:pStyle w:val="ListParagraph"/>
        <w:rPr>
          <w:rFonts w:ascii="Times New Roman" w:eastAsia="Times New Roman" w:hAnsi="Times New Roman"/>
          <w:sz w:val="24"/>
          <w:szCs w:val="24"/>
        </w:rPr>
      </w:pPr>
    </w:p>
    <w:p w:rsidR="003A5277" w:rsidRPr="006D4712" w:rsidRDefault="003A5277" w:rsidP="00941EDB">
      <w:pPr>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Respondent may also be granted leave to recall any witness who has already testified for further cross-examination if so required.</w:t>
      </w:r>
    </w:p>
    <w:p w:rsidR="00941EDB" w:rsidRPr="006D4712" w:rsidRDefault="00941EDB" w:rsidP="00941EDB">
      <w:pPr>
        <w:spacing w:after="0" w:line="240" w:lineRule="auto"/>
        <w:ind w:left="2160"/>
        <w:rPr>
          <w:rFonts w:ascii="Times New Roman" w:eastAsia="Times New Roman" w:hAnsi="Times New Roman"/>
          <w:sz w:val="24"/>
          <w:szCs w:val="24"/>
        </w:rPr>
      </w:pPr>
    </w:p>
    <w:p w:rsidR="00941EDB" w:rsidRPr="006D4712" w:rsidRDefault="00941EDB" w:rsidP="00941EDB">
      <w:pPr>
        <w:numPr>
          <w:ilvl w:val="2"/>
          <w:numId w:val="2"/>
        </w:numPr>
        <w:spacing w:after="0" w:line="240" w:lineRule="auto"/>
        <w:rPr>
          <w:rFonts w:ascii="Times New Roman" w:eastAsia="Times New Roman" w:hAnsi="Times New Roman"/>
          <w:sz w:val="24"/>
          <w:szCs w:val="24"/>
        </w:rPr>
      </w:pPr>
      <w:r w:rsidRPr="006D4712">
        <w:rPr>
          <w:rFonts w:ascii="Times New Roman" w:eastAsia="Times New Roman" w:hAnsi="Times New Roman"/>
          <w:sz w:val="24"/>
          <w:szCs w:val="24"/>
        </w:rPr>
        <w:t xml:space="preserve"> </w:t>
      </w:r>
      <w:bookmarkStart w:id="8" w:name="bookmark42"/>
      <w:bookmarkEnd w:id="8"/>
      <w:r w:rsidRPr="006D4712">
        <w:rPr>
          <w:rFonts w:ascii="Times New Roman" w:hAnsi="Times New Roman"/>
          <w:color w:val="000000"/>
          <w:sz w:val="24"/>
          <w:szCs w:val="24"/>
        </w:rPr>
        <w:t xml:space="preserve">The costs of this application shall </w:t>
      </w:r>
      <w:r>
        <w:rPr>
          <w:rFonts w:ascii="Times New Roman" w:hAnsi="Times New Roman"/>
          <w:color w:val="000000"/>
          <w:sz w:val="24"/>
          <w:szCs w:val="24"/>
        </w:rPr>
        <w:t>follow the</w:t>
      </w:r>
      <w:r w:rsidRPr="006D4712">
        <w:rPr>
          <w:rFonts w:ascii="Times New Roman" w:hAnsi="Times New Roman"/>
          <w:color w:val="000000"/>
          <w:sz w:val="24"/>
          <w:szCs w:val="24"/>
        </w:rPr>
        <w:t xml:space="preserve"> outcome of the main suit.</w:t>
      </w:r>
    </w:p>
    <w:p w:rsidR="00941EDB" w:rsidRDefault="00941EDB" w:rsidP="00941EDB">
      <w:pPr>
        <w:keepNext/>
        <w:rPr>
          <w:rFonts w:ascii="Times New Roman" w:hAnsi="Times New Roman"/>
          <w:sz w:val="24"/>
          <w:szCs w:val="24"/>
        </w:rPr>
      </w:pPr>
    </w:p>
    <w:p w:rsidR="00E72D34" w:rsidRDefault="00D14AEE" w:rsidP="00941EDB">
      <w:pPr>
        <w:pStyle w:val="JudgmentText"/>
        <w:numPr>
          <w:ilvl w:val="0"/>
          <w:numId w:val="0"/>
        </w:numPr>
        <w:ind w:left="720"/>
      </w:pPr>
      <w:r>
        <w:t xml:space="preserve"> </w:t>
      </w:r>
    </w:p>
    <w:p w:rsidR="00324F4B" w:rsidRPr="00CB4AC6" w:rsidRDefault="00324F4B" w:rsidP="006C0A4B">
      <w:pPr>
        <w:pStyle w:val="JudgmentText"/>
        <w:keepNext/>
        <w:numPr>
          <w:ilvl w:val="0"/>
          <w:numId w:val="0"/>
        </w:numPr>
      </w:pPr>
      <w:r w:rsidRPr="00CB4AC6">
        <w:t xml:space="preserve">Signed, dated </w:t>
      </w:r>
      <w:r w:rsidR="003A5277">
        <w:t>and delivered at Ile du Port on 15</w:t>
      </w:r>
      <w:r w:rsidRPr="00BC673E">
        <w:rPr>
          <w:vertAlign w:val="superscript"/>
        </w:rPr>
        <w:t>th</w:t>
      </w:r>
      <w:r w:rsidRPr="00CB4AC6">
        <w:t xml:space="preserve"> day of </w:t>
      </w:r>
      <w:r w:rsidR="00F421B9">
        <w:t xml:space="preserve">September </w:t>
      </w:r>
      <w:r w:rsidRPr="00CB4AC6">
        <w:t>2023.</w:t>
      </w:r>
    </w:p>
    <w:p w:rsidR="00324F4B" w:rsidRPr="004A2599" w:rsidRDefault="00324F4B" w:rsidP="00324F4B">
      <w:pPr>
        <w:keepNext/>
        <w:rPr>
          <w:rFonts w:ascii="Times New Roman" w:hAnsi="Times New Roman"/>
          <w:sz w:val="24"/>
          <w:szCs w:val="24"/>
        </w:rPr>
      </w:pPr>
    </w:p>
    <w:p w:rsidR="00324F4B" w:rsidRDefault="00324F4B" w:rsidP="00324F4B">
      <w:pPr>
        <w:keepNext/>
        <w:rPr>
          <w:rFonts w:ascii="Times New Roman" w:hAnsi="Times New Roman"/>
          <w:sz w:val="24"/>
          <w:szCs w:val="24"/>
        </w:rPr>
      </w:pPr>
      <w:r w:rsidRPr="004A2599">
        <w:rPr>
          <w:rFonts w:ascii="Times New Roman" w:hAnsi="Times New Roman"/>
          <w:sz w:val="24"/>
          <w:szCs w:val="24"/>
        </w:rPr>
        <w:t>____________</w:t>
      </w:r>
    </w:p>
    <w:p w:rsidR="00324F4B" w:rsidRDefault="006C0A4B" w:rsidP="00324F4B">
      <w:pPr>
        <w:keepNext/>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Dodin</w:t>
      </w:r>
      <w:proofErr w:type="spellEnd"/>
    </w:p>
    <w:p w:rsidR="001F013E" w:rsidRDefault="006C0A4B" w:rsidP="006C0A4B">
      <w:pPr>
        <w:keepNext/>
      </w:pPr>
      <w:r>
        <w:rPr>
          <w:rFonts w:ascii="Times New Roman" w:hAnsi="Times New Roman"/>
          <w:sz w:val="24"/>
          <w:szCs w:val="24"/>
        </w:rPr>
        <w:t>Judge</w:t>
      </w:r>
    </w:p>
    <w:sectPr w:rsidR="001F013E" w:rsidSect="00B943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36" w:rsidRDefault="003C0736">
      <w:pPr>
        <w:spacing w:after="0" w:line="240" w:lineRule="auto"/>
      </w:pPr>
      <w:r>
        <w:separator/>
      </w:r>
    </w:p>
  </w:endnote>
  <w:endnote w:type="continuationSeparator" w:id="0">
    <w:p w:rsidR="003C0736" w:rsidRDefault="003C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A4" w:rsidRDefault="00B943A4">
    <w:pPr>
      <w:pStyle w:val="Footer"/>
      <w:jc w:val="center"/>
    </w:pPr>
    <w:r>
      <w:fldChar w:fldCharType="begin"/>
    </w:r>
    <w:r>
      <w:instrText xml:space="preserve"> PAGE   \* MERGEFORMAT </w:instrText>
    </w:r>
    <w:r>
      <w:fldChar w:fldCharType="separate"/>
    </w:r>
    <w:r w:rsidR="007A4E32">
      <w:rPr>
        <w:noProof/>
      </w:rPr>
      <w:t>1</w:t>
    </w:r>
    <w:r>
      <w:rPr>
        <w:noProof/>
      </w:rPr>
      <w:fldChar w:fldCharType="end"/>
    </w:r>
  </w:p>
  <w:p w:rsidR="00B943A4" w:rsidRDefault="00B94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36" w:rsidRDefault="003C0736">
      <w:pPr>
        <w:spacing w:after="0" w:line="240" w:lineRule="auto"/>
      </w:pPr>
      <w:r>
        <w:separator/>
      </w:r>
    </w:p>
  </w:footnote>
  <w:footnote w:type="continuationSeparator" w:id="0">
    <w:p w:rsidR="003C0736" w:rsidRDefault="003C0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2D14"/>
    <w:multiLevelType w:val="multilevel"/>
    <w:tmpl w:val="3030F322"/>
    <w:lvl w:ilvl="0">
      <w:start w:val="1"/>
      <w:numFmt w:val="lowerLetter"/>
      <w:lvlText w:val="%1."/>
      <w:lvlJc w:val="left"/>
      <w:pPr>
        <w:tabs>
          <w:tab w:val="num" w:pos="2160"/>
        </w:tabs>
        <w:ind w:left="21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CD686E"/>
    <w:multiLevelType w:val="hybridMultilevel"/>
    <w:tmpl w:val="5BD43E84"/>
    <w:lvl w:ilvl="0" w:tplc="8500E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4B"/>
    <w:rsid w:val="00055349"/>
    <w:rsid w:val="000C39A1"/>
    <w:rsid w:val="00192544"/>
    <w:rsid w:val="001F013E"/>
    <w:rsid w:val="002F3630"/>
    <w:rsid w:val="002F617A"/>
    <w:rsid w:val="003167BC"/>
    <w:rsid w:val="003209F0"/>
    <w:rsid w:val="00324F4B"/>
    <w:rsid w:val="003A5277"/>
    <w:rsid w:val="003C0736"/>
    <w:rsid w:val="00425556"/>
    <w:rsid w:val="004C3D09"/>
    <w:rsid w:val="004D0CB8"/>
    <w:rsid w:val="00516302"/>
    <w:rsid w:val="00571084"/>
    <w:rsid w:val="005D6BF7"/>
    <w:rsid w:val="00680B96"/>
    <w:rsid w:val="006811B7"/>
    <w:rsid w:val="006C0A4B"/>
    <w:rsid w:val="006D38C9"/>
    <w:rsid w:val="006D59EE"/>
    <w:rsid w:val="006F7F4D"/>
    <w:rsid w:val="007813AC"/>
    <w:rsid w:val="00787B47"/>
    <w:rsid w:val="007947E2"/>
    <w:rsid w:val="007A4E32"/>
    <w:rsid w:val="007E04DB"/>
    <w:rsid w:val="00824E1B"/>
    <w:rsid w:val="008824EB"/>
    <w:rsid w:val="00941EDB"/>
    <w:rsid w:val="00A12880"/>
    <w:rsid w:val="00A3351D"/>
    <w:rsid w:val="00A64C82"/>
    <w:rsid w:val="00A91F79"/>
    <w:rsid w:val="00AD1F59"/>
    <w:rsid w:val="00B80097"/>
    <w:rsid w:val="00B808D0"/>
    <w:rsid w:val="00B943A4"/>
    <w:rsid w:val="00BC673E"/>
    <w:rsid w:val="00C10155"/>
    <w:rsid w:val="00C40EE1"/>
    <w:rsid w:val="00CB4AC6"/>
    <w:rsid w:val="00CC0010"/>
    <w:rsid w:val="00CF1C85"/>
    <w:rsid w:val="00D14AEE"/>
    <w:rsid w:val="00D53225"/>
    <w:rsid w:val="00D83609"/>
    <w:rsid w:val="00DB32B6"/>
    <w:rsid w:val="00DB649E"/>
    <w:rsid w:val="00E05291"/>
    <w:rsid w:val="00E16114"/>
    <w:rsid w:val="00E34997"/>
    <w:rsid w:val="00E5448A"/>
    <w:rsid w:val="00E72D34"/>
    <w:rsid w:val="00EA297C"/>
    <w:rsid w:val="00F421B9"/>
    <w:rsid w:val="00F8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D593"/>
  <w15:chartTrackingRefBased/>
  <w15:docId w15:val="{41526224-D8F4-4095-9844-73990242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F4B"/>
    <w:rPr>
      <w:rFonts w:ascii="Calibri" w:eastAsia="Calibri" w:hAnsi="Calibri" w:cs="Times New Roman"/>
    </w:rPr>
  </w:style>
  <w:style w:type="numbering" w:customStyle="1" w:styleId="Judgments">
    <w:name w:val="Judgments"/>
    <w:uiPriority w:val="99"/>
    <w:rsid w:val="00324F4B"/>
    <w:pPr>
      <w:numPr>
        <w:numId w:val="1"/>
      </w:numPr>
    </w:pPr>
  </w:style>
  <w:style w:type="paragraph" w:customStyle="1" w:styleId="JudgmentText">
    <w:name w:val="Judgment Text"/>
    <w:basedOn w:val="ListParagraph"/>
    <w:qFormat/>
    <w:rsid w:val="00324F4B"/>
    <w:pPr>
      <w:numPr>
        <w:numId w:val="2"/>
      </w:numPr>
      <w:tabs>
        <w:tab w:val="num" w:pos="360"/>
      </w:tabs>
      <w:spacing w:after="240" w:line="360" w:lineRule="auto"/>
      <w:ind w:firstLine="0"/>
      <w:contextualSpacing w:val="0"/>
      <w:jc w:val="both"/>
    </w:pPr>
    <w:rPr>
      <w:rFonts w:ascii="Times New Roman" w:eastAsia="Times New Roman" w:hAnsi="Times New Roman"/>
      <w:sz w:val="24"/>
      <w:szCs w:val="24"/>
      <w:lang w:val="en-GB"/>
    </w:rPr>
  </w:style>
  <w:style w:type="paragraph" w:customStyle="1" w:styleId="Partynames">
    <w:name w:val="Party names"/>
    <w:basedOn w:val="Normal"/>
    <w:link w:val="PartynamesChar"/>
    <w:qFormat/>
    <w:rsid w:val="00324F4B"/>
    <w:pPr>
      <w:tabs>
        <w:tab w:val="left" w:pos="540"/>
        <w:tab w:val="left" w:pos="5580"/>
      </w:tabs>
      <w:spacing w:before="240" w:after="0" w:line="240" w:lineRule="auto"/>
    </w:pPr>
    <w:rPr>
      <w:rFonts w:ascii="Times New Roman" w:hAnsi="Times New Roman"/>
      <w:b/>
      <w:sz w:val="24"/>
      <w:szCs w:val="24"/>
    </w:rPr>
  </w:style>
  <w:style w:type="paragraph" w:customStyle="1" w:styleId="Attorneysnames">
    <w:name w:val="Attorneys names"/>
    <w:basedOn w:val="Normal"/>
    <w:link w:val="AttorneysnamesChar"/>
    <w:qFormat/>
    <w:rsid w:val="00324F4B"/>
    <w:pPr>
      <w:tabs>
        <w:tab w:val="left" w:pos="540"/>
        <w:tab w:val="left" w:pos="4092"/>
        <w:tab w:val="left" w:pos="5580"/>
      </w:tabs>
      <w:spacing w:after="0" w:line="240" w:lineRule="auto"/>
    </w:pPr>
    <w:rPr>
      <w:rFonts w:ascii="Times New Roman" w:hAnsi="Times New Roman"/>
      <w:i/>
      <w:sz w:val="24"/>
      <w:szCs w:val="24"/>
    </w:rPr>
  </w:style>
  <w:style w:type="character" w:customStyle="1" w:styleId="PartynamesChar">
    <w:name w:val="Party names Char"/>
    <w:link w:val="Partynames"/>
    <w:rsid w:val="00324F4B"/>
    <w:rPr>
      <w:rFonts w:ascii="Times New Roman" w:eastAsia="Calibri" w:hAnsi="Times New Roman" w:cs="Times New Roman"/>
      <w:b/>
      <w:sz w:val="24"/>
      <w:szCs w:val="24"/>
    </w:rPr>
  </w:style>
  <w:style w:type="character" w:customStyle="1" w:styleId="AttorneysnamesChar">
    <w:name w:val="Attorneys names Char"/>
    <w:link w:val="Attorneysnames"/>
    <w:rsid w:val="00324F4B"/>
    <w:rPr>
      <w:rFonts w:ascii="Times New Roman" w:eastAsia="Calibri" w:hAnsi="Times New Roman" w:cs="Times New Roman"/>
      <w:i/>
      <w:sz w:val="24"/>
      <w:szCs w:val="24"/>
    </w:rPr>
  </w:style>
  <w:style w:type="paragraph" w:styleId="ListParagraph">
    <w:name w:val="List Paragraph"/>
    <w:basedOn w:val="Normal"/>
    <w:uiPriority w:val="34"/>
    <w:qFormat/>
    <w:rsid w:val="00324F4B"/>
    <w:pPr>
      <w:ind w:left="720"/>
      <w:contextualSpacing/>
    </w:pPr>
  </w:style>
  <w:style w:type="paragraph" w:styleId="BalloonText">
    <w:name w:val="Balloon Text"/>
    <w:basedOn w:val="Normal"/>
    <w:link w:val="BalloonTextChar"/>
    <w:uiPriority w:val="99"/>
    <w:semiHidden/>
    <w:unhideWhenUsed/>
    <w:rsid w:val="00CF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85"/>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7813AC"/>
    <w:rPr>
      <w:sz w:val="20"/>
      <w:szCs w:val="20"/>
    </w:rPr>
  </w:style>
  <w:style w:type="character" w:customStyle="1" w:styleId="FootnoteTextChar">
    <w:name w:val="Footnote Text Char"/>
    <w:basedOn w:val="DefaultParagraphFont"/>
    <w:link w:val="FootnoteText"/>
    <w:uiPriority w:val="99"/>
    <w:semiHidden/>
    <w:rsid w:val="007813AC"/>
    <w:rPr>
      <w:rFonts w:ascii="Calibri" w:eastAsia="Calibri" w:hAnsi="Calibri" w:cs="Times New Roman"/>
      <w:sz w:val="20"/>
      <w:szCs w:val="20"/>
    </w:rPr>
  </w:style>
  <w:style w:type="character" w:styleId="FootnoteReference">
    <w:name w:val="footnote reference"/>
    <w:uiPriority w:val="99"/>
    <w:semiHidden/>
    <w:unhideWhenUsed/>
    <w:rsid w:val="00781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855/24/eng%402014-1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ylii.org/akn/sc/act/1855/24/eng%402014-12-01" TargetMode="External"/><Relationship Id="rId4" Type="http://schemas.openxmlformats.org/officeDocument/2006/relationships/settings" Target="settings.xml"/><Relationship Id="rId9" Type="http://schemas.openxmlformats.org/officeDocument/2006/relationships/hyperlink" Target="https://seylii.org/akn/sc/act/1855/24/eng%402014-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F1D8-F169-4F8B-AB75-016D65C8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Danielle Coetzer</cp:lastModifiedBy>
  <cp:revision>3</cp:revision>
  <cp:lastPrinted>2023-09-13T09:58:00Z</cp:lastPrinted>
  <dcterms:created xsi:type="dcterms:W3CDTF">2023-09-25T05:31:00Z</dcterms:created>
  <dcterms:modified xsi:type="dcterms:W3CDTF">2024-02-12T04:33:00Z</dcterms:modified>
</cp:coreProperties>
</file>