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881C" w14:textId="77777777" w:rsidR="001D33D2" w:rsidRPr="00134101" w:rsidRDefault="001D33D2" w:rsidP="00C55163">
      <w:pPr>
        <w:tabs>
          <w:tab w:val="left" w:pos="4092"/>
        </w:tabs>
        <w:spacing w:after="0" w:line="240" w:lineRule="auto"/>
        <w:jc w:val="center"/>
        <w:rPr>
          <w:rFonts w:ascii="Times New Roman" w:hAnsi="Times New Roman" w:cs="Times New Roman"/>
          <w:b/>
          <w:sz w:val="24"/>
          <w:szCs w:val="24"/>
        </w:rPr>
      </w:pPr>
      <w:bookmarkStart w:id="0" w:name="_GoBack"/>
      <w:bookmarkEnd w:id="0"/>
      <w:r w:rsidRPr="00134101">
        <w:rPr>
          <w:rFonts w:ascii="Times New Roman" w:hAnsi="Times New Roman" w:cs="Times New Roman"/>
          <w:b/>
          <w:sz w:val="24"/>
          <w:szCs w:val="24"/>
        </w:rPr>
        <w:t>SUPREME COURT OF SEYCHELLES</w:t>
      </w:r>
    </w:p>
    <w:p w14:paraId="500458D0" w14:textId="77777777" w:rsidR="009539C2" w:rsidRPr="00134101" w:rsidRDefault="009539C2" w:rsidP="00836E9E">
      <w:pPr>
        <w:pBdr>
          <w:bottom w:val="single" w:sz="4" w:space="1" w:color="auto"/>
        </w:pBdr>
        <w:tabs>
          <w:tab w:val="left" w:pos="4092"/>
        </w:tabs>
        <w:spacing w:line="276" w:lineRule="auto"/>
        <w:jc w:val="both"/>
        <w:rPr>
          <w:rFonts w:ascii="Times New Roman" w:hAnsi="Times New Roman" w:cs="Times New Roman"/>
          <w:b/>
          <w:sz w:val="24"/>
          <w:szCs w:val="24"/>
        </w:rPr>
      </w:pPr>
    </w:p>
    <w:p w14:paraId="51CFF7B5" w14:textId="77777777" w:rsidR="00ED0BFC" w:rsidRPr="00134101" w:rsidRDefault="00ED0BFC" w:rsidP="00836E9E">
      <w:pPr>
        <w:spacing w:after="0" w:line="276" w:lineRule="auto"/>
        <w:ind w:left="5580"/>
        <w:jc w:val="both"/>
        <w:rPr>
          <w:rFonts w:ascii="Times New Roman" w:hAnsi="Times New Roman" w:cs="Times New Roman"/>
          <w:b/>
          <w:sz w:val="24"/>
          <w:szCs w:val="24"/>
          <w:u w:val="single"/>
        </w:rPr>
      </w:pPr>
      <w:r w:rsidRPr="00134101">
        <w:rPr>
          <w:rFonts w:ascii="Times New Roman" w:hAnsi="Times New Roman" w:cs="Times New Roman"/>
          <w:b/>
          <w:sz w:val="24"/>
          <w:szCs w:val="24"/>
          <w:u w:val="single"/>
        </w:rPr>
        <w:t>Reportable</w:t>
      </w:r>
    </w:p>
    <w:p w14:paraId="325EB3EB" w14:textId="77777777" w:rsidR="002E2AE3" w:rsidRPr="00134101" w:rsidRDefault="00BC73B1" w:rsidP="00836E9E">
      <w:pPr>
        <w:spacing w:after="0" w:line="276" w:lineRule="auto"/>
        <w:ind w:left="5580"/>
        <w:jc w:val="both"/>
        <w:rPr>
          <w:rFonts w:ascii="Times New Roman" w:hAnsi="Times New Roman" w:cs="Times New Roman"/>
          <w:sz w:val="24"/>
          <w:szCs w:val="24"/>
        </w:rPr>
      </w:pPr>
      <w:r w:rsidRPr="00134101">
        <w:rPr>
          <w:rFonts w:ascii="Times New Roman" w:hAnsi="Times New Roman" w:cs="Times New Roman"/>
          <w:sz w:val="24"/>
          <w:szCs w:val="24"/>
        </w:rPr>
        <w:t>[20</w:t>
      </w:r>
      <w:r w:rsidR="00D3450A" w:rsidRPr="00134101">
        <w:rPr>
          <w:rFonts w:ascii="Times New Roman" w:hAnsi="Times New Roman" w:cs="Times New Roman"/>
          <w:sz w:val="24"/>
          <w:szCs w:val="24"/>
        </w:rPr>
        <w:t xml:space="preserve">23] SCSC </w:t>
      </w:r>
    </w:p>
    <w:p w14:paraId="76291E0D" w14:textId="77777777" w:rsidR="002E2AE3" w:rsidRPr="00134101" w:rsidRDefault="00D3450A" w:rsidP="00836E9E">
      <w:pPr>
        <w:spacing w:after="0" w:line="276" w:lineRule="auto"/>
        <w:ind w:left="5580"/>
        <w:jc w:val="both"/>
        <w:rPr>
          <w:rFonts w:ascii="Times New Roman" w:hAnsi="Times New Roman" w:cs="Times New Roman"/>
          <w:sz w:val="24"/>
          <w:szCs w:val="24"/>
        </w:rPr>
      </w:pPr>
      <w:r w:rsidRPr="00134101">
        <w:rPr>
          <w:rFonts w:ascii="Times New Roman" w:hAnsi="Times New Roman" w:cs="Times New Roman"/>
          <w:sz w:val="24"/>
          <w:szCs w:val="24"/>
        </w:rPr>
        <w:t>MC 30/2021</w:t>
      </w:r>
    </w:p>
    <w:p w14:paraId="2272D734" w14:textId="77777777" w:rsidR="002E2AE3" w:rsidRPr="00134101" w:rsidRDefault="002E2AE3" w:rsidP="00836E9E">
      <w:pPr>
        <w:spacing w:after="0" w:line="276" w:lineRule="auto"/>
        <w:ind w:left="5580"/>
        <w:jc w:val="both"/>
        <w:rPr>
          <w:rFonts w:ascii="Times New Roman" w:hAnsi="Times New Roman" w:cs="Times New Roman"/>
          <w:sz w:val="24"/>
          <w:szCs w:val="24"/>
        </w:rPr>
      </w:pPr>
    </w:p>
    <w:p w14:paraId="2AB6B0BF" w14:textId="77777777" w:rsidR="006A68E2" w:rsidRPr="00134101" w:rsidRDefault="006A68E2" w:rsidP="00836E9E">
      <w:pPr>
        <w:spacing w:after="0" w:line="276" w:lineRule="auto"/>
        <w:ind w:left="5580"/>
        <w:jc w:val="both"/>
        <w:rPr>
          <w:rFonts w:ascii="Times New Roman" w:hAnsi="Times New Roman" w:cs="Times New Roman"/>
          <w:sz w:val="24"/>
          <w:szCs w:val="24"/>
        </w:rPr>
      </w:pPr>
    </w:p>
    <w:p w14:paraId="3DA75479" w14:textId="77777777" w:rsidR="002D4EB8" w:rsidRPr="00134101" w:rsidRDefault="002D4EB8" w:rsidP="00836E9E">
      <w:pPr>
        <w:tabs>
          <w:tab w:val="left" w:pos="540"/>
          <w:tab w:val="left" w:pos="4092"/>
        </w:tabs>
        <w:spacing w:after="0" w:line="276" w:lineRule="auto"/>
        <w:jc w:val="both"/>
        <w:rPr>
          <w:rFonts w:ascii="Times New Roman" w:hAnsi="Times New Roman" w:cs="Times New Roman"/>
          <w:sz w:val="24"/>
          <w:szCs w:val="24"/>
        </w:rPr>
      </w:pPr>
      <w:r w:rsidRPr="00134101">
        <w:rPr>
          <w:rFonts w:ascii="Times New Roman" w:hAnsi="Times New Roman" w:cs="Times New Roman"/>
          <w:sz w:val="24"/>
          <w:szCs w:val="24"/>
        </w:rPr>
        <w:t>In the matter between:</w:t>
      </w:r>
    </w:p>
    <w:p w14:paraId="57606B90" w14:textId="77777777" w:rsidR="002E2AE3" w:rsidRPr="00134101" w:rsidRDefault="00D3450A" w:rsidP="00836E9E">
      <w:pPr>
        <w:pStyle w:val="Partynames"/>
        <w:spacing w:line="276" w:lineRule="auto"/>
        <w:jc w:val="both"/>
      </w:pPr>
      <w:r w:rsidRPr="00134101">
        <w:t>THE GOVERNMENT OF SEYCHELLES</w:t>
      </w:r>
      <w:r w:rsidR="002E2AE3" w:rsidRPr="00134101">
        <w:tab/>
      </w:r>
      <w:r w:rsidRPr="00134101">
        <w:t>Applicant</w:t>
      </w:r>
    </w:p>
    <w:p w14:paraId="290B69B3" w14:textId="77777777" w:rsidR="00380619" w:rsidRPr="00134101" w:rsidRDefault="002E2AE3" w:rsidP="006B7BC6">
      <w:pPr>
        <w:pStyle w:val="Attorneysnames"/>
        <w:spacing w:line="276" w:lineRule="auto"/>
        <w:jc w:val="both"/>
      </w:pPr>
      <w:r w:rsidRPr="00134101">
        <w:t>(rep. by</w:t>
      </w:r>
      <w:r w:rsidR="00D3450A" w:rsidRPr="00134101">
        <w:t xml:space="preserve"> Steven Powles</w:t>
      </w:r>
      <w:r w:rsidR="00BC73B1" w:rsidRPr="00134101">
        <w:t>)</w:t>
      </w:r>
    </w:p>
    <w:p w14:paraId="35E2D191" w14:textId="77777777" w:rsidR="00C55163" w:rsidRDefault="00C55163" w:rsidP="006B7BC6">
      <w:pPr>
        <w:tabs>
          <w:tab w:val="left" w:pos="540"/>
          <w:tab w:val="left" w:pos="4092"/>
          <w:tab w:val="left" w:pos="5580"/>
        </w:tabs>
        <w:spacing w:after="0" w:line="276" w:lineRule="auto"/>
        <w:jc w:val="both"/>
        <w:rPr>
          <w:rFonts w:ascii="Times New Roman" w:hAnsi="Times New Roman" w:cs="Times New Roman"/>
          <w:sz w:val="24"/>
          <w:szCs w:val="24"/>
        </w:rPr>
      </w:pPr>
    </w:p>
    <w:p w14:paraId="598E83D6" w14:textId="77777777" w:rsidR="00F33B83" w:rsidRPr="006B7BC6" w:rsidRDefault="002D4EB8" w:rsidP="006B7BC6">
      <w:pPr>
        <w:tabs>
          <w:tab w:val="left" w:pos="540"/>
          <w:tab w:val="left" w:pos="4092"/>
          <w:tab w:val="left" w:pos="5580"/>
        </w:tabs>
        <w:spacing w:after="0" w:line="276" w:lineRule="auto"/>
        <w:jc w:val="both"/>
        <w:rPr>
          <w:rFonts w:ascii="Times New Roman" w:hAnsi="Times New Roman" w:cs="Times New Roman"/>
          <w:sz w:val="24"/>
          <w:szCs w:val="24"/>
        </w:rPr>
      </w:pPr>
      <w:r w:rsidRPr="00134101">
        <w:rPr>
          <w:rFonts w:ascii="Times New Roman" w:hAnsi="Times New Roman" w:cs="Times New Roman"/>
          <w:sz w:val="24"/>
          <w:szCs w:val="24"/>
        </w:rPr>
        <w:t>and</w:t>
      </w:r>
    </w:p>
    <w:p w14:paraId="4B64929E" w14:textId="77777777" w:rsidR="002E2AE3" w:rsidRPr="00134101" w:rsidRDefault="00D3450A" w:rsidP="00836E9E">
      <w:pPr>
        <w:pStyle w:val="Partynames"/>
        <w:spacing w:line="276" w:lineRule="auto"/>
        <w:jc w:val="both"/>
      </w:pPr>
      <w:r w:rsidRPr="00134101">
        <w:t>GE-GEOLOGY LIMITED</w:t>
      </w:r>
      <w:r w:rsidR="002E2AE3" w:rsidRPr="00134101">
        <w:tab/>
        <w:t>Respondent</w:t>
      </w:r>
    </w:p>
    <w:p w14:paraId="6C59841F" w14:textId="77777777" w:rsidR="002E2AE3" w:rsidRPr="00134101" w:rsidRDefault="002E2AE3" w:rsidP="00836E9E">
      <w:pPr>
        <w:tabs>
          <w:tab w:val="left" w:pos="540"/>
          <w:tab w:val="left" w:pos="4092"/>
        </w:tabs>
        <w:spacing w:after="0" w:line="276" w:lineRule="auto"/>
        <w:jc w:val="both"/>
        <w:rPr>
          <w:rFonts w:ascii="Times New Roman" w:hAnsi="Times New Roman" w:cs="Times New Roman"/>
          <w:i/>
          <w:sz w:val="24"/>
          <w:szCs w:val="24"/>
        </w:rPr>
      </w:pPr>
      <w:r w:rsidRPr="00134101">
        <w:rPr>
          <w:rFonts w:ascii="Times New Roman" w:hAnsi="Times New Roman" w:cs="Times New Roman"/>
          <w:i/>
          <w:sz w:val="24"/>
          <w:szCs w:val="24"/>
        </w:rPr>
        <w:t xml:space="preserve">(rep. by </w:t>
      </w:r>
      <w:r w:rsidR="009B4A5C" w:rsidRPr="00134101">
        <w:rPr>
          <w:rFonts w:ascii="Times New Roman" w:hAnsi="Times New Roman" w:cs="Times New Roman"/>
          <w:i/>
          <w:sz w:val="24"/>
          <w:szCs w:val="24"/>
        </w:rPr>
        <w:t>Frank Elizabeth</w:t>
      </w:r>
      <w:r w:rsidRPr="00134101">
        <w:rPr>
          <w:rFonts w:ascii="Times New Roman" w:hAnsi="Times New Roman" w:cs="Times New Roman"/>
          <w:i/>
          <w:sz w:val="24"/>
          <w:szCs w:val="24"/>
        </w:rPr>
        <w:t>)</w:t>
      </w:r>
    </w:p>
    <w:p w14:paraId="412E9977" w14:textId="77777777" w:rsidR="00BB1A3E" w:rsidRPr="00134101" w:rsidRDefault="00BB1A3E" w:rsidP="00836E9E">
      <w:pPr>
        <w:pBdr>
          <w:bottom w:val="single" w:sz="4" w:space="1" w:color="auto"/>
        </w:pBdr>
        <w:tabs>
          <w:tab w:val="left" w:pos="540"/>
          <w:tab w:val="left" w:pos="5580"/>
        </w:tabs>
        <w:spacing w:after="0" w:line="276" w:lineRule="auto"/>
        <w:jc w:val="both"/>
        <w:rPr>
          <w:rFonts w:ascii="Times New Roman" w:hAnsi="Times New Roman" w:cs="Times New Roman"/>
          <w:i/>
          <w:sz w:val="24"/>
          <w:szCs w:val="24"/>
        </w:rPr>
      </w:pPr>
    </w:p>
    <w:p w14:paraId="33C23BFA" w14:textId="21F52D53" w:rsidR="00405958" w:rsidRPr="00134101" w:rsidRDefault="00405958" w:rsidP="00836E9E">
      <w:pPr>
        <w:spacing w:before="120" w:after="0" w:line="276" w:lineRule="auto"/>
        <w:ind w:left="1886" w:hanging="1886"/>
        <w:jc w:val="both"/>
        <w:rPr>
          <w:rFonts w:ascii="Times New Roman" w:hAnsi="Times New Roman" w:cs="Times New Roman"/>
          <w:sz w:val="24"/>
          <w:szCs w:val="24"/>
        </w:rPr>
      </w:pPr>
      <w:r w:rsidRPr="00134101">
        <w:rPr>
          <w:rFonts w:ascii="Times New Roman" w:hAnsi="Times New Roman" w:cs="Times New Roman"/>
          <w:b/>
          <w:sz w:val="24"/>
          <w:szCs w:val="24"/>
        </w:rPr>
        <w:t>Neutral Citation:</w:t>
      </w:r>
      <w:r w:rsidR="004A2599" w:rsidRPr="00134101">
        <w:rPr>
          <w:rFonts w:ascii="Times New Roman" w:hAnsi="Times New Roman" w:cs="Times New Roman"/>
          <w:sz w:val="24"/>
          <w:szCs w:val="24"/>
        </w:rPr>
        <w:t xml:space="preserve"> </w:t>
      </w:r>
      <w:r w:rsidR="004A2599" w:rsidRPr="00134101">
        <w:rPr>
          <w:rFonts w:ascii="Times New Roman" w:hAnsi="Times New Roman" w:cs="Times New Roman"/>
          <w:sz w:val="24"/>
          <w:szCs w:val="24"/>
        </w:rPr>
        <w:tab/>
      </w:r>
      <w:r w:rsidR="00D3450A" w:rsidRPr="00134101">
        <w:rPr>
          <w:rFonts w:ascii="Times New Roman" w:hAnsi="Times New Roman" w:cs="Times New Roman"/>
          <w:i/>
          <w:sz w:val="24"/>
          <w:szCs w:val="24"/>
        </w:rPr>
        <w:t>Gov</w:t>
      </w:r>
      <w:r w:rsidR="00C55163">
        <w:rPr>
          <w:rFonts w:ascii="Times New Roman" w:hAnsi="Times New Roman" w:cs="Times New Roman"/>
          <w:i/>
          <w:sz w:val="24"/>
          <w:szCs w:val="24"/>
        </w:rPr>
        <w:t>ernment</w:t>
      </w:r>
      <w:r w:rsidR="00D3450A" w:rsidRPr="00134101">
        <w:rPr>
          <w:rFonts w:ascii="Times New Roman" w:hAnsi="Times New Roman" w:cs="Times New Roman"/>
          <w:i/>
          <w:sz w:val="24"/>
          <w:szCs w:val="24"/>
        </w:rPr>
        <w:t xml:space="preserve"> of Sey</w:t>
      </w:r>
      <w:r w:rsidR="00C55163">
        <w:rPr>
          <w:rFonts w:ascii="Times New Roman" w:hAnsi="Times New Roman" w:cs="Times New Roman"/>
          <w:i/>
          <w:sz w:val="24"/>
          <w:szCs w:val="24"/>
        </w:rPr>
        <w:t>chelles</w:t>
      </w:r>
      <w:r w:rsidR="00D31F1B" w:rsidRPr="00134101">
        <w:rPr>
          <w:rFonts w:ascii="Times New Roman" w:hAnsi="Times New Roman" w:cs="Times New Roman"/>
          <w:i/>
          <w:sz w:val="24"/>
          <w:szCs w:val="24"/>
        </w:rPr>
        <w:t xml:space="preserve"> v </w:t>
      </w:r>
      <w:r w:rsidR="00D3450A" w:rsidRPr="00134101">
        <w:rPr>
          <w:rFonts w:ascii="Times New Roman" w:hAnsi="Times New Roman" w:cs="Times New Roman"/>
          <w:i/>
          <w:sz w:val="24"/>
          <w:szCs w:val="24"/>
        </w:rPr>
        <w:t>Ge-</w:t>
      </w:r>
      <w:r w:rsidR="00C55163">
        <w:rPr>
          <w:rFonts w:ascii="Times New Roman" w:hAnsi="Times New Roman" w:cs="Times New Roman"/>
          <w:i/>
          <w:sz w:val="24"/>
          <w:szCs w:val="24"/>
        </w:rPr>
        <w:t>G</w:t>
      </w:r>
      <w:r w:rsidR="00D3450A" w:rsidRPr="00134101">
        <w:rPr>
          <w:rFonts w:ascii="Times New Roman" w:hAnsi="Times New Roman" w:cs="Times New Roman"/>
          <w:i/>
          <w:sz w:val="24"/>
          <w:szCs w:val="24"/>
        </w:rPr>
        <w:t>eology Limited</w:t>
      </w:r>
      <w:r w:rsidR="00662CEA" w:rsidRPr="00134101">
        <w:rPr>
          <w:rFonts w:ascii="Times New Roman" w:hAnsi="Times New Roman" w:cs="Times New Roman"/>
          <w:i/>
          <w:sz w:val="24"/>
          <w:szCs w:val="24"/>
        </w:rPr>
        <w:t xml:space="preserve"> </w:t>
      </w:r>
      <w:r w:rsidR="00D31F1B" w:rsidRPr="00134101">
        <w:rPr>
          <w:rFonts w:ascii="Times New Roman" w:hAnsi="Times New Roman" w:cs="Times New Roman"/>
          <w:sz w:val="24"/>
          <w:szCs w:val="24"/>
        </w:rPr>
        <w:t>(</w:t>
      </w:r>
      <w:r w:rsidR="009F4F84">
        <w:rPr>
          <w:rFonts w:ascii="Times New Roman" w:hAnsi="Times New Roman" w:cs="Times New Roman"/>
          <w:sz w:val="24"/>
          <w:szCs w:val="24"/>
        </w:rPr>
        <w:t>MC 30/2021) [2023] SCSC</w:t>
      </w:r>
      <w:r w:rsidR="009F4F84">
        <w:rPr>
          <w:rFonts w:ascii="Times New Roman" w:hAnsi="Times New Roman" w:cs="Times New Roman"/>
          <w:sz w:val="24"/>
          <w:szCs w:val="24"/>
        </w:rPr>
        <w:tab/>
      </w:r>
      <w:r w:rsidR="009F4F84">
        <w:rPr>
          <w:rFonts w:ascii="Times New Roman" w:hAnsi="Times New Roman" w:cs="Times New Roman"/>
          <w:sz w:val="24"/>
          <w:szCs w:val="24"/>
        </w:rPr>
        <w:tab/>
        <w:t xml:space="preserve">    </w:t>
      </w:r>
      <w:r w:rsidR="00D31F1B" w:rsidRPr="00134101">
        <w:rPr>
          <w:rFonts w:ascii="Times New Roman" w:hAnsi="Times New Roman" w:cs="Times New Roman"/>
          <w:sz w:val="24"/>
          <w:szCs w:val="24"/>
        </w:rPr>
        <w:t>(</w:t>
      </w:r>
      <w:r w:rsidR="009108D3">
        <w:rPr>
          <w:rFonts w:ascii="Times New Roman" w:hAnsi="Times New Roman" w:cs="Times New Roman"/>
          <w:sz w:val="24"/>
          <w:szCs w:val="24"/>
        </w:rPr>
        <w:t xml:space="preserve">22 September </w:t>
      </w:r>
      <w:r w:rsidR="00D3450A" w:rsidRPr="00134101">
        <w:rPr>
          <w:rFonts w:ascii="Times New Roman" w:hAnsi="Times New Roman" w:cs="Times New Roman"/>
          <w:sz w:val="24"/>
          <w:szCs w:val="24"/>
        </w:rPr>
        <w:t>2023)</w:t>
      </w:r>
    </w:p>
    <w:p w14:paraId="3D83C62E" w14:textId="77777777" w:rsidR="002E2AE3" w:rsidRPr="00134101" w:rsidRDefault="009F125D" w:rsidP="00836E9E">
      <w:pPr>
        <w:spacing w:after="0" w:line="276" w:lineRule="auto"/>
        <w:ind w:left="1890" w:hanging="1890"/>
        <w:jc w:val="both"/>
        <w:rPr>
          <w:rFonts w:ascii="Times New Roman" w:hAnsi="Times New Roman" w:cs="Times New Roman"/>
          <w:sz w:val="24"/>
          <w:szCs w:val="24"/>
        </w:rPr>
      </w:pPr>
      <w:r w:rsidRPr="00134101">
        <w:rPr>
          <w:rFonts w:ascii="Times New Roman" w:hAnsi="Times New Roman" w:cs="Times New Roman"/>
          <w:b/>
          <w:sz w:val="24"/>
          <w:szCs w:val="24"/>
        </w:rPr>
        <w:t>Before</w:t>
      </w:r>
      <w:r w:rsidR="00405958" w:rsidRPr="00134101">
        <w:rPr>
          <w:rFonts w:ascii="Times New Roman" w:hAnsi="Times New Roman" w:cs="Times New Roman"/>
          <w:b/>
          <w:sz w:val="24"/>
          <w:szCs w:val="24"/>
        </w:rPr>
        <w:t xml:space="preserve">: </w:t>
      </w:r>
      <w:r w:rsidR="004A2599" w:rsidRPr="00134101">
        <w:rPr>
          <w:rFonts w:ascii="Times New Roman" w:hAnsi="Times New Roman" w:cs="Times New Roman"/>
          <w:b/>
          <w:sz w:val="24"/>
          <w:szCs w:val="24"/>
        </w:rPr>
        <w:tab/>
      </w:r>
      <w:r w:rsidR="00D3450A" w:rsidRPr="00134101">
        <w:rPr>
          <w:rFonts w:ascii="Times New Roman" w:hAnsi="Times New Roman" w:cs="Times New Roman"/>
          <w:sz w:val="24"/>
          <w:szCs w:val="24"/>
        </w:rPr>
        <w:t>Burhan J</w:t>
      </w:r>
    </w:p>
    <w:p w14:paraId="03569CD2" w14:textId="77777777" w:rsidR="00344425" w:rsidRPr="004878BF" w:rsidRDefault="00346D7F" w:rsidP="00836E9E">
      <w:pPr>
        <w:spacing w:after="0" w:line="276" w:lineRule="auto"/>
        <w:ind w:left="1890" w:hanging="1890"/>
        <w:jc w:val="both"/>
        <w:rPr>
          <w:rFonts w:ascii="Times New Roman" w:hAnsi="Times New Roman" w:cs="Times New Roman"/>
          <w:sz w:val="24"/>
          <w:szCs w:val="24"/>
        </w:rPr>
      </w:pPr>
      <w:r w:rsidRPr="00134101">
        <w:rPr>
          <w:rFonts w:ascii="Times New Roman" w:hAnsi="Times New Roman" w:cs="Times New Roman"/>
          <w:b/>
          <w:sz w:val="24"/>
          <w:szCs w:val="24"/>
        </w:rPr>
        <w:t xml:space="preserve">Summary: </w:t>
      </w:r>
      <w:r w:rsidR="00F33B83" w:rsidRPr="00134101">
        <w:rPr>
          <w:rFonts w:ascii="Times New Roman" w:hAnsi="Times New Roman" w:cs="Times New Roman"/>
          <w:b/>
          <w:sz w:val="24"/>
          <w:szCs w:val="24"/>
        </w:rPr>
        <w:tab/>
      </w:r>
      <w:r w:rsidR="004878BF" w:rsidRPr="004878BF">
        <w:rPr>
          <w:rFonts w:ascii="Times New Roman" w:hAnsi="Times New Roman" w:cs="Times New Roman"/>
          <w:sz w:val="24"/>
          <w:szCs w:val="24"/>
        </w:rPr>
        <w:t>Section 4 Application under</w:t>
      </w:r>
      <w:r w:rsidR="004878BF">
        <w:rPr>
          <w:rFonts w:ascii="Times New Roman" w:hAnsi="Times New Roman" w:cs="Times New Roman"/>
          <w:b/>
          <w:sz w:val="24"/>
          <w:szCs w:val="24"/>
        </w:rPr>
        <w:t xml:space="preserve"> </w:t>
      </w:r>
      <w:r w:rsidR="004878BF" w:rsidRPr="004878BF">
        <w:rPr>
          <w:rFonts w:ascii="Times New Roman" w:hAnsi="Times New Roman" w:cs="Times New Roman"/>
          <w:color w:val="000000"/>
        </w:rPr>
        <w:t>the Proceeds of Crime (Civil confiscation) Act (POCA)</w:t>
      </w:r>
      <w:r w:rsidR="004878BF">
        <w:rPr>
          <w:rFonts w:ascii="Times New Roman" w:hAnsi="Times New Roman" w:cs="Times New Roman"/>
          <w:color w:val="000000"/>
        </w:rPr>
        <w:t xml:space="preserve"> as amended.</w:t>
      </w:r>
    </w:p>
    <w:p w14:paraId="2CCACA0E" w14:textId="77777777" w:rsidR="00344425" w:rsidRPr="004878BF" w:rsidRDefault="00344425" w:rsidP="00836E9E">
      <w:pPr>
        <w:tabs>
          <w:tab w:val="left" w:pos="720"/>
          <w:tab w:val="left" w:pos="1440"/>
          <w:tab w:val="left" w:pos="2160"/>
        </w:tabs>
        <w:spacing w:after="0" w:line="276" w:lineRule="auto"/>
        <w:ind w:left="1890" w:hanging="1890"/>
        <w:jc w:val="both"/>
        <w:rPr>
          <w:rFonts w:ascii="Times New Roman" w:hAnsi="Times New Roman" w:cs="Times New Roman"/>
          <w:sz w:val="24"/>
          <w:szCs w:val="24"/>
        </w:rPr>
      </w:pPr>
      <w:r w:rsidRPr="004878BF">
        <w:rPr>
          <w:rFonts w:ascii="Times New Roman" w:hAnsi="Times New Roman" w:cs="Times New Roman"/>
          <w:b/>
          <w:sz w:val="24"/>
          <w:szCs w:val="24"/>
        </w:rPr>
        <w:t xml:space="preserve">Heard: </w:t>
      </w:r>
      <w:r w:rsidR="005B12AA" w:rsidRPr="004878BF">
        <w:rPr>
          <w:rFonts w:ascii="Times New Roman" w:hAnsi="Times New Roman" w:cs="Times New Roman"/>
          <w:sz w:val="24"/>
          <w:szCs w:val="24"/>
        </w:rPr>
        <w:tab/>
      </w:r>
      <w:r w:rsidR="005B12AA" w:rsidRPr="004878BF">
        <w:rPr>
          <w:rFonts w:ascii="Times New Roman" w:hAnsi="Times New Roman" w:cs="Times New Roman"/>
          <w:sz w:val="24"/>
          <w:szCs w:val="24"/>
        </w:rPr>
        <w:tab/>
      </w:r>
      <w:r w:rsidR="00D3450A" w:rsidRPr="004878BF">
        <w:rPr>
          <w:rFonts w:ascii="Times New Roman" w:hAnsi="Times New Roman" w:cs="Times New Roman"/>
          <w:sz w:val="24"/>
          <w:szCs w:val="24"/>
        </w:rPr>
        <w:t>21</w:t>
      </w:r>
      <w:r w:rsidR="00D3450A" w:rsidRPr="004878BF">
        <w:rPr>
          <w:rFonts w:ascii="Times New Roman" w:hAnsi="Times New Roman" w:cs="Times New Roman"/>
          <w:sz w:val="24"/>
          <w:szCs w:val="24"/>
          <w:vertAlign w:val="superscript"/>
        </w:rPr>
        <w:t>st</w:t>
      </w:r>
      <w:r w:rsidR="00D3450A" w:rsidRPr="004878BF">
        <w:rPr>
          <w:rFonts w:ascii="Times New Roman" w:hAnsi="Times New Roman" w:cs="Times New Roman"/>
          <w:sz w:val="24"/>
          <w:szCs w:val="24"/>
        </w:rPr>
        <w:t xml:space="preserve"> April 2023</w:t>
      </w:r>
    </w:p>
    <w:p w14:paraId="7AB6438A" w14:textId="05BAC9BA" w:rsidR="00344425" w:rsidRPr="00134101" w:rsidRDefault="00344425" w:rsidP="00836E9E">
      <w:pPr>
        <w:pBdr>
          <w:bottom w:val="single" w:sz="4" w:space="1" w:color="auto"/>
        </w:pBdr>
        <w:spacing w:after="0" w:line="276" w:lineRule="auto"/>
        <w:ind w:left="1890" w:hanging="1890"/>
        <w:jc w:val="both"/>
        <w:rPr>
          <w:rFonts w:ascii="Times New Roman" w:hAnsi="Times New Roman" w:cs="Times New Roman"/>
          <w:sz w:val="24"/>
          <w:szCs w:val="24"/>
        </w:rPr>
      </w:pPr>
      <w:r w:rsidRPr="00134101">
        <w:rPr>
          <w:rFonts w:ascii="Times New Roman" w:hAnsi="Times New Roman" w:cs="Times New Roman"/>
          <w:b/>
          <w:sz w:val="24"/>
          <w:szCs w:val="24"/>
        </w:rPr>
        <w:t>Delivered:</w:t>
      </w:r>
      <w:r w:rsidR="004A2599" w:rsidRPr="00134101">
        <w:rPr>
          <w:rFonts w:ascii="Times New Roman" w:hAnsi="Times New Roman" w:cs="Times New Roman"/>
          <w:b/>
          <w:sz w:val="24"/>
          <w:szCs w:val="24"/>
        </w:rPr>
        <w:tab/>
      </w:r>
      <w:r w:rsidR="003A31EE">
        <w:rPr>
          <w:rFonts w:ascii="Times New Roman" w:hAnsi="Times New Roman" w:cs="Times New Roman"/>
          <w:sz w:val="24"/>
          <w:szCs w:val="24"/>
        </w:rPr>
        <w:t>22</w:t>
      </w:r>
      <w:r w:rsidR="003A31EE" w:rsidRPr="00F75319">
        <w:rPr>
          <w:rFonts w:ascii="Times New Roman" w:hAnsi="Times New Roman" w:cs="Times New Roman"/>
          <w:sz w:val="24"/>
          <w:szCs w:val="24"/>
          <w:vertAlign w:val="superscript"/>
        </w:rPr>
        <w:t>nd</w:t>
      </w:r>
      <w:r w:rsidR="003A31EE">
        <w:rPr>
          <w:rFonts w:ascii="Times New Roman" w:hAnsi="Times New Roman" w:cs="Times New Roman"/>
          <w:sz w:val="24"/>
          <w:szCs w:val="24"/>
        </w:rPr>
        <w:t xml:space="preserve"> September 2023</w:t>
      </w:r>
    </w:p>
    <w:p w14:paraId="25F8A5E0" w14:textId="77777777" w:rsidR="00F75319" w:rsidRDefault="00F75319" w:rsidP="006B7BC6">
      <w:pPr>
        <w:tabs>
          <w:tab w:val="left" w:pos="2892"/>
        </w:tabs>
        <w:spacing w:before="120" w:after="0" w:line="276" w:lineRule="auto"/>
        <w:jc w:val="center"/>
        <w:rPr>
          <w:rFonts w:ascii="Times New Roman" w:hAnsi="Times New Roman" w:cs="Times New Roman"/>
          <w:b/>
          <w:sz w:val="24"/>
          <w:szCs w:val="24"/>
        </w:rPr>
      </w:pPr>
    </w:p>
    <w:p w14:paraId="3D49F7C6" w14:textId="77777777" w:rsidR="00ED0BFC" w:rsidRDefault="00ED0BFC" w:rsidP="006B7BC6">
      <w:pPr>
        <w:tabs>
          <w:tab w:val="left" w:pos="2892"/>
        </w:tabs>
        <w:spacing w:before="120" w:after="0" w:line="276" w:lineRule="auto"/>
        <w:jc w:val="center"/>
        <w:rPr>
          <w:rFonts w:ascii="Times New Roman" w:hAnsi="Times New Roman" w:cs="Times New Roman"/>
          <w:b/>
          <w:sz w:val="24"/>
          <w:szCs w:val="24"/>
        </w:rPr>
      </w:pPr>
      <w:r w:rsidRPr="00134101">
        <w:rPr>
          <w:rFonts w:ascii="Times New Roman" w:hAnsi="Times New Roman" w:cs="Times New Roman"/>
          <w:b/>
          <w:sz w:val="24"/>
          <w:szCs w:val="24"/>
        </w:rPr>
        <w:t>ORDER</w:t>
      </w:r>
    </w:p>
    <w:p w14:paraId="59B33D78" w14:textId="77777777" w:rsidR="006B7BC6" w:rsidRDefault="006B7BC6" w:rsidP="006B7BC6">
      <w:pPr>
        <w:tabs>
          <w:tab w:val="left" w:pos="2892"/>
        </w:tabs>
        <w:spacing w:before="120" w:after="0" w:line="276" w:lineRule="auto"/>
        <w:rPr>
          <w:rFonts w:ascii="Times New Roman" w:hAnsi="Times New Roman" w:cs="Times New Roman"/>
          <w:b/>
          <w:sz w:val="24"/>
          <w:szCs w:val="24"/>
        </w:rPr>
      </w:pPr>
    </w:p>
    <w:p w14:paraId="4C4A1CEE" w14:textId="77777777" w:rsidR="006B7BC6" w:rsidRPr="006B7BC6" w:rsidRDefault="006B7BC6" w:rsidP="006B7BC6">
      <w:pPr>
        <w:tabs>
          <w:tab w:val="left" w:pos="2892"/>
        </w:tabs>
        <w:spacing w:before="120" w:after="0" w:line="276" w:lineRule="auto"/>
        <w:rPr>
          <w:rFonts w:ascii="Times New Roman" w:hAnsi="Times New Roman" w:cs="Times New Roman"/>
          <w:sz w:val="24"/>
          <w:szCs w:val="24"/>
        </w:rPr>
      </w:pPr>
      <w:r w:rsidRPr="006B7BC6">
        <w:rPr>
          <w:rFonts w:ascii="Times New Roman" w:hAnsi="Times New Roman" w:cs="Times New Roman"/>
          <w:sz w:val="24"/>
          <w:szCs w:val="24"/>
        </w:rPr>
        <w:t>I proceed to issue:</w:t>
      </w:r>
    </w:p>
    <w:p w14:paraId="5244A55C" w14:textId="77777777" w:rsidR="006B7BC6" w:rsidRDefault="006B7BC6" w:rsidP="006B7BC6">
      <w:pPr>
        <w:tabs>
          <w:tab w:val="left" w:pos="2892"/>
        </w:tabs>
        <w:spacing w:before="120" w:after="0" w:line="276" w:lineRule="auto"/>
        <w:rPr>
          <w:rFonts w:ascii="Times New Roman" w:hAnsi="Times New Roman" w:cs="Times New Roman"/>
          <w:b/>
          <w:sz w:val="24"/>
          <w:szCs w:val="24"/>
        </w:rPr>
      </w:pPr>
    </w:p>
    <w:p w14:paraId="2E889E87" w14:textId="19F68CA0" w:rsidR="006B7BC6" w:rsidRDefault="006B7BC6" w:rsidP="006B7BC6">
      <w:pPr>
        <w:pStyle w:val="JudgmentText"/>
        <w:numPr>
          <w:ilvl w:val="0"/>
          <w:numId w:val="28"/>
        </w:numPr>
      </w:pPr>
      <w:r>
        <w:t>An interlocutory order pursuant to Section 4 of the Proceeds of Crime (Civil Confiscation) Act, 2008 (the POCA), prohibiting the Respondent Ge-Geology Limited</w:t>
      </w:r>
      <w:r w:rsidR="000F69CE">
        <w:t xml:space="preserve"> </w:t>
      </w:r>
      <w:r>
        <w:t xml:space="preserve">or any other person having notice of the making of this order from disposing of or otherwise dealing with whole or any part of the property set out in the </w:t>
      </w:r>
      <w:r w:rsidRPr="006B7BC6">
        <w:t>table</w:t>
      </w:r>
      <w:r>
        <w:t xml:space="preserve"> appended to this </w:t>
      </w:r>
      <w:r w:rsidR="00C652B8">
        <w:t xml:space="preserve">Notice </w:t>
      </w:r>
      <w:r>
        <w:t xml:space="preserve">of </w:t>
      </w:r>
      <w:r w:rsidR="00C652B8">
        <w:t>M</w:t>
      </w:r>
      <w:r>
        <w:t>otion</w:t>
      </w:r>
      <w:r w:rsidR="00352465" w:rsidRPr="00352465">
        <w:t xml:space="preserve"> </w:t>
      </w:r>
      <w:r w:rsidR="00352465">
        <w:t>and described in paragraph [1] herein</w:t>
      </w:r>
      <w:r>
        <w:t xml:space="preserve"> or diminishing its value and;</w:t>
      </w:r>
    </w:p>
    <w:p w14:paraId="4A366E4B" w14:textId="77777777" w:rsidR="006B7BC6" w:rsidRDefault="006B7BC6" w:rsidP="006B7BC6">
      <w:pPr>
        <w:pStyle w:val="JudgmentText"/>
        <w:numPr>
          <w:ilvl w:val="0"/>
          <w:numId w:val="28"/>
        </w:numPr>
      </w:pPr>
      <w:r>
        <w:lastRenderedPageBreak/>
        <w:t xml:space="preserve">An order pursuant </w:t>
      </w:r>
      <w:r w:rsidR="000F69CE">
        <w:t>to S</w:t>
      </w:r>
      <w:r>
        <w:t>ection 8 of the POCA, appointing Superintendent Hein Prinsloo, to be a Receiver of all or part of the property to manage, to keep possession or dispose of or otherwise deal with any other property in respect of which he is appointed in accordance with the Court’s directions and;</w:t>
      </w:r>
    </w:p>
    <w:p w14:paraId="25321781" w14:textId="00408204" w:rsidR="00D3450A" w:rsidRPr="006B7BC6" w:rsidRDefault="006B7BC6" w:rsidP="006B7BC6">
      <w:pPr>
        <w:pStyle w:val="JudgmentText"/>
        <w:numPr>
          <w:ilvl w:val="0"/>
          <w:numId w:val="28"/>
        </w:numPr>
      </w:pPr>
      <w:r>
        <w:t>An order that a copy of this O</w:t>
      </w:r>
      <w:r w:rsidR="000F69CE">
        <w:t xml:space="preserve">rder be served on </w:t>
      </w:r>
      <w:r>
        <w:t>the Respondent or his Counsel Mr Frank Elizabeth</w:t>
      </w:r>
      <w:r w:rsidR="003A31EE">
        <w:t xml:space="preserve"> and Al Salam B</w:t>
      </w:r>
      <w:r w:rsidR="00415BFB">
        <w:t>ank</w:t>
      </w:r>
      <w:r>
        <w:t>.</w:t>
      </w:r>
    </w:p>
    <w:p w14:paraId="0DBC64B1" w14:textId="77777777" w:rsidR="00F33B83" w:rsidRPr="00134101" w:rsidRDefault="00F33B83" w:rsidP="00836E9E">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14:paraId="0F6F8FF4" w14:textId="30E05038" w:rsidR="00F33B83" w:rsidRPr="00134101" w:rsidRDefault="006035B7" w:rsidP="00836E9E">
      <w:pPr>
        <w:pBdr>
          <w:top w:val="single" w:sz="4" w:space="1" w:color="auto"/>
          <w:bottom w:val="single" w:sz="4" w:space="1" w:color="auto"/>
        </w:pBdr>
        <w:spacing w:before="120" w:after="120" w:line="276" w:lineRule="auto"/>
        <w:jc w:val="both"/>
        <w:rPr>
          <w:rFonts w:ascii="Times New Roman" w:hAnsi="Times New Roman" w:cs="Times New Roman"/>
          <w:b/>
          <w:sz w:val="24"/>
          <w:szCs w:val="24"/>
        </w:rPr>
      </w:pPr>
      <w:r w:rsidRPr="00134101">
        <w:rPr>
          <w:rFonts w:ascii="Times New Roman" w:hAnsi="Times New Roman" w:cs="Times New Roman"/>
          <w:b/>
          <w:sz w:val="24"/>
          <w:szCs w:val="24"/>
        </w:rPr>
        <w:t xml:space="preserve">                       </w:t>
      </w:r>
      <w:r w:rsidR="004878BF">
        <w:rPr>
          <w:rFonts w:ascii="Times New Roman" w:hAnsi="Times New Roman" w:cs="Times New Roman"/>
          <w:b/>
          <w:sz w:val="24"/>
          <w:szCs w:val="24"/>
        </w:rPr>
        <w:t xml:space="preserve">                                      </w:t>
      </w:r>
      <w:r w:rsidR="006B7BC6">
        <w:rPr>
          <w:rFonts w:ascii="Times New Roman" w:hAnsi="Times New Roman" w:cs="Times New Roman"/>
          <w:b/>
          <w:sz w:val="24"/>
          <w:szCs w:val="24"/>
        </w:rPr>
        <w:tab/>
      </w:r>
      <w:r w:rsidR="00662A25">
        <w:rPr>
          <w:rFonts w:ascii="Times New Roman" w:hAnsi="Times New Roman" w:cs="Times New Roman"/>
          <w:b/>
          <w:sz w:val="24"/>
          <w:szCs w:val="24"/>
        </w:rPr>
        <w:t>ORDER</w:t>
      </w:r>
      <w:r w:rsidR="00C55163" w:rsidRPr="00134101">
        <w:rPr>
          <w:rFonts w:ascii="Times New Roman" w:hAnsi="Times New Roman" w:cs="Times New Roman"/>
          <w:b/>
          <w:sz w:val="24"/>
          <w:szCs w:val="24"/>
        </w:rPr>
        <w:t xml:space="preserve">     </w:t>
      </w:r>
    </w:p>
    <w:p w14:paraId="45F23937" w14:textId="77777777" w:rsidR="00F33B83" w:rsidRPr="00134101" w:rsidRDefault="00F33B83" w:rsidP="00836E9E">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14:paraId="7889C7F2" w14:textId="77777777" w:rsidR="00722761" w:rsidRPr="00134101" w:rsidRDefault="00722761" w:rsidP="00836E9E">
      <w:pPr>
        <w:spacing w:line="276" w:lineRule="auto"/>
        <w:jc w:val="both"/>
        <w:rPr>
          <w:rFonts w:ascii="Times New Roman" w:hAnsi="Times New Roman" w:cs="Times New Roman"/>
          <w:sz w:val="24"/>
          <w:szCs w:val="24"/>
        </w:rPr>
      </w:pPr>
    </w:p>
    <w:p w14:paraId="210A84F1" w14:textId="4D1B1FC8" w:rsidR="00E20989" w:rsidRDefault="00D3450A" w:rsidP="002D1AD3">
      <w:pPr>
        <w:pStyle w:val="JudgmentText"/>
        <w:numPr>
          <w:ilvl w:val="0"/>
          <w:numId w:val="0"/>
        </w:numPr>
        <w:tabs>
          <w:tab w:val="left" w:pos="1901"/>
        </w:tabs>
        <w:spacing w:line="276" w:lineRule="auto"/>
        <w:ind w:left="720" w:hanging="720"/>
        <w:rPr>
          <w:b/>
        </w:rPr>
      </w:pPr>
      <w:r w:rsidRPr="00134101">
        <w:rPr>
          <w:b/>
        </w:rPr>
        <w:t>BURHAN J</w:t>
      </w:r>
      <w:r w:rsidR="002D1AD3">
        <w:rPr>
          <w:b/>
        </w:rPr>
        <w:tab/>
      </w:r>
    </w:p>
    <w:p w14:paraId="249F09A9" w14:textId="77777777" w:rsidR="002D1AD3" w:rsidRPr="00134101" w:rsidRDefault="002D1AD3" w:rsidP="002D1AD3">
      <w:pPr>
        <w:pStyle w:val="JudgmentText"/>
        <w:numPr>
          <w:ilvl w:val="0"/>
          <w:numId w:val="0"/>
        </w:numPr>
        <w:tabs>
          <w:tab w:val="left" w:pos="1901"/>
        </w:tabs>
        <w:spacing w:line="276" w:lineRule="auto"/>
        <w:ind w:left="720" w:hanging="720"/>
        <w:rPr>
          <w:b/>
        </w:rPr>
      </w:pPr>
    </w:p>
    <w:p w14:paraId="2B9ACE65" w14:textId="77DF7249" w:rsidR="00E20989" w:rsidRPr="00134101" w:rsidRDefault="00E20989" w:rsidP="00836E9E">
      <w:pPr>
        <w:pStyle w:val="JudgmentText"/>
        <w:tabs>
          <w:tab w:val="left" w:pos="720"/>
        </w:tabs>
      </w:pPr>
      <w:r w:rsidRPr="00134101">
        <w:t>T</w:t>
      </w:r>
      <w:r w:rsidRPr="00134101">
        <w:rPr>
          <w:color w:val="000000"/>
        </w:rPr>
        <w:t xml:space="preserve">he Government of Seychelles filed an </w:t>
      </w:r>
      <w:r w:rsidR="00C55163">
        <w:rPr>
          <w:color w:val="000000"/>
        </w:rPr>
        <w:t>A</w:t>
      </w:r>
      <w:r w:rsidR="000F69CE">
        <w:rPr>
          <w:color w:val="000000"/>
        </w:rPr>
        <w:t xml:space="preserve">pplication MC 30 of 2021 dated </w:t>
      </w:r>
      <w:r w:rsidRPr="00134101">
        <w:rPr>
          <w:color w:val="000000"/>
        </w:rPr>
        <w:t>9 April 2021 seeking an Interlocutory Order pursuant to Section 4 o</w:t>
      </w:r>
      <w:r w:rsidR="006B7BC6">
        <w:rPr>
          <w:color w:val="000000"/>
        </w:rPr>
        <w:t>f the Proceeds of Crime (Civil C</w:t>
      </w:r>
      <w:r w:rsidRPr="00134101">
        <w:rPr>
          <w:color w:val="000000"/>
        </w:rPr>
        <w:t xml:space="preserve">onfiscation) Act (POCA) prohibiting the Respondent Ge-Geology </w:t>
      </w:r>
      <w:r w:rsidR="00C55163">
        <w:rPr>
          <w:color w:val="000000"/>
        </w:rPr>
        <w:t>Limited</w:t>
      </w:r>
      <w:r w:rsidR="00C55163" w:rsidRPr="00134101">
        <w:rPr>
          <w:color w:val="000000"/>
        </w:rPr>
        <w:t xml:space="preserve"> </w:t>
      </w:r>
      <w:r w:rsidRPr="00134101">
        <w:rPr>
          <w:color w:val="000000"/>
        </w:rPr>
        <w:t xml:space="preserve">or such other person or any other person having notice of the making of this Order from disposing of or otherwise dealing with </w:t>
      </w:r>
      <w:r w:rsidR="00C652B8">
        <w:rPr>
          <w:color w:val="000000"/>
        </w:rPr>
        <w:t xml:space="preserve">the </w:t>
      </w:r>
      <w:r w:rsidRPr="00134101">
        <w:rPr>
          <w:color w:val="000000"/>
        </w:rPr>
        <w:t xml:space="preserve">whole or any part of the property set out in the Table to the Notice of Motion, being the sum of USD7,244,968.97 </w:t>
      </w:r>
      <w:r w:rsidR="009070F9" w:rsidRPr="00134101">
        <w:rPr>
          <w:color w:val="000000"/>
        </w:rPr>
        <w:t xml:space="preserve">(SCR value 153,568,433.96) </w:t>
      </w:r>
      <w:r w:rsidRPr="00134101">
        <w:rPr>
          <w:color w:val="000000"/>
        </w:rPr>
        <w:t>standing to credit in the account of Ge-Geology Limited, account bearing number 500000001638 at the Al</w:t>
      </w:r>
      <w:r w:rsidR="003A31EE">
        <w:rPr>
          <w:color w:val="000000"/>
        </w:rPr>
        <w:t xml:space="preserve"> </w:t>
      </w:r>
      <w:r w:rsidRPr="00134101">
        <w:rPr>
          <w:color w:val="000000"/>
        </w:rPr>
        <w:t>Salam Bank of Maison Esplanade, Victoria</w:t>
      </w:r>
      <w:r w:rsidR="00C55163">
        <w:rPr>
          <w:color w:val="000000"/>
        </w:rPr>
        <w:t>,</w:t>
      </w:r>
      <w:r w:rsidRPr="00134101">
        <w:rPr>
          <w:color w:val="000000"/>
        </w:rPr>
        <w:t xml:space="preserve"> Mahe</w:t>
      </w:r>
      <w:r w:rsidR="009070F9" w:rsidRPr="00134101">
        <w:rPr>
          <w:color w:val="000000"/>
        </w:rPr>
        <w:t xml:space="preserve">. </w:t>
      </w:r>
      <w:r w:rsidRPr="00134101">
        <w:rPr>
          <w:color w:val="000000"/>
        </w:rPr>
        <w:t xml:space="preserve"> An application was also made to appoint Mr Hein Prinsloo as </w:t>
      </w:r>
      <w:r w:rsidR="00C55163">
        <w:rPr>
          <w:color w:val="000000"/>
        </w:rPr>
        <w:t xml:space="preserve">a </w:t>
      </w:r>
      <w:r w:rsidRPr="00134101">
        <w:rPr>
          <w:color w:val="000000"/>
        </w:rPr>
        <w:t>receiver of the said specified property.</w:t>
      </w:r>
    </w:p>
    <w:p w14:paraId="6CECBF0C" w14:textId="23DBBF8B" w:rsidR="00E20989" w:rsidRPr="00134101" w:rsidRDefault="009070F9" w:rsidP="00836E9E">
      <w:pPr>
        <w:pStyle w:val="JudgmentText"/>
        <w:tabs>
          <w:tab w:val="left" w:pos="720"/>
        </w:tabs>
      </w:pPr>
      <w:r w:rsidRPr="00134101">
        <w:rPr>
          <w:color w:val="000000"/>
        </w:rPr>
        <w:t>Learned Counsel Mr</w:t>
      </w:r>
      <w:r w:rsidR="00E20989" w:rsidRPr="00134101">
        <w:rPr>
          <w:color w:val="000000"/>
        </w:rPr>
        <w:t xml:space="preserve"> Elizabeth who appeared for the Respondent Ge-Geology </w:t>
      </w:r>
      <w:r w:rsidR="00C55163">
        <w:rPr>
          <w:color w:val="000000"/>
        </w:rPr>
        <w:t>Limited</w:t>
      </w:r>
      <w:r w:rsidR="00C55163" w:rsidRPr="00134101">
        <w:rPr>
          <w:color w:val="000000"/>
        </w:rPr>
        <w:t xml:space="preserve"> </w:t>
      </w:r>
      <w:r w:rsidR="00E20989" w:rsidRPr="00134101">
        <w:rPr>
          <w:color w:val="000000"/>
        </w:rPr>
        <w:t xml:space="preserve">thereafter filed a </w:t>
      </w:r>
      <w:r w:rsidR="00E20989" w:rsidRPr="00F75319">
        <w:rPr>
          <w:i/>
          <w:color w:val="000000"/>
        </w:rPr>
        <w:t>plea in limine litis</w:t>
      </w:r>
      <w:r w:rsidR="00E20989" w:rsidRPr="00134101">
        <w:rPr>
          <w:color w:val="000000"/>
        </w:rPr>
        <w:t xml:space="preserve"> taking up four preliminary objections to the hearing of the </w:t>
      </w:r>
      <w:r w:rsidR="00C55163">
        <w:rPr>
          <w:color w:val="000000"/>
        </w:rPr>
        <w:t>A</w:t>
      </w:r>
      <w:r w:rsidR="00E20989" w:rsidRPr="00134101">
        <w:rPr>
          <w:color w:val="000000"/>
        </w:rPr>
        <w:t>pplication for an Interlocutory Order. The preliminary objections taken were:</w:t>
      </w:r>
    </w:p>
    <w:p w14:paraId="516A1EB4" w14:textId="77777777" w:rsidR="00E20989" w:rsidRPr="00134101" w:rsidRDefault="00E20989" w:rsidP="00836E9E">
      <w:pPr>
        <w:pStyle w:val="estatutes-2-subsection"/>
        <w:numPr>
          <w:ilvl w:val="0"/>
          <w:numId w:val="23"/>
        </w:numPr>
        <w:shd w:val="clear" w:color="auto" w:fill="FFFFFF"/>
        <w:spacing w:line="360" w:lineRule="auto"/>
        <w:jc w:val="both"/>
      </w:pPr>
      <w:r w:rsidRPr="00134101">
        <w:rPr>
          <w:color w:val="000000"/>
        </w:rPr>
        <w:t>The action is bad in law as it fails to comply with the Rules;</w:t>
      </w:r>
    </w:p>
    <w:p w14:paraId="6F28B63B" w14:textId="77777777" w:rsidR="00E20989" w:rsidRPr="00134101" w:rsidRDefault="00E20989" w:rsidP="00836E9E">
      <w:pPr>
        <w:pStyle w:val="estatutes-2-subsection"/>
        <w:numPr>
          <w:ilvl w:val="0"/>
          <w:numId w:val="23"/>
        </w:numPr>
        <w:shd w:val="clear" w:color="auto" w:fill="FFFFFF"/>
        <w:spacing w:line="360" w:lineRule="auto"/>
        <w:jc w:val="both"/>
        <w:rPr>
          <w:color w:val="000000"/>
        </w:rPr>
      </w:pPr>
      <w:r w:rsidRPr="00134101">
        <w:t>T</w:t>
      </w:r>
      <w:r w:rsidRPr="00134101">
        <w:rPr>
          <w:color w:val="000000"/>
        </w:rPr>
        <w:t>he action amounts to an abuse of process in law;</w:t>
      </w:r>
    </w:p>
    <w:p w14:paraId="07E3E348" w14:textId="77777777" w:rsidR="00E20989" w:rsidRPr="00134101" w:rsidRDefault="00E20989" w:rsidP="00836E9E">
      <w:pPr>
        <w:pStyle w:val="estatutes-2-subsection"/>
        <w:numPr>
          <w:ilvl w:val="0"/>
          <w:numId w:val="23"/>
        </w:numPr>
        <w:shd w:val="clear" w:color="auto" w:fill="FFFFFF"/>
        <w:spacing w:line="360" w:lineRule="auto"/>
        <w:jc w:val="both"/>
        <w:rPr>
          <w:color w:val="000000"/>
        </w:rPr>
      </w:pPr>
      <w:r w:rsidRPr="00134101">
        <w:rPr>
          <w:color w:val="000000"/>
        </w:rPr>
        <w:t>The application is defective as there is no affidavit in support of the motion before the court in law;</w:t>
      </w:r>
    </w:p>
    <w:p w14:paraId="4C92FFB9" w14:textId="77777777" w:rsidR="00E20989" w:rsidRPr="00134101" w:rsidRDefault="00E20989" w:rsidP="00836E9E">
      <w:pPr>
        <w:pStyle w:val="estatutes-2-subsection"/>
        <w:numPr>
          <w:ilvl w:val="0"/>
          <w:numId w:val="23"/>
        </w:numPr>
        <w:shd w:val="clear" w:color="auto" w:fill="FFFFFF"/>
        <w:spacing w:line="360" w:lineRule="auto"/>
        <w:jc w:val="both"/>
        <w:rPr>
          <w:color w:val="000000"/>
        </w:rPr>
      </w:pPr>
      <w:r w:rsidRPr="00134101">
        <w:rPr>
          <w:color w:val="000000"/>
        </w:rPr>
        <w:lastRenderedPageBreak/>
        <w:t>There is no evidence to support the application and it should be dismissed forthwith.</w:t>
      </w:r>
    </w:p>
    <w:p w14:paraId="3E692962" w14:textId="77777777" w:rsidR="00E20989" w:rsidRPr="00134101" w:rsidRDefault="00E20989" w:rsidP="00836E9E">
      <w:pPr>
        <w:pStyle w:val="JudgmentText"/>
      </w:pPr>
      <w:r w:rsidRPr="00134101">
        <w:t>On the 15</w:t>
      </w:r>
      <w:r w:rsidRPr="00134101">
        <w:rPr>
          <w:vertAlign w:val="superscript"/>
        </w:rPr>
        <w:t>th</w:t>
      </w:r>
      <w:r w:rsidR="00B87845" w:rsidRPr="00134101">
        <w:t xml:space="preserve"> October 2021 this C</w:t>
      </w:r>
      <w:r w:rsidRPr="00134101">
        <w:t>ourt proceeded to dismiss the preliminary objections. The Court made further order tha</w:t>
      </w:r>
      <w:r w:rsidR="00CB4358" w:rsidRPr="00134101">
        <w:t>t the Respondent files his response</w:t>
      </w:r>
      <w:r w:rsidRPr="00134101">
        <w:t xml:space="preserve"> </w:t>
      </w:r>
      <w:r w:rsidR="00CB4358" w:rsidRPr="00134101">
        <w:t xml:space="preserve">to the Notice of Motion </w:t>
      </w:r>
      <w:r w:rsidRPr="00134101">
        <w:t>filed by the Government of Seychelles seeking an Interlocutory Order pursuant</w:t>
      </w:r>
      <w:r w:rsidR="00CB4358" w:rsidRPr="00134101">
        <w:t xml:space="preserve"> to Section 4 of </w:t>
      </w:r>
      <w:r w:rsidR="00C55163">
        <w:t xml:space="preserve">the </w:t>
      </w:r>
      <w:r w:rsidR="00CB4358" w:rsidRPr="00134101">
        <w:t>POCA.</w:t>
      </w:r>
    </w:p>
    <w:p w14:paraId="636571E3" w14:textId="78216B83" w:rsidR="00E20989" w:rsidRPr="00134101" w:rsidRDefault="00E20989" w:rsidP="00836E9E">
      <w:pPr>
        <w:pStyle w:val="JudgmentText"/>
        <w:tabs>
          <w:tab w:val="left" w:pos="720"/>
        </w:tabs>
      </w:pPr>
      <w:r w:rsidRPr="00134101">
        <w:t xml:space="preserve">The Respondent thereafter filed </w:t>
      </w:r>
      <w:r w:rsidR="00C55163">
        <w:t>A</w:t>
      </w:r>
      <w:r w:rsidRPr="00134101">
        <w:t>pplication MA 303 of 2021 f</w:t>
      </w:r>
      <w:r w:rsidR="00B87845" w:rsidRPr="00134101">
        <w:t>or leave to appeal against the C</w:t>
      </w:r>
      <w:r w:rsidRPr="00134101">
        <w:t>ou</w:t>
      </w:r>
      <w:r w:rsidR="00EE7CB3" w:rsidRPr="00134101">
        <w:t xml:space="preserve">rt’s </w:t>
      </w:r>
      <w:r w:rsidR="00C55163">
        <w:t>R</w:t>
      </w:r>
      <w:r w:rsidR="00EE7CB3" w:rsidRPr="00134101">
        <w:t>uling dismissing the preliminary objections dated</w:t>
      </w:r>
      <w:r w:rsidRPr="00134101">
        <w:t xml:space="preserve"> 15</w:t>
      </w:r>
      <w:r w:rsidRPr="00134101">
        <w:rPr>
          <w:vertAlign w:val="superscript"/>
        </w:rPr>
        <w:t>th</w:t>
      </w:r>
      <w:r w:rsidRPr="00134101">
        <w:t xml:space="preserve"> October 2021.</w:t>
      </w:r>
      <w:r w:rsidR="00BD0924">
        <w:t xml:space="preserve"> </w:t>
      </w:r>
      <w:r w:rsidRPr="00134101">
        <w:t>On the 27</w:t>
      </w:r>
      <w:r w:rsidRPr="00134101">
        <w:rPr>
          <w:vertAlign w:val="superscript"/>
        </w:rPr>
        <w:t>th</w:t>
      </w:r>
      <w:r w:rsidRPr="00134101">
        <w:t xml:space="preserve"> June 2022</w:t>
      </w:r>
      <w:r w:rsidR="009070F9" w:rsidRPr="00134101">
        <w:t>, this C</w:t>
      </w:r>
      <w:r w:rsidRPr="00134101">
        <w:t xml:space="preserve">ourt dismissed the </w:t>
      </w:r>
      <w:r w:rsidR="00C55163">
        <w:t>A</w:t>
      </w:r>
      <w:r w:rsidRPr="00134101">
        <w:t xml:space="preserve">pplication for leave to appeal. </w:t>
      </w:r>
      <w:r w:rsidR="00245165" w:rsidRPr="00134101">
        <w:t xml:space="preserve">Learned Counsel </w:t>
      </w:r>
      <w:r w:rsidR="000F69CE">
        <w:t xml:space="preserve">for the Respondent </w:t>
      </w:r>
      <w:r w:rsidR="00245165" w:rsidRPr="00134101">
        <w:t>thereafter proceeded to apply for special leave to appeal</w:t>
      </w:r>
      <w:r w:rsidR="00C652B8">
        <w:t>,</w:t>
      </w:r>
      <w:r w:rsidR="00245165" w:rsidRPr="00134101">
        <w:t xml:space="preserve"> which was refused by a majority judgment of the Seychelles Court of</w:t>
      </w:r>
      <w:r w:rsidR="00CB4358" w:rsidRPr="00134101">
        <w:t xml:space="preserve"> Appeal in [2023] SCA MA 303/2021 dated 28</w:t>
      </w:r>
      <w:r w:rsidR="00CB4358" w:rsidRPr="00134101">
        <w:rPr>
          <w:vertAlign w:val="superscript"/>
        </w:rPr>
        <w:t>th</w:t>
      </w:r>
      <w:r w:rsidR="00CB4358" w:rsidRPr="00134101">
        <w:t xml:space="preserve"> February 2023.</w:t>
      </w:r>
      <w:r w:rsidR="00245165" w:rsidRPr="00134101">
        <w:t xml:space="preserve">  </w:t>
      </w:r>
    </w:p>
    <w:p w14:paraId="45CEF0C6" w14:textId="35267421" w:rsidR="00245165" w:rsidRPr="00134101" w:rsidRDefault="00B87845" w:rsidP="00836E9E">
      <w:pPr>
        <w:pStyle w:val="JudgmentText"/>
        <w:tabs>
          <w:tab w:val="left" w:pos="720"/>
        </w:tabs>
      </w:pPr>
      <w:r w:rsidRPr="00134101">
        <w:t>Thereafter</w:t>
      </w:r>
      <w:r w:rsidR="009070F9" w:rsidRPr="00134101">
        <w:t>,</w:t>
      </w:r>
      <w:r w:rsidRPr="00134101">
        <w:t xml:space="preserve"> at the request of </w:t>
      </w:r>
      <w:r w:rsidR="00EE7CB3" w:rsidRPr="00134101">
        <w:t xml:space="preserve">both </w:t>
      </w:r>
      <w:r w:rsidR="006B4935">
        <w:t>l</w:t>
      </w:r>
      <w:r w:rsidRPr="00134101">
        <w:t>earned Counsel the</w:t>
      </w:r>
      <w:r w:rsidR="00245165" w:rsidRPr="00134101">
        <w:t xml:space="preserve"> matter was re</w:t>
      </w:r>
      <w:r w:rsidR="008F4D6E" w:rsidRPr="00134101">
        <w:t>-</w:t>
      </w:r>
      <w:r w:rsidR="00245165" w:rsidRPr="00134101">
        <w:t>fixed for hearing and submissions by both parties for the 21</w:t>
      </w:r>
      <w:r w:rsidR="00BD0924" w:rsidRPr="00F75319">
        <w:rPr>
          <w:vertAlign w:val="superscript"/>
        </w:rPr>
        <w:t>st</w:t>
      </w:r>
      <w:r w:rsidR="00BD0924">
        <w:t xml:space="preserve"> </w:t>
      </w:r>
      <w:r w:rsidR="00245165" w:rsidRPr="00134101">
        <w:t xml:space="preserve">April 2023. </w:t>
      </w:r>
    </w:p>
    <w:p w14:paraId="2EF7B791" w14:textId="344BB21B" w:rsidR="000F69CE" w:rsidRDefault="008F4D6E" w:rsidP="000F69CE">
      <w:pPr>
        <w:pStyle w:val="JudgmentText"/>
        <w:tabs>
          <w:tab w:val="left" w:pos="720"/>
        </w:tabs>
      </w:pPr>
      <w:r w:rsidRPr="00134101">
        <w:t>O</w:t>
      </w:r>
      <w:r w:rsidR="00B46504" w:rsidRPr="00134101">
        <w:t>n the said date</w:t>
      </w:r>
      <w:r w:rsidR="00BC200A" w:rsidRPr="00134101">
        <w:t xml:space="preserve">, the </w:t>
      </w:r>
      <w:r w:rsidRPr="00134101">
        <w:t>evidence of Mr Hein Prinsloo was led</w:t>
      </w:r>
      <w:r w:rsidR="00CB4358" w:rsidRPr="00134101">
        <w:t xml:space="preserve"> by the Applicant</w:t>
      </w:r>
      <w:r w:rsidRPr="00134101">
        <w:t>.</w:t>
      </w:r>
      <w:r w:rsidR="00BD0924">
        <w:t xml:space="preserve"> </w:t>
      </w:r>
      <w:r w:rsidRPr="00134101">
        <w:t>In his evidence under oath</w:t>
      </w:r>
      <w:r w:rsidR="00EE7CB3" w:rsidRPr="00134101">
        <w:t>,</w:t>
      </w:r>
      <w:r w:rsidRPr="00134101">
        <w:t xml:space="preserve"> he produced hi</w:t>
      </w:r>
      <w:r w:rsidR="0044720C" w:rsidRPr="00134101">
        <w:t>s affidavit dated 9</w:t>
      </w:r>
      <w:r w:rsidR="00BD0924" w:rsidRPr="00F75319">
        <w:rPr>
          <w:vertAlign w:val="superscript"/>
        </w:rPr>
        <w:t>th</w:t>
      </w:r>
      <w:r w:rsidR="0044720C" w:rsidRPr="00134101">
        <w:t xml:space="preserve"> April 2021 </w:t>
      </w:r>
      <w:r w:rsidR="00EE7CB3" w:rsidRPr="00134101">
        <w:t xml:space="preserve">as P1 together with annexures HP1 </w:t>
      </w:r>
      <w:r w:rsidR="00EE7CB3" w:rsidRPr="000F69CE">
        <w:t>to HP18.</w:t>
      </w:r>
      <w:r w:rsidR="00BD0924">
        <w:t xml:space="preserve"> </w:t>
      </w:r>
      <w:r w:rsidR="00B87845" w:rsidRPr="00134101">
        <w:t>In his evidence</w:t>
      </w:r>
      <w:r w:rsidR="000F69CE">
        <w:t xml:space="preserve"> under oath,</w:t>
      </w:r>
      <w:r w:rsidR="00B87845" w:rsidRPr="00134101">
        <w:t xml:space="preserve"> he </w:t>
      </w:r>
      <w:r w:rsidR="00EE7CB3" w:rsidRPr="00134101">
        <w:t xml:space="preserve">made a correction to his </w:t>
      </w:r>
      <w:r w:rsidR="00BD0924">
        <w:t>A</w:t>
      </w:r>
      <w:r w:rsidR="00EE7CB3" w:rsidRPr="00134101">
        <w:t>ffidavit</w:t>
      </w:r>
      <w:r w:rsidR="000F69CE">
        <w:t xml:space="preserve"> </w:t>
      </w:r>
      <w:r w:rsidR="00EE7CB3" w:rsidRPr="00134101">
        <w:t>stating that the criminal conduct was money laundering and not drug trafficking</w:t>
      </w:r>
      <w:r w:rsidRPr="00134101">
        <w:t>. There were no objections or cross</w:t>
      </w:r>
      <w:r w:rsidR="00BD0924">
        <w:t>-</w:t>
      </w:r>
      <w:r w:rsidRPr="00134101">
        <w:t xml:space="preserve">examination on the facts mentioned by him in his </w:t>
      </w:r>
      <w:r w:rsidR="00BD0924">
        <w:t>A</w:t>
      </w:r>
      <w:r w:rsidRPr="00134101">
        <w:t>ffidavit</w:t>
      </w:r>
      <w:r w:rsidR="00BD0924">
        <w:t>,</w:t>
      </w:r>
      <w:r w:rsidRPr="00134101">
        <w:t xml:space="preserve"> which was produced as document P1</w:t>
      </w:r>
      <w:r w:rsidR="00EE7CB3" w:rsidRPr="00134101">
        <w:t xml:space="preserve"> during his sworn evidence.</w:t>
      </w:r>
      <w:r w:rsidR="000F69CE">
        <w:t xml:space="preserve"> No further evidence was led by either party. </w:t>
      </w:r>
      <w:r w:rsidR="00B87845" w:rsidRPr="00134101">
        <w:t>Thereafter bo</w:t>
      </w:r>
      <w:r w:rsidR="000F69CE">
        <w:t>th parties made submissions</w:t>
      </w:r>
      <w:r w:rsidR="00BD0924">
        <w:t>.</w:t>
      </w:r>
    </w:p>
    <w:p w14:paraId="704A1522" w14:textId="6FCECE17" w:rsidR="00836E9E" w:rsidRPr="00134101" w:rsidRDefault="000F69CE" w:rsidP="000F69CE">
      <w:pPr>
        <w:pStyle w:val="JudgmentText"/>
        <w:tabs>
          <w:tab w:val="left" w:pos="720"/>
        </w:tabs>
      </w:pPr>
      <w:r>
        <w:t xml:space="preserve">Mr </w:t>
      </w:r>
      <w:r w:rsidR="00B87845" w:rsidRPr="00134101">
        <w:t>Elizabeth in his sub</w:t>
      </w:r>
      <w:r w:rsidR="00EE7CB3" w:rsidRPr="00134101">
        <w:t xml:space="preserve">missions </w:t>
      </w:r>
      <w:r w:rsidR="0040671E" w:rsidRPr="00134101">
        <w:t xml:space="preserve">reiterated that </w:t>
      </w:r>
      <w:r w:rsidR="00836E9E" w:rsidRPr="00134101">
        <w:t xml:space="preserve">the </w:t>
      </w:r>
      <w:r w:rsidR="00BD0924">
        <w:rPr>
          <w:color w:val="000000"/>
        </w:rPr>
        <w:t>A</w:t>
      </w:r>
      <w:r w:rsidR="0040671E" w:rsidRPr="000F69CE">
        <w:rPr>
          <w:color w:val="000000"/>
        </w:rPr>
        <w:t xml:space="preserve">pplication should be dismissed as the </w:t>
      </w:r>
      <w:r w:rsidR="00BD0924">
        <w:rPr>
          <w:color w:val="000000"/>
        </w:rPr>
        <w:t>A</w:t>
      </w:r>
      <w:r w:rsidR="0040671E" w:rsidRPr="000F69CE">
        <w:rPr>
          <w:color w:val="000000"/>
        </w:rPr>
        <w:t xml:space="preserve">ffidavit in </w:t>
      </w:r>
      <w:r w:rsidR="00BD0924">
        <w:rPr>
          <w:color w:val="000000"/>
        </w:rPr>
        <w:t>S</w:t>
      </w:r>
      <w:r w:rsidR="0040671E" w:rsidRPr="000F69CE">
        <w:rPr>
          <w:color w:val="000000"/>
        </w:rPr>
        <w:t xml:space="preserve">upport of the </w:t>
      </w:r>
      <w:r w:rsidR="00BD0924">
        <w:rPr>
          <w:color w:val="000000"/>
        </w:rPr>
        <w:t>M</w:t>
      </w:r>
      <w:r w:rsidR="0040671E" w:rsidRPr="000F69CE">
        <w:rPr>
          <w:color w:val="000000"/>
        </w:rPr>
        <w:t xml:space="preserve">otion </w:t>
      </w:r>
      <w:r w:rsidR="00EE7CB3" w:rsidRPr="000F69CE">
        <w:rPr>
          <w:color w:val="000000"/>
        </w:rPr>
        <w:t xml:space="preserve">is defective for the reasons </w:t>
      </w:r>
      <w:r w:rsidR="0040671E" w:rsidRPr="000F69CE">
        <w:rPr>
          <w:color w:val="000000"/>
        </w:rPr>
        <w:t>stated in his submissions when addressing the preliminary objections and relied on the minority judgment given by the Seychelles Court of Appeal by Robinson JA</w:t>
      </w:r>
      <w:r w:rsidR="00836E9E" w:rsidRPr="000F69CE">
        <w:rPr>
          <w:color w:val="000000"/>
        </w:rPr>
        <w:t xml:space="preserve"> </w:t>
      </w:r>
      <w:r w:rsidR="00701F88">
        <w:rPr>
          <w:color w:val="000000"/>
        </w:rPr>
        <w:t>that</w:t>
      </w:r>
      <w:r w:rsidR="00EE7CB3" w:rsidRPr="000F69CE">
        <w:rPr>
          <w:color w:val="000000"/>
        </w:rPr>
        <w:t xml:space="preserve"> </w:t>
      </w:r>
      <w:r>
        <w:rPr>
          <w:color w:val="000000"/>
        </w:rPr>
        <w:t>granted special leave to appeal</w:t>
      </w:r>
      <w:r w:rsidR="00701F88">
        <w:rPr>
          <w:color w:val="000000"/>
        </w:rPr>
        <w:t>. He submitted that the</w:t>
      </w:r>
      <w:r w:rsidR="00EE7CB3" w:rsidRPr="000F69CE">
        <w:rPr>
          <w:color w:val="000000"/>
        </w:rPr>
        <w:t xml:space="preserve"> finding by the Seychelles Court of Appeal in terms of Article 7</w:t>
      </w:r>
      <w:r w:rsidR="00A7697E" w:rsidRPr="000F69CE">
        <w:rPr>
          <w:color w:val="000000"/>
        </w:rPr>
        <w:t xml:space="preserve"> (1) of the Civil Code of Seychelles Act 2020</w:t>
      </w:r>
      <w:r w:rsidR="00EE7CB3" w:rsidRPr="000F69CE">
        <w:rPr>
          <w:color w:val="000000"/>
        </w:rPr>
        <w:t xml:space="preserve"> (</w:t>
      </w:r>
      <w:r w:rsidR="00AD4E69" w:rsidRPr="000F69CE">
        <w:rPr>
          <w:color w:val="000000"/>
        </w:rPr>
        <w:t xml:space="preserve">Seychelles </w:t>
      </w:r>
      <w:r w:rsidR="00A27DE1" w:rsidRPr="000F69CE">
        <w:rPr>
          <w:color w:val="000000"/>
        </w:rPr>
        <w:t xml:space="preserve">Civil </w:t>
      </w:r>
      <w:r w:rsidR="00AD4E69" w:rsidRPr="000F69CE">
        <w:rPr>
          <w:color w:val="000000"/>
        </w:rPr>
        <w:t>Code)</w:t>
      </w:r>
      <w:r w:rsidR="00BD0924">
        <w:rPr>
          <w:color w:val="000000"/>
        </w:rPr>
        <w:t xml:space="preserve"> </w:t>
      </w:r>
      <w:r w:rsidR="00701F88">
        <w:rPr>
          <w:color w:val="000000"/>
        </w:rPr>
        <w:t xml:space="preserve">in respect of the </w:t>
      </w:r>
      <w:r w:rsidR="00BD0924">
        <w:rPr>
          <w:color w:val="000000"/>
        </w:rPr>
        <w:t>A</w:t>
      </w:r>
      <w:r w:rsidR="00701F88">
        <w:rPr>
          <w:color w:val="000000"/>
        </w:rPr>
        <w:t xml:space="preserve">ffidavit </w:t>
      </w:r>
      <w:r w:rsidR="00EE7CB3" w:rsidRPr="000F69CE">
        <w:rPr>
          <w:color w:val="000000"/>
        </w:rPr>
        <w:t>is binding on this Court.</w:t>
      </w:r>
    </w:p>
    <w:p w14:paraId="6519A2EC" w14:textId="08F77679" w:rsidR="00AD4E69" w:rsidRPr="00134101" w:rsidRDefault="009070F9" w:rsidP="00A7697E">
      <w:pPr>
        <w:pStyle w:val="JudgmentText"/>
        <w:tabs>
          <w:tab w:val="left" w:pos="720"/>
        </w:tabs>
      </w:pPr>
      <w:r w:rsidRPr="00134101">
        <w:lastRenderedPageBreak/>
        <w:t>It is pertinent at this stage to set out</w:t>
      </w:r>
      <w:r w:rsidR="00AD4E69" w:rsidRPr="00134101">
        <w:t xml:space="preserve"> that when this matter was taken up in the Seychelles Court of Appeal</w:t>
      </w:r>
      <w:r w:rsidRPr="00134101">
        <w:t>,</w:t>
      </w:r>
      <w:r w:rsidR="00AD4E69" w:rsidRPr="00134101">
        <w:t xml:space="preserve"> the majority judgment did not agree with </w:t>
      </w:r>
      <w:r w:rsidR="006B4935">
        <w:t>l</w:t>
      </w:r>
      <w:r w:rsidR="00AD4E69" w:rsidRPr="00134101">
        <w:t>earned Counsel’s contention</w:t>
      </w:r>
      <w:r w:rsidR="00701F88">
        <w:t xml:space="preserve"> </w:t>
      </w:r>
      <w:r w:rsidR="00AD4E69" w:rsidRPr="00134101">
        <w:t xml:space="preserve">that the </w:t>
      </w:r>
      <w:r w:rsidR="00401C9D">
        <w:t>A</w:t>
      </w:r>
      <w:r w:rsidR="00AD4E69" w:rsidRPr="00134101">
        <w:t>ffidavit</w:t>
      </w:r>
      <w:r w:rsidR="00EE7CB3" w:rsidRPr="00134101">
        <w:t xml:space="preserve"> was defective and proceeded to dismiss his </w:t>
      </w:r>
      <w:r w:rsidR="00401C9D">
        <w:t>A</w:t>
      </w:r>
      <w:r w:rsidR="00EE7CB3" w:rsidRPr="00134101">
        <w:t xml:space="preserve">pplication for special leave to appeal. </w:t>
      </w:r>
      <w:r w:rsidR="00701F88">
        <w:t xml:space="preserve">It is clear from the Seychelles Court of Appeal </w:t>
      </w:r>
      <w:r w:rsidR="00042E42" w:rsidRPr="00134101">
        <w:t>order dated 28</w:t>
      </w:r>
      <w:r w:rsidR="00042E42" w:rsidRPr="00134101">
        <w:rPr>
          <w:vertAlign w:val="superscript"/>
        </w:rPr>
        <w:t>th</w:t>
      </w:r>
      <w:r w:rsidR="00042E42" w:rsidRPr="00134101">
        <w:t xml:space="preserve"> February 2023 that it was after giving </w:t>
      </w:r>
      <w:r w:rsidR="00AD4E69" w:rsidRPr="00134101">
        <w:t>careful and due consideration</w:t>
      </w:r>
      <w:r w:rsidR="00BD0924">
        <w:t xml:space="preserve"> </w:t>
      </w:r>
      <w:r w:rsidR="00AD4E69" w:rsidRPr="00134101">
        <w:t>to the Order of this Court dated</w:t>
      </w:r>
      <w:r w:rsidR="00BD0924">
        <w:t xml:space="preserve"> </w:t>
      </w:r>
      <w:r w:rsidR="00AD4E69" w:rsidRPr="00134101">
        <w:t>27</w:t>
      </w:r>
      <w:r w:rsidR="00AD4E69" w:rsidRPr="00134101">
        <w:rPr>
          <w:vertAlign w:val="superscript"/>
        </w:rPr>
        <w:t>th</w:t>
      </w:r>
      <w:r w:rsidR="00042E42" w:rsidRPr="00134101">
        <w:t xml:space="preserve"> June 2022 did</w:t>
      </w:r>
      <w:r w:rsidR="00AD4E69" w:rsidRPr="00134101">
        <w:t xml:space="preserve"> the </w:t>
      </w:r>
      <w:r w:rsidR="00701F88">
        <w:t xml:space="preserve">majority judgment of the </w:t>
      </w:r>
      <w:r w:rsidR="00AD4E69" w:rsidRPr="00134101">
        <w:t xml:space="preserve">Seychelles Court of Appeal </w:t>
      </w:r>
      <w:r w:rsidR="00042E42" w:rsidRPr="00134101">
        <w:t>proceed to dismiss</w:t>
      </w:r>
      <w:r w:rsidR="00AD4E69" w:rsidRPr="00134101">
        <w:t xml:space="preserve"> the </w:t>
      </w:r>
      <w:r w:rsidR="00401C9D">
        <w:t>A</w:t>
      </w:r>
      <w:r w:rsidR="00AD4E69" w:rsidRPr="00134101">
        <w:t xml:space="preserve">pplication of </w:t>
      </w:r>
      <w:r w:rsidR="006B4935">
        <w:t>l</w:t>
      </w:r>
      <w:r w:rsidR="00AD4E69" w:rsidRPr="00134101">
        <w:t>earned Counsel see</w:t>
      </w:r>
      <w:r w:rsidR="00EE7CB3" w:rsidRPr="00134101">
        <w:t>king special leave to appeal fro</w:t>
      </w:r>
      <w:r w:rsidR="00042E42" w:rsidRPr="00134101">
        <w:t>m the sai</w:t>
      </w:r>
      <w:r w:rsidR="00701F88">
        <w:t xml:space="preserve">d </w:t>
      </w:r>
      <w:r w:rsidR="00401C9D">
        <w:t>O</w:t>
      </w:r>
      <w:r w:rsidR="00701F88">
        <w:t>rder. It is my view that this Court is</w:t>
      </w:r>
      <w:r w:rsidR="00042E42" w:rsidRPr="00134101">
        <w:t xml:space="preserve"> bound by the</w:t>
      </w:r>
      <w:r w:rsidR="00A27DE1" w:rsidRPr="00134101">
        <w:t xml:space="preserve"> majo</w:t>
      </w:r>
      <w:r w:rsidR="00AD4E69" w:rsidRPr="00134101">
        <w:t>rity judgment</w:t>
      </w:r>
      <w:r w:rsidR="00042E42" w:rsidRPr="00134101">
        <w:t xml:space="preserve"> given</w:t>
      </w:r>
      <w:r w:rsidRPr="00134101">
        <w:t xml:space="preserve"> and their </w:t>
      </w:r>
      <w:r w:rsidR="00AD4E69" w:rsidRPr="00134101">
        <w:t>finding</w:t>
      </w:r>
      <w:r w:rsidRPr="00134101">
        <w:t>s</w:t>
      </w:r>
      <w:r w:rsidR="00AD4E69" w:rsidRPr="00134101">
        <w:t xml:space="preserve"> under Article 7 of the Seychelles </w:t>
      </w:r>
      <w:r w:rsidR="00A27DE1" w:rsidRPr="00134101">
        <w:t xml:space="preserve">Civil </w:t>
      </w:r>
      <w:r w:rsidR="00701F88">
        <w:t>Code.</w:t>
      </w:r>
    </w:p>
    <w:p w14:paraId="238C3564" w14:textId="13D089F5" w:rsidR="005E2ACC" w:rsidRPr="00134101" w:rsidRDefault="007F275C" w:rsidP="00A7697E">
      <w:pPr>
        <w:pStyle w:val="JudgmentText"/>
        <w:tabs>
          <w:tab w:val="left" w:pos="720"/>
        </w:tabs>
      </w:pPr>
      <w:r w:rsidRPr="00134101">
        <w:t>A</w:t>
      </w:r>
      <w:r w:rsidR="00A7697E" w:rsidRPr="00134101">
        <w:t xml:space="preserve">t the hearing </w:t>
      </w:r>
      <w:r w:rsidR="00401C9D">
        <w:t>of</w:t>
      </w:r>
      <w:r w:rsidR="00401C9D" w:rsidRPr="00134101">
        <w:t xml:space="preserve"> </w:t>
      </w:r>
      <w:r w:rsidR="00A7697E" w:rsidRPr="00134101">
        <w:t xml:space="preserve">this Section 4 </w:t>
      </w:r>
      <w:r w:rsidR="00401C9D">
        <w:t>A</w:t>
      </w:r>
      <w:r w:rsidR="00A7697E" w:rsidRPr="00134101">
        <w:t>pplication</w:t>
      </w:r>
      <w:r w:rsidR="00AD4E69" w:rsidRPr="00134101">
        <w:t xml:space="preserve"> </w:t>
      </w:r>
      <w:r w:rsidR="006B4935">
        <w:t>l</w:t>
      </w:r>
      <w:r w:rsidR="00A7697E" w:rsidRPr="00134101">
        <w:t xml:space="preserve">earned Counsel for the Applicant called the maker of the </w:t>
      </w:r>
      <w:r w:rsidR="00401C9D">
        <w:t>A</w:t>
      </w:r>
      <w:r w:rsidR="00A7697E" w:rsidRPr="00134101">
        <w:t xml:space="preserve">ffidavit </w:t>
      </w:r>
      <w:r w:rsidR="00A27DE1" w:rsidRPr="00134101">
        <w:t>Mr Hein Prinsloo on the 21</w:t>
      </w:r>
      <w:r w:rsidR="00A27DE1" w:rsidRPr="00134101">
        <w:rPr>
          <w:vertAlign w:val="superscript"/>
        </w:rPr>
        <w:t>st</w:t>
      </w:r>
      <w:r w:rsidR="003C6CFF">
        <w:t xml:space="preserve"> </w:t>
      </w:r>
      <w:r w:rsidR="00A27DE1" w:rsidRPr="00134101">
        <w:t>April 2023</w:t>
      </w:r>
      <w:r w:rsidRPr="00134101">
        <w:t xml:space="preserve"> as a witness and he g</w:t>
      </w:r>
      <w:r w:rsidR="00A27DE1" w:rsidRPr="00134101">
        <w:t xml:space="preserve">ave sworn evidence and marked the said </w:t>
      </w:r>
      <w:r w:rsidR="00401C9D">
        <w:t>A</w:t>
      </w:r>
      <w:r w:rsidRPr="00134101">
        <w:t>ffidavit in evidence as P1 and identified same.</w:t>
      </w:r>
      <w:r w:rsidR="00A03A2B">
        <w:t xml:space="preserve"> There was no objection to the production of the </w:t>
      </w:r>
      <w:r w:rsidR="00401C9D">
        <w:t>A</w:t>
      </w:r>
      <w:r w:rsidR="00A03A2B">
        <w:t>ffidavit as an exhibit.</w:t>
      </w:r>
      <w:r w:rsidRPr="00134101">
        <w:t xml:space="preserve"> I</w:t>
      </w:r>
      <w:r w:rsidR="00A27DE1" w:rsidRPr="00134101">
        <w:t>t is to be observed that he was not cross</w:t>
      </w:r>
      <w:r w:rsidR="0004571E">
        <w:t>-</w:t>
      </w:r>
      <w:r w:rsidR="00A27DE1" w:rsidRPr="00134101">
        <w:t xml:space="preserve">examined on the contents of his affidavit nor its authenticity by </w:t>
      </w:r>
      <w:r w:rsidR="006B4935">
        <w:t>l</w:t>
      </w:r>
      <w:r w:rsidR="00A27DE1" w:rsidRPr="00134101">
        <w:t>earned Counsel for the Respondent. Therefore</w:t>
      </w:r>
      <w:r w:rsidR="0004571E">
        <w:t>,</w:t>
      </w:r>
      <w:r w:rsidR="00A27DE1" w:rsidRPr="00134101">
        <w:t xml:space="preserve"> th</w:t>
      </w:r>
      <w:r w:rsidR="000E1B39">
        <w:t>is Court is satisfied that the A</w:t>
      </w:r>
      <w:r w:rsidR="00A27DE1" w:rsidRPr="00134101">
        <w:t xml:space="preserve">pplicant has presented </w:t>
      </w:r>
      <w:r w:rsidR="00396E31" w:rsidRPr="00134101">
        <w:t xml:space="preserve">material evidence under oath by way of an </w:t>
      </w:r>
      <w:r w:rsidR="0004571E">
        <w:t>A</w:t>
      </w:r>
      <w:r w:rsidR="00396E31" w:rsidRPr="00134101">
        <w:t>ffidavit sworn by him</w:t>
      </w:r>
      <w:r w:rsidR="0004571E">
        <w:t>,</w:t>
      </w:r>
      <w:r w:rsidR="00396E31" w:rsidRPr="00134101">
        <w:t xml:space="preserve"> which led to his belief that the said specified property was the proceeds of crime. It is my view </w:t>
      </w:r>
      <w:r w:rsidR="0004571E">
        <w:t xml:space="preserve">that </w:t>
      </w:r>
      <w:r w:rsidR="00396E31" w:rsidRPr="00134101">
        <w:t>calling the maker o</w:t>
      </w:r>
      <w:r w:rsidR="00042E42" w:rsidRPr="00134101">
        <w:t>f the affidavit to give</w:t>
      </w:r>
      <w:r w:rsidR="00396E31" w:rsidRPr="00134101">
        <w:t xml:space="preserve"> sworn evidence </w:t>
      </w:r>
      <w:r w:rsidR="00042E42" w:rsidRPr="00134101">
        <w:t xml:space="preserve">based </w:t>
      </w:r>
      <w:r w:rsidR="00396E31" w:rsidRPr="00134101">
        <w:t>on the contents of the said affidavit cures an</w:t>
      </w:r>
      <w:r w:rsidR="000E1B39">
        <w:t>y defect that may exist in the j</w:t>
      </w:r>
      <w:r w:rsidR="00396E31" w:rsidRPr="00134101">
        <w:t>urat as what is now material</w:t>
      </w:r>
      <w:r w:rsidR="00683D65">
        <w:t xml:space="preserve"> –</w:t>
      </w:r>
      <w:r w:rsidRPr="00134101">
        <w:t xml:space="preserve"> is the sworn evidence before </w:t>
      </w:r>
      <w:r w:rsidR="00683D65">
        <w:t xml:space="preserve">the </w:t>
      </w:r>
      <w:r w:rsidRPr="00134101">
        <w:t>C</w:t>
      </w:r>
      <w:r w:rsidR="00396E31" w:rsidRPr="00134101">
        <w:t>ourt</w:t>
      </w:r>
      <w:r w:rsidR="0004571E">
        <w:t>,</w:t>
      </w:r>
      <w:r w:rsidR="00396E31" w:rsidRPr="00134101">
        <w:t xml:space="preserve"> </w:t>
      </w:r>
      <w:r w:rsidR="000E1B39">
        <w:t>which has not been challenged by</w:t>
      </w:r>
      <w:r w:rsidR="00396E31" w:rsidRPr="00134101">
        <w:t xml:space="preserve"> cross</w:t>
      </w:r>
      <w:r w:rsidR="0004571E">
        <w:t>-</w:t>
      </w:r>
      <w:r w:rsidR="00396E31" w:rsidRPr="00134101">
        <w:t>examination</w:t>
      </w:r>
      <w:r w:rsidR="00042E42" w:rsidRPr="00134101">
        <w:t>. Any defect in the jurat has been cured by the evidence given under oath. In any event as stated in my ruling dated 15</w:t>
      </w:r>
      <w:r w:rsidR="00042E42" w:rsidRPr="00134101">
        <w:rPr>
          <w:vertAlign w:val="superscript"/>
        </w:rPr>
        <w:t>th</w:t>
      </w:r>
      <w:r w:rsidR="0098673D">
        <w:t xml:space="preserve"> October 2021</w:t>
      </w:r>
      <w:r w:rsidR="00042E42" w:rsidRPr="00134101">
        <w:t xml:space="preserve"> </w:t>
      </w:r>
      <w:r w:rsidR="003A31EE">
        <w:t xml:space="preserve">the deponent makes reference to </w:t>
      </w:r>
      <w:r w:rsidR="003A31EE">
        <w:rPr>
          <w:i/>
        </w:rPr>
        <w:t>“</w:t>
      </w:r>
      <w:r w:rsidR="003A31EE" w:rsidRPr="00134101">
        <w:rPr>
          <w:i/>
        </w:rPr>
        <w:t>all the averments mentioned in paragraph 1 to 94”</w:t>
      </w:r>
      <w:r w:rsidR="003A31EE">
        <w:t xml:space="preserve"> </w:t>
      </w:r>
      <w:r w:rsidR="000E1B39">
        <w:t>in the j</w:t>
      </w:r>
      <w:r w:rsidR="005E2ACC" w:rsidRPr="00134101">
        <w:t>urat</w:t>
      </w:r>
      <w:r w:rsidR="003A31EE">
        <w:t>, which</w:t>
      </w:r>
      <w:r w:rsidR="005E2ACC" w:rsidRPr="00134101">
        <w:t xml:space="preserve"> </w:t>
      </w:r>
      <w:r w:rsidR="00415BFB">
        <w:t>appears on next page</w:t>
      </w:r>
      <w:r w:rsidR="003A31EE">
        <w:t>.</w:t>
      </w:r>
      <w:r w:rsidR="00415BFB">
        <w:t xml:space="preserve"> </w:t>
      </w:r>
      <w:r w:rsidR="005E2ACC" w:rsidRPr="00134101">
        <w:t>The</w:t>
      </w:r>
      <w:r w:rsidR="00BD0924">
        <w:t xml:space="preserve"> </w:t>
      </w:r>
      <w:r w:rsidR="005E2ACC" w:rsidRPr="00134101">
        <w:t>last paragraph in the preceding page is paragraph 94 and it</w:t>
      </w:r>
      <w:r w:rsidR="00BD0924">
        <w:t xml:space="preserve"> </w:t>
      </w:r>
      <w:r w:rsidR="005E2ACC" w:rsidRPr="00134101">
        <w:t>contains three paragraphs which are in Roman numerals (i), (ii) and (iii)</w:t>
      </w:r>
      <w:r w:rsidR="0004571E">
        <w:t>,</w:t>
      </w:r>
      <w:r w:rsidR="005E2ACC" w:rsidRPr="00134101">
        <w:t xml:space="preserve"> which go down to very bottom of the page.</w:t>
      </w:r>
      <w:r w:rsidR="00BD0924">
        <w:t xml:space="preserve"> </w:t>
      </w:r>
      <w:r w:rsidR="005E2ACC" w:rsidRPr="00134101">
        <w:t>Once again</w:t>
      </w:r>
      <w:r w:rsidR="0004571E">
        <w:t>,</w:t>
      </w:r>
      <w:r w:rsidR="005E2ACC" w:rsidRPr="00134101">
        <w:t xml:space="preserve"> I am of the view that </w:t>
      </w:r>
      <w:r w:rsidR="0004571E">
        <w:t xml:space="preserve">the </w:t>
      </w:r>
      <w:r w:rsidR="005E2ACC" w:rsidRPr="00134101">
        <w:t xml:space="preserve">objection is a mere technicality that has not caused any </w:t>
      </w:r>
      <w:r w:rsidR="000E1B39">
        <w:t xml:space="preserve">substantial </w:t>
      </w:r>
      <w:r w:rsidR="005E2ACC" w:rsidRPr="00134101">
        <w:t xml:space="preserve">prejudice or injustice to the Respondent nor created any doubt in respect of the authenticity of the </w:t>
      </w:r>
      <w:r w:rsidR="0004571E">
        <w:t>A</w:t>
      </w:r>
      <w:r w:rsidR="005E2ACC" w:rsidRPr="00134101">
        <w:t>ffidavit</w:t>
      </w:r>
      <w:r w:rsidR="0004571E">
        <w:t>,</w:t>
      </w:r>
      <w:r w:rsidR="005E2ACC" w:rsidRPr="00134101">
        <w:t xml:space="preserve"> especially considering the fact that now</w:t>
      </w:r>
      <w:r w:rsidRPr="00134101">
        <w:t xml:space="preserve"> it exists as sworn evidence</w:t>
      </w:r>
      <w:r w:rsidR="00683D65">
        <w:t>,</w:t>
      </w:r>
      <w:r w:rsidRPr="00134101">
        <w:t xml:space="preserve"> </w:t>
      </w:r>
      <w:r w:rsidR="005E2ACC" w:rsidRPr="00134101">
        <w:t xml:space="preserve">which has not been </w:t>
      </w:r>
      <w:r w:rsidR="005E2ACC" w:rsidRPr="003A31EE">
        <w:t xml:space="preserve">contested. </w:t>
      </w:r>
      <w:r w:rsidR="005E2ACC" w:rsidRPr="00F75319">
        <w:rPr>
          <w:shd w:val="clear" w:color="auto" w:fill="FFFFFF"/>
        </w:rPr>
        <w:t xml:space="preserve">In </w:t>
      </w:r>
      <w:r w:rsidR="005E2ACC" w:rsidRPr="00F75319">
        <w:rPr>
          <w:rStyle w:val="Strong"/>
          <w:bdr w:val="none" w:sz="0" w:space="0" w:color="auto" w:frame="1"/>
          <w:shd w:val="clear" w:color="auto" w:fill="FFFFFF"/>
        </w:rPr>
        <w:t xml:space="preserve">Hawkins (1997) Cr App. R P 234 </w:t>
      </w:r>
      <w:r w:rsidR="005E2ACC" w:rsidRPr="00F75319">
        <w:rPr>
          <w:shd w:val="clear" w:color="auto" w:fill="FFFFFF"/>
        </w:rPr>
        <w:t>the Court of Appeal held</w:t>
      </w:r>
      <w:r w:rsidR="0004571E" w:rsidRPr="00F75319">
        <w:rPr>
          <w:shd w:val="clear" w:color="auto" w:fill="FFFFFF"/>
        </w:rPr>
        <w:t>:</w:t>
      </w:r>
      <w:r w:rsidR="002C4371" w:rsidRPr="00F75319">
        <w:rPr>
          <w:shd w:val="clear" w:color="auto" w:fill="FFFFFF"/>
        </w:rPr>
        <w:t xml:space="preserve"> </w:t>
      </w:r>
      <w:r w:rsidR="005E2ACC" w:rsidRPr="00F75319">
        <w:rPr>
          <w:rStyle w:val="Emphasis"/>
          <w:bdr w:val="none" w:sz="0" w:space="0" w:color="auto" w:frame="1"/>
          <w:shd w:val="clear" w:color="auto" w:fill="FFFFFF"/>
        </w:rPr>
        <w:t xml:space="preserve">“the practice of the Court has in the past, in this and comparable </w:t>
      </w:r>
      <w:r w:rsidR="005E2ACC" w:rsidRPr="00F75319">
        <w:rPr>
          <w:rStyle w:val="Emphasis"/>
          <w:bdr w:val="none" w:sz="0" w:space="0" w:color="auto" w:frame="1"/>
          <w:shd w:val="clear" w:color="auto" w:fill="FFFFFF"/>
        </w:rPr>
        <w:lastRenderedPageBreak/>
        <w:t>situations, been to eschew undue technicality and ask whether any substantial injustice has been done.”</w:t>
      </w:r>
    </w:p>
    <w:p w14:paraId="54E90841" w14:textId="77777777" w:rsidR="00B87845" w:rsidRPr="00134101" w:rsidRDefault="00B87845" w:rsidP="00836E9E">
      <w:pPr>
        <w:spacing w:after="0" w:line="360" w:lineRule="auto"/>
        <w:jc w:val="both"/>
        <w:rPr>
          <w:rFonts w:ascii="Times New Roman" w:hAnsi="Times New Roman" w:cs="Times New Roman"/>
          <w:sz w:val="24"/>
          <w:szCs w:val="24"/>
        </w:rPr>
      </w:pPr>
    </w:p>
    <w:p w14:paraId="0AEE9808" w14:textId="05E2BEBA" w:rsidR="0068093E" w:rsidRPr="0004571E" w:rsidRDefault="00803251" w:rsidP="0068093E">
      <w:pPr>
        <w:pStyle w:val="JudgmentText"/>
      </w:pPr>
      <w:r>
        <w:t>L</w:t>
      </w:r>
      <w:r w:rsidR="007F275C" w:rsidRPr="00134101">
        <w:t xml:space="preserve">earned Counsel Mr </w:t>
      </w:r>
      <w:r>
        <w:t xml:space="preserve">Elizabeth </w:t>
      </w:r>
      <w:r w:rsidR="00511480" w:rsidRPr="00134101">
        <w:t xml:space="preserve">submitted that he would not be filing a reply to the </w:t>
      </w:r>
      <w:r w:rsidR="0004571E">
        <w:t>A</w:t>
      </w:r>
      <w:r w:rsidR="00511480" w:rsidRPr="00134101">
        <w:t xml:space="preserve">pplication under Section 4 of the POCA made by the </w:t>
      </w:r>
      <w:r w:rsidR="0004571E">
        <w:t>A</w:t>
      </w:r>
      <w:r w:rsidR="00511480" w:rsidRPr="00134101">
        <w:t>pplicant but wou</w:t>
      </w:r>
      <w:r w:rsidR="005E2ACC" w:rsidRPr="00134101">
        <w:t>ld be relying only on points of law. H</w:t>
      </w:r>
      <w:r w:rsidR="0068093E" w:rsidRPr="00134101">
        <w:t xml:space="preserve">is objections </w:t>
      </w:r>
      <w:r w:rsidR="002C4371" w:rsidRPr="00134101">
        <w:t xml:space="preserve">that the </w:t>
      </w:r>
      <w:r w:rsidR="0004571E">
        <w:t>A</w:t>
      </w:r>
      <w:r w:rsidR="002C4371" w:rsidRPr="00134101">
        <w:t>pplication fails to comply wit</w:t>
      </w:r>
      <w:r>
        <w:t xml:space="preserve">h the Rules and the </w:t>
      </w:r>
      <w:r w:rsidR="0004571E">
        <w:t>A</w:t>
      </w:r>
      <w:r>
        <w:t xml:space="preserve">pplication </w:t>
      </w:r>
      <w:r w:rsidR="002C4371" w:rsidRPr="00134101">
        <w:t xml:space="preserve">amounts to an abuse of process have already been dealt with in detail in the Order of </w:t>
      </w:r>
      <w:r>
        <w:t>this Court dated 15</w:t>
      </w:r>
      <w:r w:rsidR="0004571E" w:rsidRPr="00F75319">
        <w:rPr>
          <w:vertAlign w:val="superscript"/>
        </w:rPr>
        <w:t>th</w:t>
      </w:r>
      <w:r w:rsidR="0098673D">
        <w:t xml:space="preserve"> October 2021</w:t>
      </w:r>
      <w:r w:rsidR="002C4371" w:rsidRPr="00134101">
        <w:t xml:space="preserve"> and have been dismissed. There is no </w:t>
      </w:r>
      <w:r w:rsidR="002E2B10">
        <w:t>necessity</w:t>
      </w:r>
      <w:r w:rsidR="002E2B10" w:rsidRPr="00134101">
        <w:t xml:space="preserve"> </w:t>
      </w:r>
      <w:r w:rsidR="002C4371" w:rsidRPr="00134101">
        <w:t>for this Court to revisit these issues again.</w:t>
      </w:r>
    </w:p>
    <w:p w14:paraId="24F2EF17" w14:textId="060A2B7A" w:rsidR="00B8564F" w:rsidRPr="002E2B10" w:rsidRDefault="002C4371" w:rsidP="00B8564F">
      <w:pPr>
        <w:pStyle w:val="JudgmentText"/>
      </w:pPr>
      <w:r w:rsidRPr="00134101">
        <w:t>Learned Counsel M</w:t>
      </w:r>
      <w:r w:rsidR="0068093E" w:rsidRPr="00134101">
        <w:t>r</w:t>
      </w:r>
      <w:r w:rsidRPr="00134101">
        <w:t xml:space="preserve"> Elizabeth next submits that there is no evidence to support </w:t>
      </w:r>
      <w:r w:rsidR="007F275C" w:rsidRPr="00134101">
        <w:t xml:space="preserve">the </w:t>
      </w:r>
      <w:r w:rsidR="002E2B10">
        <w:t>A</w:t>
      </w:r>
      <w:r w:rsidR="007F275C" w:rsidRPr="00134101">
        <w:t>pplication and therefore</w:t>
      </w:r>
      <w:r w:rsidRPr="00134101">
        <w:rPr>
          <w:color w:val="000000"/>
        </w:rPr>
        <w:t xml:space="preserve"> </w:t>
      </w:r>
      <w:r w:rsidR="007F275C" w:rsidRPr="00134101">
        <w:rPr>
          <w:color w:val="000000"/>
        </w:rPr>
        <w:t>it should be dismissed</w:t>
      </w:r>
      <w:r w:rsidRPr="00134101">
        <w:rPr>
          <w:color w:val="000000"/>
        </w:rPr>
        <w:t>.</w:t>
      </w:r>
      <w:r w:rsidR="0068093E" w:rsidRPr="00134101">
        <w:t xml:space="preserve"> He further submits that the facts set out in the </w:t>
      </w:r>
      <w:r w:rsidR="002E2B10">
        <w:t>A</w:t>
      </w:r>
      <w:r w:rsidR="007F275C" w:rsidRPr="00134101">
        <w:t>ffidavit of Mr</w:t>
      </w:r>
      <w:r w:rsidR="0068093E" w:rsidRPr="00134101">
        <w:t xml:space="preserve"> Hein Prinsloo do not indicate his personal knowledge of such facts but are based more on his opinion and should be disregarded as most of the documents a</w:t>
      </w:r>
      <w:r w:rsidR="00803251">
        <w:t>ttached are not admissible</w:t>
      </w:r>
      <w:r w:rsidR="0068093E" w:rsidRPr="00134101">
        <w:t>.</w:t>
      </w:r>
    </w:p>
    <w:p w14:paraId="16CB1B73" w14:textId="7DEF4F6A" w:rsidR="00B8564F" w:rsidRPr="00134101" w:rsidRDefault="00B8564F" w:rsidP="00B8564F">
      <w:pPr>
        <w:pStyle w:val="JudgmentText"/>
        <w:spacing w:after="0"/>
      </w:pPr>
      <w:r w:rsidRPr="00134101">
        <w:t>It would be pertinent to refer to Section 9 (2) of POCA</w:t>
      </w:r>
      <w:r w:rsidR="00D22BE2">
        <w:t xml:space="preserve"> that</w:t>
      </w:r>
      <w:r w:rsidRPr="00134101">
        <w:t xml:space="preserve"> provides, </w:t>
      </w:r>
      <w:r w:rsidRPr="00134101">
        <w:rPr>
          <w:i/>
        </w:rPr>
        <w:t>inter alia</w:t>
      </w:r>
      <w:r w:rsidRPr="00134101">
        <w:t>:</w:t>
      </w:r>
    </w:p>
    <w:p w14:paraId="08E8D94E" w14:textId="77777777" w:rsidR="00B8564F" w:rsidRPr="00134101" w:rsidRDefault="00B8564F" w:rsidP="00B8564F">
      <w:pPr>
        <w:pStyle w:val="ListParagraph"/>
        <w:spacing w:line="360" w:lineRule="auto"/>
        <w:jc w:val="both"/>
        <w:rPr>
          <w:rFonts w:ascii="Times New Roman" w:hAnsi="Times New Roman" w:cs="Times New Roman"/>
          <w:sz w:val="24"/>
          <w:szCs w:val="24"/>
        </w:rPr>
      </w:pPr>
    </w:p>
    <w:p w14:paraId="67E54699" w14:textId="413F19AE" w:rsidR="00B8564F" w:rsidRPr="00134101" w:rsidRDefault="002E2B10" w:rsidP="00F75319">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w:t>
      </w:r>
      <w:r w:rsidR="00B8564F" w:rsidRPr="00134101">
        <w:rPr>
          <w:rFonts w:ascii="Times New Roman" w:hAnsi="Times New Roman" w:cs="Times New Roman"/>
          <w:i/>
          <w:sz w:val="24"/>
          <w:szCs w:val="24"/>
        </w:rPr>
        <w:t>The applicant shall not make an application under section 3 and 4 or submit evidence of his belief described in this section, except after reasonable enquiries and investigations and on the basis of credible and reliable information…</w:t>
      </w:r>
      <w:r>
        <w:rPr>
          <w:rFonts w:ascii="Times New Roman" w:hAnsi="Times New Roman" w:cs="Times New Roman"/>
          <w:i/>
          <w:sz w:val="24"/>
          <w:szCs w:val="24"/>
        </w:rPr>
        <w:t>”</w:t>
      </w:r>
    </w:p>
    <w:p w14:paraId="61D23D70" w14:textId="77777777" w:rsidR="00B8564F" w:rsidRPr="00134101" w:rsidRDefault="00B8564F" w:rsidP="00B8564F">
      <w:pPr>
        <w:pStyle w:val="ListParagraph"/>
        <w:spacing w:after="0" w:line="360" w:lineRule="auto"/>
        <w:ind w:left="1440"/>
        <w:jc w:val="both"/>
        <w:rPr>
          <w:rFonts w:ascii="Times New Roman" w:hAnsi="Times New Roman" w:cs="Times New Roman"/>
          <w:sz w:val="24"/>
          <w:szCs w:val="24"/>
        </w:rPr>
      </w:pPr>
    </w:p>
    <w:p w14:paraId="598BD411" w14:textId="51CA777C" w:rsidR="00B8564F" w:rsidRPr="00134101" w:rsidRDefault="00C50C23" w:rsidP="00B8564F">
      <w:pPr>
        <w:pStyle w:val="JudgmentText"/>
        <w:spacing w:after="0"/>
      </w:pPr>
      <w:r w:rsidRPr="00134101">
        <w:t>Learned Counsel for the Applicant Mr Powles relied on</w:t>
      </w:r>
      <w:r w:rsidR="00B8564F" w:rsidRPr="00134101">
        <w:t xml:space="preserve"> </w:t>
      </w:r>
      <w:r w:rsidR="00B8564F" w:rsidRPr="00134101">
        <w:rPr>
          <w:b/>
          <w:i/>
        </w:rPr>
        <w:t xml:space="preserve">Govt. of Seychelles v Sifflore et al </w:t>
      </w:r>
      <w:r w:rsidR="00B8564F" w:rsidRPr="00F75319">
        <w:rPr>
          <w:b/>
        </w:rPr>
        <w:t>[2019] SCSC</w:t>
      </w:r>
      <w:r w:rsidR="00B8564F" w:rsidRPr="002E2B10">
        <w:rPr>
          <w:b/>
        </w:rPr>
        <w:t xml:space="preserve"> 612</w:t>
      </w:r>
      <w:r w:rsidR="00B8564F" w:rsidRPr="002E2B10">
        <w:t xml:space="preserve"> </w:t>
      </w:r>
      <w:r w:rsidRPr="00134101">
        <w:t xml:space="preserve">where </w:t>
      </w:r>
      <w:r w:rsidR="00B8564F" w:rsidRPr="00134101">
        <w:t xml:space="preserve">the Court expressly considered the argument put forward by </w:t>
      </w:r>
      <w:r w:rsidR="006B4935">
        <w:t>l</w:t>
      </w:r>
      <w:r w:rsidR="00B8564F" w:rsidRPr="00134101">
        <w:t xml:space="preserve">earned Counsel for the Respondent and rejected the argument that Superintendent Prinsloo was unable to give evidence based on </w:t>
      </w:r>
      <w:r w:rsidR="00B8564F" w:rsidRPr="007447D1">
        <w:rPr>
          <w:i/>
        </w:rPr>
        <w:t>“facts that are not within his personal knowledge”.</w:t>
      </w:r>
      <w:r w:rsidR="00BD0924">
        <w:rPr>
          <w:i/>
        </w:rPr>
        <w:t xml:space="preserve"> </w:t>
      </w:r>
      <w:r w:rsidR="00B8564F" w:rsidRPr="00134101">
        <w:t>It was held that Superintendent Prinsloo was allowed to rely upon information told to him by others. Section 9 (2) refer</w:t>
      </w:r>
      <w:r w:rsidRPr="00134101">
        <w:t>s</w:t>
      </w:r>
      <w:r w:rsidR="00B8564F" w:rsidRPr="00134101">
        <w:t xml:space="preserve"> to the fact that the information should be credible. It is clear that</w:t>
      </w:r>
      <w:r w:rsidR="00C32574">
        <w:t>,</w:t>
      </w:r>
      <w:r w:rsidR="00B8564F" w:rsidRPr="00134101">
        <w:t xml:space="preserve"> though</w:t>
      </w:r>
      <w:r w:rsidR="00C32574">
        <w:t>,</w:t>
      </w:r>
      <w:r w:rsidR="00B8564F" w:rsidRPr="00134101">
        <w:t xml:space="preserve"> an opportunity was given for </w:t>
      </w:r>
      <w:r w:rsidR="006B4935">
        <w:t>l</w:t>
      </w:r>
      <w:r w:rsidR="00B8564F" w:rsidRPr="00134101">
        <w:t>earned Counsel to test the credibility and reliabili</w:t>
      </w:r>
      <w:r w:rsidR="00A65866" w:rsidRPr="00134101">
        <w:t xml:space="preserve">ty of the information by </w:t>
      </w:r>
      <w:r w:rsidR="00B8564F" w:rsidRPr="00134101">
        <w:t>cross</w:t>
      </w:r>
      <w:r w:rsidR="006F2EB8">
        <w:t>-</w:t>
      </w:r>
      <w:r w:rsidR="00B8564F" w:rsidRPr="00134101">
        <w:t>examining Mr Prinslo</w:t>
      </w:r>
      <w:r w:rsidR="00A65866" w:rsidRPr="00134101">
        <w:t>o he declined to do so.</w:t>
      </w:r>
      <w:r w:rsidR="00B8564F" w:rsidRPr="00134101">
        <w:t xml:space="preserve"> As M</w:t>
      </w:r>
      <w:r w:rsidR="00C01513" w:rsidRPr="00134101">
        <w:t xml:space="preserve">r </w:t>
      </w:r>
      <w:r w:rsidR="00B8564F" w:rsidRPr="00134101">
        <w:t>Prinsloo</w:t>
      </w:r>
      <w:r w:rsidR="00A65866" w:rsidRPr="00134101">
        <w:t>’s</w:t>
      </w:r>
      <w:r w:rsidR="00B8564F" w:rsidRPr="00134101">
        <w:t xml:space="preserve"> evidence has been unchallenged by way of cross</w:t>
      </w:r>
      <w:r w:rsidR="006F2EB8">
        <w:t>-</w:t>
      </w:r>
      <w:r w:rsidR="00B8564F" w:rsidRPr="00134101">
        <w:t>examination</w:t>
      </w:r>
      <w:r w:rsidR="004F7C4A">
        <w:t xml:space="preserve"> and supported by annexures</w:t>
      </w:r>
      <w:r w:rsidR="007276A6" w:rsidRPr="00134101">
        <w:t>,</w:t>
      </w:r>
      <w:r w:rsidR="00B8564F" w:rsidRPr="00134101">
        <w:t xml:space="preserve"> I am inclined</w:t>
      </w:r>
      <w:r w:rsidR="004F7C4A">
        <w:t xml:space="preserve"> to</w:t>
      </w:r>
      <w:r w:rsidR="00B8564F" w:rsidRPr="00134101">
        <w:t xml:space="preserve"> and will </w:t>
      </w:r>
      <w:r w:rsidR="004F7C4A">
        <w:t>accept his evidence</w:t>
      </w:r>
      <w:r w:rsidR="00B8564F" w:rsidRPr="00134101">
        <w:t>.</w:t>
      </w:r>
    </w:p>
    <w:p w14:paraId="64537CF8" w14:textId="77777777" w:rsidR="007276A6" w:rsidRPr="00134101" w:rsidRDefault="007276A6" w:rsidP="007276A6">
      <w:pPr>
        <w:pStyle w:val="JudgmentText"/>
        <w:numPr>
          <w:ilvl w:val="0"/>
          <w:numId w:val="0"/>
        </w:numPr>
        <w:spacing w:after="0"/>
        <w:ind w:left="720" w:hanging="720"/>
      </w:pPr>
    </w:p>
    <w:p w14:paraId="592A645A" w14:textId="5217B0F4" w:rsidR="00F6405D" w:rsidRPr="007A4694" w:rsidRDefault="007276A6" w:rsidP="00F6405D">
      <w:pPr>
        <w:pStyle w:val="JudgmentText"/>
      </w:pPr>
      <w:r w:rsidRPr="00134101">
        <w:t>On considering the</w:t>
      </w:r>
      <w:r w:rsidR="00D05BE1">
        <w:t xml:space="preserve"> facts set out by the </w:t>
      </w:r>
      <w:r w:rsidR="006F2EB8">
        <w:t>A</w:t>
      </w:r>
      <w:r w:rsidRPr="00134101">
        <w:t xml:space="preserve">ffidavit </w:t>
      </w:r>
      <w:r w:rsidR="00D05BE1">
        <w:t xml:space="preserve">P1 </w:t>
      </w:r>
      <w:r w:rsidRPr="00134101">
        <w:t>at paragraphs 3 to 5</w:t>
      </w:r>
      <w:r w:rsidR="00D05BE1">
        <w:t>,</w:t>
      </w:r>
      <w:r w:rsidR="00C01513" w:rsidRPr="00134101">
        <w:t xml:space="preserve"> it is clear that the A</w:t>
      </w:r>
      <w:r w:rsidRPr="00134101">
        <w:t>pplicant</w:t>
      </w:r>
      <w:r w:rsidR="00C01513" w:rsidRPr="00134101">
        <w:t>’</w:t>
      </w:r>
      <w:r w:rsidRPr="00134101">
        <w:t xml:space="preserve">s evidence is that the Respondent </w:t>
      </w:r>
      <w:r w:rsidR="00C01513" w:rsidRPr="00134101">
        <w:t>Ge-</w:t>
      </w:r>
      <w:r w:rsidR="006F2EB8">
        <w:t>G</w:t>
      </w:r>
      <w:r w:rsidR="00C01513" w:rsidRPr="00134101">
        <w:t xml:space="preserve">eology </w:t>
      </w:r>
      <w:r w:rsidR="006F2EB8">
        <w:t>Limited,</w:t>
      </w:r>
      <w:r w:rsidR="006F2EB8" w:rsidRPr="00134101">
        <w:t xml:space="preserve"> </w:t>
      </w:r>
      <w:r w:rsidR="00A65866" w:rsidRPr="00134101">
        <w:t xml:space="preserve">a Seychelles </w:t>
      </w:r>
      <w:r w:rsidR="006F2EB8">
        <w:t>International Business Company (</w:t>
      </w:r>
      <w:r w:rsidR="00A65866" w:rsidRPr="00134101">
        <w:t>IBC</w:t>
      </w:r>
      <w:r w:rsidR="006F2EB8">
        <w:t>),</w:t>
      </w:r>
      <w:r w:rsidR="00A65866" w:rsidRPr="00134101">
        <w:t xml:space="preserve"> was </w:t>
      </w:r>
      <w:r w:rsidR="00C01513" w:rsidRPr="00134101">
        <w:t>incorporated on</w:t>
      </w:r>
      <w:r w:rsidR="006F2EB8">
        <w:t xml:space="preserve"> the</w:t>
      </w:r>
      <w:r w:rsidR="00C01513" w:rsidRPr="00134101">
        <w:t xml:space="preserve"> 15</w:t>
      </w:r>
      <w:r w:rsidR="006F2EB8" w:rsidRPr="00F75319">
        <w:rPr>
          <w:vertAlign w:val="superscript"/>
        </w:rPr>
        <w:t>th</w:t>
      </w:r>
      <w:r w:rsidR="00A65866" w:rsidRPr="00134101">
        <w:t xml:space="preserve"> April 2011</w:t>
      </w:r>
      <w:r w:rsidR="007A4694">
        <w:t>,</w:t>
      </w:r>
      <w:r w:rsidR="00A65866" w:rsidRPr="00134101">
        <w:t xml:space="preserve"> bearing</w:t>
      </w:r>
      <w:r w:rsidR="00C01513" w:rsidRPr="00134101">
        <w:t xml:space="preserve"> registration number 089621.</w:t>
      </w:r>
      <w:r w:rsidR="00A65866" w:rsidRPr="00134101">
        <w:t xml:space="preserve"> Its r</w:t>
      </w:r>
      <w:r w:rsidR="00C01513" w:rsidRPr="00134101">
        <w:t>egistered address is that of the Corporate Service Provider: Sterling Trust &amp; Fiduciary Ltd.</w:t>
      </w:r>
      <w:r w:rsidR="00A65866" w:rsidRPr="00134101">
        <w:t xml:space="preserve"> The Applicant further contends that the Respondent</w:t>
      </w:r>
      <w:r w:rsidR="00C01513" w:rsidRPr="00134101">
        <w:t xml:space="preserve"> </w:t>
      </w:r>
      <w:r w:rsidRPr="00134101">
        <w:t>is in possession and control of specified property</w:t>
      </w:r>
      <w:r w:rsidR="007A4694">
        <w:t>,</w:t>
      </w:r>
      <w:r w:rsidRPr="00134101">
        <w:t xml:space="preserve"> which constitutes benefit from criminal conduct </w:t>
      </w:r>
      <w:r w:rsidR="00C01513" w:rsidRPr="00134101">
        <w:t>and</w:t>
      </w:r>
      <w:r w:rsidRPr="00134101">
        <w:t xml:space="preserve"> which value is cash USD</w:t>
      </w:r>
      <w:r w:rsidR="00C01513" w:rsidRPr="00134101">
        <w:t>7,244,968.97</w:t>
      </w:r>
      <w:r w:rsidR="007A4694">
        <w:t xml:space="preserve"> –</w:t>
      </w:r>
      <w:r w:rsidR="00C01513" w:rsidRPr="00134101">
        <w:t xml:space="preserve"> </w:t>
      </w:r>
      <w:r w:rsidRPr="00134101">
        <w:t>well over the SCR50,000.00.</w:t>
      </w:r>
      <w:r w:rsidR="00C01513" w:rsidRPr="00134101">
        <w:t xml:space="preserve"> The said specified property is banked in its account at Al Salam Bank at Maison Esplanade</w:t>
      </w:r>
      <w:r w:rsidR="007A4694">
        <w:t>,</w:t>
      </w:r>
      <w:r w:rsidR="00C01513" w:rsidRPr="00134101">
        <w:t xml:space="preserve"> Victoria</w:t>
      </w:r>
      <w:r w:rsidR="007A4694">
        <w:t>,</w:t>
      </w:r>
      <w:r w:rsidR="00C01513" w:rsidRPr="00134101">
        <w:t xml:space="preserve"> Mahe.</w:t>
      </w:r>
    </w:p>
    <w:p w14:paraId="47901010" w14:textId="07231207" w:rsidR="00A65866" w:rsidRPr="007A4694" w:rsidRDefault="00D05BE1" w:rsidP="00A65866">
      <w:pPr>
        <w:pStyle w:val="JudgmentText"/>
      </w:pPr>
      <w:r>
        <w:t xml:space="preserve">The evidence </w:t>
      </w:r>
      <w:r w:rsidR="00A65866" w:rsidRPr="00134101">
        <w:t xml:space="preserve">and the submissions of the Applicant </w:t>
      </w:r>
      <w:r w:rsidR="00F6405D" w:rsidRPr="00134101">
        <w:t xml:space="preserve">is that two French nationals Lipsky and Benichou opened </w:t>
      </w:r>
      <w:r w:rsidR="00A65866" w:rsidRPr="00134101">
        <w:t xml:space="preserve">the Ge-Geology </w:t>
      </w:r>
      <w:r w:rsidR="007A4694">
        <w:t>Limited</w:t>
      </w:r>
      <w:r w:rsidR="007A4694" w:rsidRPr="00134101">
        <w:t xml:space="preserve"> </w:t>
      </w:r>
      <w:r w:rsidR="003A31EE">
        <w:t xml:space="preserve">an </w:t>
      </w:r>
      <w:r w:rsidR="00F6405D" w:rsidRPr="00134101">
        <w:t xml:space="preserve">account </w:t>
      </w:r>
      <w:r w:rsidR="003A31EE">
        <w:t>at BMI bank (presently Al Salam B</w:t>
      </w:r>
      <w:r w:rsidR="00CA59E6">
        <w:t xml:space="preserve">ank) </w:t>
      </w:r>
      <w:r w:rsidR="00F6405D" w:rsidRPr="00134101">
        <w:t>o</w:t>
      </w:r>
      <w:r w:rsidR="00A65866" w:rsidRPr="00134101">
        <w:t xml:space="preserve">n </w:t>
      </w:r>
      <w:r w:rsidR="007A4694">
        <w:t xml:space="preserve">the </w:t>
      </w:r>
      <w:r w:rsidR="00A65866" w:rsidRPr="00134101">
        <w:t>10</w:t>
      </w:r>
      <w:r w:rsidR="007A4694" w:rsidRPr="00F75319">
        <w:rPr>
          <w:vertAlign w:val="superscript"/>
        </w:rPr>
        <w:t>th</w:t>
      </w:r>
      <w:r w:rsidR="00A65866" w:rsidRPr="00134101">
        <w:t xml:space="preserve"> May 2011.</w:t>
      </w:r>
      <w:r w:rsidR="00BD0924">
        <w:t xml:space="preserve"> </w:t>
      </w:r>
      <w:r w:rsidR="00F6405D" w:rsidRPr="00134101">
        <w:t>The account number was initially 300000009133.</w:t>
      </w:r>
      <w:r w:rsidR="00BD0924">
        <w:t xml:space="preserve"> </w:t>
      </w:r>
      <w:r w:rsidR="00F6405D" w:rsidRPr="00134101">
        <w:t>The account now carries the new number</w:t>
      </w:r>
      <w:r w:rsidR="007A4694">
        <w:t>:</w:t>
      </w:r>
      <w:r w:rsidR="00F6405D" w:rsidRPr="00134101">
        <w:t xml:space="preserve"> 5</w:t>
      </w:r>
      <w:r w:rsidR="00A65866" w:rsidRPr="00134101">
        <w:t xml:space="preserve">00000001638. The sworn evidence indicates that on the </w:t>
      </w:r>
      <w:r w:rsidR="00F6405D" w:rsidRPr="00134101">
        <w:t>26</w:t>
      </w:r>
      <w:r w:rsidR="007A4694" w:rsidRPr="00F75319">
        <w:rPr>
          <w:vertAlign w:val="superscript"/>
        </w:rPr>
        <w:t>th</w:t>
      </w:r>
      <w:r w:rsidR="00F6405D" w:rsidRPr="00134101">
        <w:t xml:space="preserve"> October 2022</w:t>
      </w:r>
      <w:r>
        <w:t>,</w:t>
      </w:r>
      <w:r w:rsidR="00F6405D" w:rsidRPr="00134101">
        <w:t xml:space="preserve"> </w:t>
      </w:r>
      <w:r w:rsidR="00A65866" w:rsidRPr="00134101">
        <w:t xml:space="preserve">the French nationals </w:t>
      </w:r>
      <w:r w:rsidR="00F6405D" w:rsidRPr="00134101">
        <w:t>Lipsky and Benichou resigned as Directors/shareholders and</w:t>
      </w:r>
      <w:r w:rsidR="00A65866" w:rsidRPr="00134101">
        <w:t xml:space="preserve"> appointed </w:t>
      </w:r>
      <w:r w:rsidR="00F6405D" w:rsidRPr="00134101">
        <w:t>Crispen Edu Tomo M</w:t>
      </w:r>
      <w:r>
        <w:t xml:space="preserve">aye (“Tomo Maye”) </w:t>
      </w:r>
      <w:r w:rsidR="00A65866" w:rsidRPr="00134101">
        <w:t xml:space="preserve">as </w:t>
      </w:r>
      <w:r w:rsidR="007A4694">
        <w:t xml:space="preserve">the </w:t>
      </w:r>
      <w:r w:rsidR="00F6405D" w:rsidRPr="00134101">
        <w:t xml:space="preserve">sole shareholder and signatory of </w:t>
      </w:r>
      <w:r w:rsidR="00A65866" w:rsidRPr="00134101">
        <w:t xml:space="preserve">the </w:t>
      </w:r>
      <w:r w:rsidR="00F6405D" w:rsidRPr="00134101">
        <w:t>BMI account</w:t>
      </w:r>
      <w:r w:rsidR="00A65866" w:rsidRPr="00134101">
        <w:t>.</w:t>
      </w:r>
    </w:p>
    <w:p w14:paraId="7CC4FDD1" w14:textId="0E2D66D5" w:rsidR="00134101" w:rsidRDefault="00A65866" w:rsidP="00134101">
      <w:pPr>
        <w:pStyle w:val="JudgmentText"/>
      </w:pPr>
      <w:r w:rsidRPr="00134101">
        <w:t>It is clear from the evidence of Mr Prinsloo that s</w:t>
      </w:r>
      <w:r w:rsidR="00F6405D" w:rsidRPr="00134101">
        <w:t xml:space="preserve">ubstantial sums of money were paid into the </w:t>
      </w:r>
      <w:r w:rsidRPr="00134101">
        <w:t xml:space="preserve">said BMI account including </w:t>
      </w:r>
      <w:r w:rsidR="00F6405D" w:rsidRPr="00134101">
        <w:t>money from Geoex International Limited (another IBC represented by Lipsky and Benichou).</w:t>
      </w:r>
      <w:r w:rsidR="00BD0924">
        <w:t xml:space="preserve"> </w:t>
      </w:r>
      <w:r w:rsidR="003B50DC" w:rsidRPr="00134101">
        <w:t>It is the belief evidence of Mr Prinsloo that t</w:t>
      </w:r>
      <w:r w:rsidRPr="00134101">
        <w:t>hese co</w:t>
      </w:r>
      <w:r w:rsidR="00F6405D" w:rsidRPr="00134101">
        <w:t>mpanies were “shell co</w:t>
      </w:r>
      <w:r w:rsidRPr="00134101">
        <w:t>mpanies” and linked</w:t>
      </w:r>
      <w:r w:rsidR="00F6405D" w:rsidRPr="00134101">
        <w:t xml:space="preserve"> to </w:t>
      </w:r>
      <w:r w:rsidR="00197FF4">
        <w:t xml:space="preserve">the </w:t>
      </w:r>
      <w:r w:rsidR="00F6405D" w:rsidRPr="00134101">
        <w:t>corruption in oil and mining sectors in Equatorial Guinea.</w:t>
      </w:r>
      <w:r w:rsidR="00D05BE1">
        <w:t xml:space="preserve"> Further</w:t>
      </w:r>
      <w:r w:rsidR="007A4694">
        <w:t xml:space="preserve">, </w:t>
      </w:r>
      <w:r w:rsidR="003B50DC" w:rsidRPr="00134101">
        <w:t>substantial money transfers from</w:t>
      </w:r>
      <w:r w:rsidR="003B50DC" w:rsidRPr="00134101">
        <w:rPr>
          <w:b/>
        </w:rPr>
        <w:t xml:space="preserve"> </w:t>
      </w:r>
      <w:r w:rsidR="003B50DC" w:rsidRPr="00134101">
        <w:t>Geoex</w:t>
      </w:r>
      <w:r w:rsidR="00415CF6" w:rsidRPr="00134101">
        <w:t>,</w:t>
      </w:r>
      <w:r w:rsidR="003B50DC" w:rsidRPr="00134101">
        <w:t xml:space="preserve"> Ge</w:t>
      </w:r>
      <w:r w:rsidR="00415CF6" w:rsidRPr="00134101">
        <w:t>o</w:t>
      </w:r>
      <w:r w:rsidR="003B50DC" w:rsidRPr="00134101">
        <w:t xml:space="preserve">petrol and </w:t>
      </w:r>
      <w:r w:rsidR="00F6405D" w:rsidRPr="00134101">
        <w:t>Northwest Resour</w:t>
      </w:r>
      <w:r w:rsidR="003B50DC" w:rsidRPr="00134101">
        <w:t>ces Ltd to the said BMI account have been made. In addition</w:t>
      </w:r>
      <w:r w:rsidR="007A4694">
        <w:t>,</w:t>
      </w:r>
      <w:r w:rsidR="003B50DC" w:rsidRPr="00134101">
        <w:t xml:space="preserve"> s</w:t>
      </w:r>
      <w:r w:rsidR="00D05BE1">
        <w:t xml:space="preserve">ubstantial sums </w:t>
      </w:r>
      <w:r w:rsidR="00F6405D" w:rsidRPr="00134101">
        <w:t>were also p</w:t>
      </w:r>
      <w:r w:rsidR="003B50DC" w:rsidRPr="00134101">
        <w:t>aid out. It is the contention of the Applicant based on the sworn evidence of Mr Prinsloo that s</w:t>
      </w:r>
      <w:r w:rsidR="00F6405D" w:rsidRPr="00134101">
        <w:t xml:space="preserve">uch low activity accounts with high balance </w:t>
      </w:r>
      <w:r w:rsidR="003B50DC" w:rsidRPr="00134101">
        <w:t xml:space="preserve">and being </w:t>
      </w:r>
      <w:r w:rsidR="00F6405D" w:rsidRPr="00134101">
        <w:t>used to pay for luxury goods</w:t>
      </w:r>
      <w:r w:rsidR="00D05BE1">
        <w:t>,</w:t>
      </w:r>
      <w:r w:rsidR="00F6405D" w:rsidRPr="00134101">
        <w:t xml:space="preserve"> is described as a ‘typical example of the integration stage of money laundering’.</w:t>
      </w:r>
      <w:r w:rsidR="00BD0924">
        <w:t xml:space="preserve"> </w:t>
      </w:r>
      <w:r w:rsidR="003B50DC" w:rsidRPr="00134101">
        <w:t>It is the contention of the Applicant that the sworn evidence of Mr P</w:t>
      </w:r>
      <w:r w:rsidR="00FF2574" w:rsidRPr="00134101">
        <w:t>rinsloo</w:t>
      </w:r>
      <w:r w:rsidR="003B50DC" w:rsidRPr="00134101">
        <w:t xml:space="preserve"> includes </w:t>
      </w:r>
      <w:r w:rsidR="00FF2574" w:rsidRPr="00134101">
        <w:t xml:space="preserve">evidence of </w:t>
      </w:r>
      <w:r w:rsidR="003B50DC" w:rsidRPr="00134101">
        <w:t xml:space="preserve">large sums of unaccounted money being paid into the account, unusual patterns of activity </w:t>
      </w:r>
      <w:r w:rsidR="00FF2574" w:rsidRPr="00134101">
        <w:t>consistent with the layering phase of money laundering and transfer of large sums of money to Spain for construction of building purposes with</w:t>
      </w:r>
      <w:r w:rsidR="00D05BE1">
        <w:t xml:space="preserve"> no </w:t>
      </w:r>
      <w:r w:rsidR="00D05BE1">
        <w:lastRenderedPageBreak/>
        <w:t>supporting documentation is indicative of</w:t>
      </w:r>
      <w:r w:rsidR="00FF2574" w:rsidRPr="00134101">
        <w:t xml:space="preserve"> money being laundered. As all this evidence remains unchallenged and supported by the </w:t>
      </w:r>
      <w:r w:rsidR="007A4694">
        <w:t>A</w:t>
      </w:r>
      <w:r w:rsidR="00FF2574" w:rsidRPr="00134101">
        <w:t xml:space="preserve">nnexures to the </w:t>
      </w:r>
      <w:r w:rsidR="007A4694">
        <w:t>A</w:t>
      </w:r>
      <w:r w:rsidR="00FF2574" w:rsidRPr="00134101">
        <w:t>ffidavit</w:t>
      </w:r>
      <w:r w:rsidR="00D05BE1">
        <w:t>,</w:t>
      </w:r>
      <w:r w:rsidR="00FF2574" w:rsidRPr="00134101">
        <w:t xml:space="preserve"> I am inclined</w:t>
      </w:r>
      <w:r w:rsidR="004F7C4A">
        <w:t xml:space="preserve"> to</w:t>
      </w:r>
      <w:r w:rsidR="00FF2574" w:rsidRPr="00134101">
        <w:t xml:space="preserve"> and will proceed to accept same.</w:t>
      </w:r>
    </w:p>
    <w:p w14:paraId="2C4A2A1F" w14:textId="365B854B" w:rsidR="00184F4C" w:rsidRPr="00174236" w:rsidRDefault="00FF2574" w:rsidP="00ED16CD">
      <w:pPr>
        <w:pStyle w:val="JudgmentText"/>
      </w:pPr>
      <w:r w:rsidRPr="00134101">
        <w:t>It is also in evidence that the Financ</w:t>
      </w:r>
      <w:r w:rsidR="00352465">
        <w:t>ial Intelligence Unit</w:t>
      </w:r>
      <w:r w:rsidR="00734060">
        <w:t xml:space="preserve"> (</w:t>
      </w:r>
      <w:r w:rsidR="00734060" w:rsidRPr="00134101">
        <w:t>FIU</w:t>
      </w:r>
      <w:r w:rsidR="00734060">
        <w:t>)</w:t>
      </w:r>
      <w:r w:rsidRPr="00134101">
        <w:t xml:space="preserve"> have requested information</w:t>
      </w:r>
      <w:r w:rsidR="00415CF6" w:rsidRPr="00134101">
        <w:t xml:space="preserve"> (Statutory requests) from</w:t>
      </w:r>
      <w:r w:rsidRPr="00134101">
        <w:t xml:space="preserve"> M</w:t>
      </w:r>
      <w:r w:rsidR="00415CF6" w:rsidRPr="00134101">
        <w:t xml:space="preserve">r </w:t>
      </w:r>
      <w:r w:rsidRPr="00134101">
        <w:t>Tomo Maye. They have received</w:t>
      </w:r>
      <w:r w:rsidR="00734060">
        <w:t xml:space="preserve"> </w:t>
      </w:r>
      <w:r w:rsidR="00734060" w:rsidRPr="00134101">
        <w:t>copies of contract</w:t>
      </w:r>
      <w:r w:rsidR="00734060">
        <w:t>s</w:t>
      </w:r>
      <w:r w:rsidRPr="00134101">
        <w:t xml:space="preserve"> from Mr Tomo Maye</w:t>
      </w:r>
      <w:r w:rsidR="00415CF6" w:rsidRPr="00134101">
        <w:t>’s</w:t>
      </w:r>
      <w:r w:rsidRPr="00134101">
        <w:t xml:space="preserve"> Attorney Mr Rubio</w:t>
      </w:r>
      <w:r w:rsidR="00734060">
        <w:t>,</w:t>
      </w:r>
      <w:r w:rsidRPr="00134101">
        <w:t xml:space="preserve"> </w:t>
      </w:r>
      <w:r w:rsidR="00415CF6" w:rsidRPr="00134101">
        <w:t>which Mr Prinsloo states are business contracts between Ge</w:t>
      </w:r>
      <w:r w:rsidR="00734060">
        <w:t>-</w:t>
      </w:r>
      <w:r w:rsidR="00415CF6" w:rsidRPr="00134101">
        <w:t>Geo</w:t>
      </w:r>
      <w:r w:rsidR="00734060">
        <w:t>l</w:t>
      </w:r>
      <w:r w:rsidR="00415CF6" w:rsidRPr="00134101">
        <w:t>ogy and Geoex, Northwest Resources Ltd</w:t>
      </w:r>
      <w:r w:rsidR="00734060">
        <w:t xml:space="preserve">, </w:t>
      </w:r>
      <w:r w:rsidR="00415CF6" w:rsidRPr="00134101">
        <w:t>Geopetrol and</w:t>
      </w:r>
      <w:r w:rsidR="00BD0924">
        <w:t xml:space="preserve"> </w:t>
      </w:r>
      <w:r w:rsidR="00415CF6" w:rsidRPr="00134101">
        <w:t>Charon FZE</w:t>
      </w:r>
      <w:r w:rsidR="00734060">
        <w:t>,</w:t>
      </w:r>
      <w:r w:rsidR="00415CF6" w:rsidRPr="00134101">
        <w:t xml:space="preserve"> which his investigations reveal are false. He also refers to a letter sent by M</w:t>
      </w:r>
      <w:r w:rsidR="00134101" w:rsidRPr="00134101">
        <w:t>r Rubio dated 30</w:t>
      </w:r>
      <w:r w:rsidR="00734060" w:rsidRPr="00F75319">
        <w:rPr>
          <w:vertAlign w:val="superscript"/>
        </w:rPr>
        <w:t>th</w:t>
      </w:r>
      <w:r w:rsidR="00134101" w:rsidRPr="00134101">
        <w:t xml:space="preserve"> May 2018 confirming concerns of illegal activity by Tomo Maye a</w:t>
      </w:r>
      <w:r w:rsidR="006C2C4A">
        <w:t>nd Ge-</w:t>
      </w:r>
      <w:r w:rsidR="00734060">
        <w:t>G</w:t>
      </w:r>
      <w:r w:rsidR="006C2C4A">
        <w:t>eology</w:t>
      </w:r>
      <w:r w:rsidR="00734060">
        <w:t>. The letter was</w:t>
      </w:r>
      <w:r w:rsidR="006C2C4A">
        <w:t xml:space="preserve"> produced as HP18</w:t>
      </w:r>
      <w:r w:rsidR="00734060">
        <w:t>.</w:t>
      </w:r>
      <w:r w:rsidR="006C2C4A">
        <w:t xml:space="preserve"> </w:t>
      </w:r>
      <w:r w:rsidR="00734060">
        <w:t xml:space="preserve">The </w:t>
      </w:r>
      <w:r w:rsidR="00352465">
        <w:t xml:space="preserve">Articles appearing </w:t>
      </w:r>
      <w:r w:rsidR="00134101" w:rsidRPr="00134101">
        <w:t>titled “Villarejo case”</w:t>
      </w:r>
      <w:r w:rsidR="00734060">
        <w:t>,</w:t>
      </w:r>
      <w:r w:rsidR="00134101" w:rsidRPr="00134101">
        <w:t xml:space="preserve"> which h</w:t>
      </w:r>
      <w:r w:rsidR="00861FAB">
        <w:t xml:space="preserve">ighlight concerns regarding </w:t>
      </w:r>
      <w:r w:rsidR="00134101" w:rsidRPr="00134101">
        <w:t xml:space="preserve">money being laundered through Seychelles into Europe </w:t>
      </w:r>
      <w:r w:rsidR="00734060">
        <w:t xml:space="preserve">were produced as </w:t>
      </w:r>
      <w:r w:rsidR="00134101" w:rsidRPr="00134101">
        <w:t xml:space="preserve">HP16. </w:t>
      </w:r>
      <w:r w:rsidR="00184F4C" w:rsidRPr="00ED16CD">
        <w:t>I am satisfied that the letter sent by Mr Rubio does not amount to a breach of Legal Professional Privilege as it is the duty of lawyers to report such illegal or suspici</w:t>
      </w:r>
      <w:r w:rsidR="00ED16CD" w:rsidRPr="00ED16CD">
        <w:t>ous transactions to authorities</w:t>
      </w:r>
      <w:r w:rsidR="008B6538">
        <w:t>.</w:t>
      </w:r>
    </w:p>
    <w:p w14:paraId="343EB005" w14:textId="1C7B8875" w:rsidR="00134101" w:rsidRDefault="00134101" w:rsidP="00730DB9">
      <w:pPr>
        <w:pStyle w:val="JudgmentText"/>
      </w:pPr>
      <w:r w:rsidRPr="00134101">
        <w:t>It is the Applicant</w:t>
      </w:r>
      <w:r w:rsidR="00734060">
        <w:t>’</w:t>
      </w:r>
      <w:r w:rsidRPr="00134101">
        <w:t>s contention that the case against the Respondent is clear and compelling.</w:t>
      </w:r>
      <w:r w:rsidR="00BD0924">
        <w:t xml:space="preserve"> </w:t>
      </w:r>
      <w:r w:rsidRPr="00134101">
        <w:t>The money seized is plainly the benefit of criminal conduct or acquired by criminal conduct:</w:t>
      </w:r>
      <w:r w:rsidR="00BD0924">
        <w:t xml:space="preserve"> </w:t>
      </w:r>
      <w:r w:rsidRPr="00134101">
        <w:t>corruption and money laundering.</w:t>
      </w:r>
      <w:r w:rsidR="00730DB9">
        <w:t xml:space="preserve"> </w:t>
      </w:r>
      <w:r w:rsidRPr="002A58F1">
        <w:t xml:space="preserve">The Respondent did not provide any </w:t>
      </w:r>
      <w:r w:rsidR="00D37124">
        <w:t>A</w:t>
      </w:r>
      <w:r w:rsidRPr="002A58F1">
        <w:t>ffidavit evidence in reply nor was any evidence called by the Res</w:t>
      </w:r>
      <w:r w:rsidR="00730DB9">
        <w:t>pondent no</w:t>
      </w:r>
      <w:r w:rsidRPr="002A58F1">
        <w:t>r did the Respondent seek to challenge or cross-ex</w:t>
      </w:r>
      <w:r w:rsidR="009B6545">
        <w:t xml:space="preserve">amine Mr Prinsloo </w:t>
      </w:r>
      <w:r w:rsidR="00730DB9">
        <w:t>on his evidence.</w:t>
      </w:r>
    </w:p>
    <w:p w14:paraId="63F3719A" w14:textId="1E348883" w:rsidR="00134101" w:rsidRDefault="00E32820" w:rsidP="00811A1A">
      <w:pPr>
        <w:pStyle w:val="JudgmentText"/>
        <w:tabs>
          <w:tab w:val="left" w:pos="720"/>
        </w:tabs>
      </w:pPr>
      <w:r>
        <w:t>Another ground raised</w:t>
      </w:r>
      <w:r w:rsidR="00B7749B">
        <w:t xml:space="preserve"> by </w:t>
      </w:r>
      <w:r w:rsidR="006B4935">
        <w:t>l</w:t>
      </w:r>
      <w:r>
        <w:t xml:space="preserve">earned Counsel for the Respondent </w:t>
      </w:r>
      <w:r w:rsidR="00B7749B">
        <w:t>was that his client</w:t>
      </w:r>
      <w:r w:rsidR="001303D3">
        <w:t>,</w:t>
      </w:r>
      <w:r w:rsidR="00B7749B">
        <w:t xml:space="preserve"> the Respondent</w:t>
      </w:r>
      <w:r w:rsidR="001303D3">
        <w:t>,</w:t>
      </w:r>
      <w:r w:rsidR="00B7749B">
        <w:t xml:space="preserve"> had not been convicted of any antecedent or predicate offence and therefore the application should be dismissed. It is clear that when one peruses </w:t>
      </w:r>
      <w:r w:rsidR="007B61EF">
        <w:t>the new definition</w:t>
      </w:r>
      <w:r>
        <w:t xml:space="preserve"> of criminal conduct</w:t>
      </w:r>
      <w:r w:rsidR="00BD0924">
        <w:t xml:space="preserve"> </w:t>
      </w:r>
      <w:r>
        <w:t xml:space="preserve">in </w:t>
      </w:r>
      <w:r w:rsidR="00B7749B" w:rsidRPr="00FA2EFB">
        <w:t>Section 2 of the POCA</w:t>
      </w:r>
      <w:r w:rsidR="007B61EF" w:rsidRPr="00FA2EFB">
        <w:t xml:space="preserve"> as amended by </w:t>
      </w:r>
      <w:r w:rsidR="00C112FA" w:rsidRPr="00FA2EFB">
        <w:t>A</w:t>
      </w:r>
      <w:r w:rsidR="007724D8" w:rsidRPr="00FA2EFB">
        <w:t xml:space="preserve">ct </w:t>
      </w:r>
      <w:r w:rsidR="00FC3011" w:rsidRPr="00FA2EFB">
        <w:t>10 of 2017</w:t>
      </w:r>
      <w:r w:rsidR="00FC3011">
        <w:t xml:space="preserve"> and</w:t>
      </w:r>
      <w:r>
        <w:t xml:space="preserve"> the interpretation given in</w:t>
      </w:r>
      <w:r w:rsidR="00BD0924">
        <w:t xml:space="preserve"> </w:t>
      </w:r>
      <w:r w:rsidR="00FC3011">
        <w:t xml:space="preserve">paragraphs </w:t>
      </w:r>
      <w:r w:rsidR="00FA2EFB">
        <w:t>[</w:t>
      </w:r>
      <w:r w:rsidR="00FC3011">
        <w:t>54</w:t>
      </w:r>
      <w:r w:rsidR="00FA2EFB">
        <w:t>]</w:t>
      </w:r>
      <w:r w:rsidR="00FC3011">
        <w:t xml:space="preserve"> and </w:t>
      </w:r>
      <w:r w:rsidR="00FA2EFB">
        <w:t>[</w:t>
      </w:r>
      <w:r w:rsidR="00FC3011">
        <w:t>56</w:t>
      </w:r>
      <w:r w:rsidR="00FA2EFB">
        <w:t>]</w:t>
      </w:r>
      <w:r w:rsidR="00BD0924">
        <w:t xml:space="preserve"> </w:t>
      </w:r>
      <w:r w:rsidR="00FC3011">
        <w:t xml:space="preserve">in </w:t>
      </w:r>
      <w:r w:rsidR="00FC3011" w:rsidRPr="00352465">
        <w:rPr>
          <w:b/>
          <w:i/>
        </w:rPr>
        <w:t xml:space="preserve">Government of Seychelles v Radimer Prus &amp; Ors </w:t>
      </w:r>
      <w:r w:rsidR="00FC3011" w:rsidRPr="00F75319">
        <w:rPr>
          <w:b/>
        </w:rPr>
        <w:t>[2020] SCSC 660</w:t>
      </w:r>
      <w:r w:rsidR="00FC3011" w:rsidRPr="00352465">
        <w:rPr>
          <w:b/>
          <w:i/>
        </w:rPr>
        <w:t xml:space="preserve"> </w:t>
      </w:r>
      <w:r w:rsidR="00FC3011">
        <w:t>and</w:t>
      </w:r>
      <w:r>
        <w:t xml:space="preserve"> also in </w:t>
      </w:r>
      <w:r w:rsidR="00FC3011">
        <w:t xml:space="preserve">the cases of </w:t>
      </w:r>
      <w:r w:rsidR="00FC3011" w:rsidRPr="00352465">
        <w:rPr>
          <w:b/>
          <w:i/>
        </w:rPr>
        <w:t xml:space="preserve">Hackl v Financial Intelligence Unit </w:t>
      </w:r>
      <w:r w:rsidR="00FC3011" w:rsidRPr="00F75319">
        <w:rPr>
          <w:b/>
        </w:rPr>
        <w:t>(2010)</w:t>
      </w:r>
      <w:r w:rsidR="001303D3">
        <w:rPr>
          <w:b/>
        </w:rPr>
        <w:t xml:space="preserve"> </w:t>
      </w:r>
      <w:r w:rsidR="00FC3011" w:rsidRPr="00F75319">
        <w:rPr>
          <w:b/>
        </w:rPr>
        <w:t>SLR 98 (Constitutional Court) and (2012) SLR 225</w:t>
      </w:r>
      <w:r w:rsidR="00FC3011" w:rsidRPr="00352465">
        <w:rPr>
          <w:b/>
          <w:i/>
        </w:rPr>
        <w:t xml:space="preserve"> </w:t>
      </w:r>
      <w:r w:rsidR="00FC3011" w:rsidRPr="00F75319">
        <w:t>and</w:t>
      </w:r>
      <w:r w:rsidR="00BD0924">
        <w:rPr>
          <w:b/>
          <w:i/>
        </w:rPr>
        <w:t xml:space="preserve"> </w:t>
      </w:r>
      <w:r w:rsidR="00FC3011" w:rsidRPr="00352465">
        <w:rPr>
          <w:b/>
          <w:i/>
        </w:rPr>
        <w:t xml:space="preserve">FIU v Mares </w:t>
      </w:r>
      <w:r w:rsidR="00FC3011" w:rsidRPr="00F75319">
        <w:rPr>
          <w:b/>
        </w:rPr>
        <w:t>(2011) SLR 405</w:t>
      </w:r>
      <w:r w:rsidR="00FC3011" w:rsidRPr="00F75319">
        <w:rPr>
          <w:i/>
        </w:rPr>
        <w:t>,</w:t>
      </w:r>
      <w:r w:rsidR="00FC3011" w:rsidRPr="00352465">
        <w:rPr>
          <w:b/>
          <w:i/>
        </w:rPr>
        <w:t xml:space="preserve"> </w:t>
      </w:r>
      <w:r>
        <w:t xml:space="preserve">it is repeatedly stated </w:t>
      </w:r>
      <w:r w:rsidR="00FC3011" w:rsidRPr="00FC3011">
        <w:t xml:space="preserve">the proceedings under </w:t>
      </w:r>
      <w:r w:rsidR="00FC3011">
        <w:t xml:space="preserve">the POCA are civil in nature although the Act deals with the forfeiture of property from the benefit of </w:t>
      </w:r>
      <w:r w:rsidR="001B1E00">
        <w:t>crime. The object of the POCA is not to indict, prosecute and convict criminal</w:t>
      </w:r>
      <w:r>
        <w:t>s</w:t>
      </w:r>
      <w:r w:rsidR="001B1E00">
        <w:t xml:space="preserve"> but rather to forfeit the </w:t>
      </w:r>
      <w:r w:rsidR="001B1E00">
        <w:lastRenderedPageBreak/>
        <w:t xml:space="preserve">proceeds derived from such conduct. </w:t>
      </w:r>
      <w:r w:rsidR="001B1E00" w:rsidRPr="00B16FE3">
        <w:t xml:space="preserve">In the case of </w:t>
      </w:r>
      <w:r w:rsidR="001B1E00" w:rsidRPr="00352465">
        <w:rPr>
          <w:b/>
          <w:i/>
        </w:rPr>
        <w:t xml:space="preserve">Financial Intelligence Unit v Contact Lenses Ltd &amp; Ors </w:t>
      </w:r>
      <w:r w:rsidR="001B1E00" w:rsidRPr="00F75319">
        <w:rPr>
          <w:b/>
        </w:rPr>
        <w:t xml:space="preserve">[2018] SCSC 564 </w:t>
      </w:r>
      <w:r w:rsidR="001B1E00" w:rsidRPr="00F75319">
        <w:t>at [15]</w:t>
      </w:r>
      <w:r w:rsidRPr="00F75319">
        <w:t>,</w:t>
      </w:r>
      <w:r w:rsidR="001B1E00" w:rsidRPr="00B16FE3">
        <w:t xml:space="preserve"> it was held that</w:t>
      </w:r>
      <w:r w:rsidR="001B1E00">
        <w:t xml:space="preserve"> under the POCA</w:t>
      </w:r>
      <w:r w:rsidR="001B1E00" w:rsidRPr="00B16FE3">
        <w:t xml:space="preserve"> </w:t>
      </w:r>
      <w:r w:rsidR="001B1E00" w:rsidRPr="00B16FE3">
        <w:rPr>
          <w:i/>
        </w:rPr>
        <w:t>“once the applicant establishes his belief that the property is the proceeds of crime, the burden of proof shifts to the Respondent to show that it is not”</w:t>
      </w:r>
      <w:r w:rsidR="001303D3">
        <w:t>.</w:t>
      </w:r>
      <w:r w:rsidR="001B1E00" w:rsidRPr="00B16FE3">
        <w:t xml:space="preserve"> </w:t>
      </w:r>
      <w:r w:rsidR="00B16FE3">
        <w:t>Therefore</w:t>
      </w:r>
      <w:r w:rsidR="001303D3">
        <w:t>,</w:t>
      </w:r>
      <w:r w:rsidR="00B16FE3">
        <w:t xml:space="preserve"> the failure</w:t>
      </w:r>
      <w:r w:rsidR="001B1E00">
        <w:t xml:space="preserve"> of the R</w:t>
      </w:r>
      <w:r w:rsidR="00B16FE3">
        <w:t>esp</w:t>
      </w:r>
      <w:r>
        <w:t>ondent to show that the specified property</w:t>
      </w:r>
      <w:r w:rsidR="00B16FE3">
        <w:t xml:space="preserve"> did not originate from criminal conduct</w:t>
      </w:r>
      <w:r w:rsidR="004930A9">
        <w:t>, the specified property is liable to</w:t>
      </w:r>
      <w:r w:rsidR="00B16FE3">
        <w:t xml:space="preserve"> be forfeited and disposed of by the State irrespective whether there was a criminal conviction.</w:t>
      </w:r>
      <w:r w:rsidR="001B1E00" w:rsidRPr="00B16FE3">
        <w:t xml:space="preserve"> </w:t>
      </w:r>
      <w:r w:rsidR="00B16FE3" w:rsidRPr="00B16FE3">
        <w:t>In this instant case t</w:t>
      </w:r>
      <w:r w:rsidR="00134101" w:rsidRPr="00B16FE3">
        <w:t xml:space="preserve">he Respondent </w:t>
      </w:r>
      <w:r w:rsidR="00197FF4">
        <w:t>has failed to do so but relied</w:t>
      </w:r>
      <w:r w:rsidR="00B16FE3" w:rsidRPr="00B16FE3">
        <w:t xml:space="preserve"> on technical defects in the case </w:t>
      </w:r>
      <w:r w:rsidR="00B16FE3">
        <w:t>o</w:t>
      </w:r>
      <w:r w:rsidR="00B16FE3" w:rsidRPr="00B16FE3">
        <w:t>f the Applicant as a defence.</w:t>
      </w:r>
      <w:r w:rsidR="00B16FE3">
        <w:t xml:space="preserve"> It </w:t>
      </w:r>
      <w:r w:rsidR="004930A9">
        <w:t xml:space="preserve">also </w:t>
      </w:r>
      <w:r w:rsidR="00B16FE3">
        <w:t>would be pertinent at this stage to refer to Section 5 of the POCA</w:t>
      </w:r>
      <w:r w:rsidR="001303D3">
        <w:t>:</w:t>
      </w:r>
    </w:p>
    <w:p w14:paraId="0D5A0D38" w14:textId="77777777" w:rsidR="00B16FE3" w:rsidRDefault="00B16FE3" w:rsidP="00F75319">
      <w:pPr>
        <w:pStyle w:val="JudgmentText"/>
        <w:numPr>
          <w:ilvl w:val="0"/>
          <w:numId w:val="0"/>
        </w:numPr>
        <w:tabs>
          <w:tab w:val="left" w:pos="720"/>
        </w:tabs>
        <w:spacing w:line="240" w:lineRule="auto"/>
        <w:ind w:left="1440"/>
      </w:pPr>
      <w:r>
        <w:rPr>
          <w:i/>
        </w:rPr>
        <w:t>“unless it is shown to its satisfaction by the respondent or any person claiming any interest in the property, that the property does not constitute, directly or indirectly, proceeds of criminal conduct and was not acquired, in whole or in part, with or in connection with property that, directly or indirectly, constitutes proceeds of criminal conduct”</w:t>
      </w:r>
    </w:p>
    <w:p w14:paraId="52B9E2E0" w14:textId="5FBB5E78" w:rsidR="00184F4C" w:rsidRDefault="009D0A1D" w:rsidP="00811A1A">
      <w:pPr>
        <w:pStyle w:val="JudgmentText"/>
        <w:tabs>
          <w:tab w:val="left" w:pos="720"/>
        </w:tabs>
      </w:pPr>
      <w:r>
        <w:t xml:space="preserve">In his submissions </w:t>
      </w:r>
      <w:r w:rsidR="006B4935">
        <w:t>l</w:t>
      </w:r>
      <w:r>
        <w:t>earned Counsel for the Respondent complained that</w:t>
      </w:r>
      <w:r w:rsidR="00197FF4">
        <w:t>,</w:t>
      </w:r>
      <w:r>
        <w:t xml:space="preserve"> although</w:t>
      </w:r>
      <w:r w:rsidR="00197FF4">
        <w:t>,</w:t>
      </w:r>
      <w:r>
        <w:t xml:space="preserve"> Act 10 of 2017 amended the definition of the word property by excluding currency notes and coins in bank accounts</w:t>
      </w:r>
      <w:r w:rsidR="00E924F9">
        <w:t xml:space="preserve">, the Al </w:t>
      </w:r>
      <w:r>
        <w:t>Salam Bank refused to release the money to his clients giving frivolous reasons. I am inclined to agree with learned Counsel for the A</w:t>
      </w:r>
      <w:r w:rsidR="00184F4C">
        <w:t>pplicant</w:t>
      </w:r>
      <w:r>
        <w:t xml:space="preserve"> that as the Applicant has nothing to do with this issue</w:t>
      </w:r>
      <w:r w:rsidR="00E924F9">
        <w:t>,</w:t>
      </w:r>
      <w:r>
        <w:t xml:space="preserve"> which learned Counsel for the Respondent </w:t>
      </w:r>
      <w:r w:rsidR="00992F09">
        <w:t>claims</w:t>
      </w:r>
      <w:r w:rsidR="004930A9">
        <w:t>,</w:t>
      </w:r>
      <w:r>
        <w:t xml:space="preserve"> there is no finding this Court can make against the said bank in these proceedings.</w:t>
      </w:r>
    </w:p>
    <w:p w14:paraId="40419ACB" w14:textId="7D457EA5" w:rsidR="00A60130" w:rsidRDefault="00184F4C" w:rsidP="004930A9">
      <w:pPr>
        <w:pStyle w:val="JudgmentText"/>
        <w:tabs>
          <w:tab w:val="left" w:pos="720"/>
        </w:tabs>
      </w:pPr>
      <w:r>
        <w:t>Learned Counsel for the Applicant denies</w:t>
      </w:r>
      <w:r w:rsidR="004930A9">
        <w:t xml:space="preserve"> that</w:t>
      </w:r>
      <w:r w:rsidR="00352465">
        <w:t xml:space="preserve"> there was an abuse of process </w:t>
      </w:r>
      <w:r w:rsidR="004930A9">
        <w:t>as</w:t>
      </w:r>
      <w:r w:rsidR="00BD0924">
        <w:t xml:space="preserve"> </w:t>
      </w:r>
      <w:r w:rsidR="007C47D9">
        <w:t>there were eight processes filed</w:t>
      </w:r>
      <w:r>
        <w:t xml:space="preserve"> against the Respondent</w:t>
      </w:r>
      <w:r w:rsidR="004930A9">
        <w:t>.</w:t>
      </w:r>
      <w:r>
        <w:t xml:space="preserve"> He states in reality only two processes have bee</w:t>
      </w:r>
      <w:r w:rsidR="007C47D9">
        <w:t>n filed and explains that certain order</w:t>
      </w:r>
      <w:r w:rsidR="00992F09">
        <w:t>s, namely,</w:t>
      </w:r>
      <w:r w:rsidR="007C47D9">
        <w:t xml:space="preserve"> production orders, restraint orders and receivership orders were incidental applications w</w:t>
      </w:r>
      <w:r w:rsidR="004930A9">
        <w:t>h</w:t>
      </w:r>
      <w:r w:rsidR="007C47D9">
        <w:t>ich were part and parcel of the same process</w:t>
      </w:r>
      <w:r w:rsidR="004930A9">
        <w:t>.</w:t>
      </w:r>
      <w:r w:rsidR="007C47D9">
        <w:t xml:space="preserve"> </w:t>
      </w:r>
      <w:r w:rsidR="007C47D9" w:rsidRPr="00A60130">
        <w:t>It is</w:t>
      </w:r>
      <w:r w:rsidR="004930A9">
        <w:t xml:space="preserve"> his contention that it is </w:t>
      </w:r>
      <w:r w:rsidR="007C47D9" w:rsidRPr="00A60130">
        <w:t>wrong for the Respondent to seek to characterize these applications as somehow amounting to excessive litigation and judicial harassment</w:t>
      </w:r>
      <w:r w:rsidR="00060B3C">
        <w:t>.</w:t>
      </w:r>
      <w:r w:rsidR="007C47D9" w:rsidRPr="00A60130">
        <w:t xml:space="preserve"> Following</w:t>
      </w:r>
      <w:r w:rsidR="00861FAB">
        <w:t xml:space="preserve"> </w:t>
      </w:r>
      <w:r w:rsidR="007C47D9" w:rsidRPr="00A60130">
        <w:t>receipt of some of the ma</w:t>
      </w:r>
      <w:r w:rsidR="004930A9">
        <w:t>terial pursuant to the Production</w:t>
      </w:r>
      <w:r w:rsidR="007C47D9" w:rsidRPr="00A60130">
        <w:t xml:space="preserve"> Order, and further consideration of all available material, </w:t>
      </w:r>
      <w:r w:rsidR="004930A9">
        <w:t xml:space="preserve">he submits </w:t>
      </w:r>
      <w:r w:rsidR="007C47D9" w:rsidRPr="00A60130">
        <w:t xml:space="preserve">it was decided not to charge Ge-Geology </w:t>
      </w:r>
      <w:r w:rsidR="00992F09">
        <w:t>Limited</w:t>
      </w:r>
      <w:r w:rsidR="00992F09" w:rsidRPr="00A60130">
        <w:t xml:space="preserve"> </w:t>
      </w:r>
      <w:r w:rsidR="007C47D9" w:rsidRPr="00A60130">
        <w:t>or to bring criminal proceedings against them.</w:t>
      </w:r>
      <w:r w:rsidR="00BD0924">
        <w:t xml:space="preserve"> </w:t>
      </w:r>
      <w:r w:rsidR="007C47D9" w:rsidRPr="00A60130">
        <w:t>Instead, proceedings under POCA</w:t>
      </w:r>
      <w:r w:rsidR="004930A9">
        <w:t xml:space="preserve"> were commenced</w:t>
      </w:r>
      <w:r w:rsidR="00E924F9">
        <w:t>,</w:t>
      </w:r>
      <w:r w:rsidR="004930A9">
        <w:t xml:space="preserve"> which learned Counsel contends </w:t>
      </w:r>
      <w:r w:rsidR="007C47D9" w:rsidRPr="00A60130">
        <w:t xml:space="preserve">is entirely contemplated by the legal </w:t>
      </w:r>
      <w:r w:rsidR="007C47D9" w:rsidRPr="00A60130">
        <w:lastRenderedPageBreak/>
        <w:t>regime.</w:t>
      </w:r>
      <w:r w:rsidR="004930A9">
        <w:t xml:space="preserve"> I have already dealt with the issue of abuse of process in </w:t>
      </w:r>
      <w:r w:rsidR="00992F09">
        <w:t>m</w:t>
      </w:r>
      <w:r w:rsidR="0065464D">
        <w:t>y</w:t>
      </w:r>
      <w:r w:rsidR="004930A9">
        <w:t xml:space="preserve"> order dated 27</w:t>
      </w:r>
      <w:r w:rsidR="00992F09" w:rsidRPr="00F75319">
        <w:rPr>
          <w:vertAlign w:val="superscript"/>
        </w:rPr>
        <w:t>th</w:t>
      </w:r>
      <w:r w:rsidR="004930A9">
        <w:t xml:space="preserve"> June 2022</w:t>
      </w:r>
      <w:r w:rsidR="0065464D">
        <w:t xml:space="preserve"> and held</w:t>
      </w:r>
      <w:r w:rsidR="00BD0924">
        <w:t xml:space="preserve"> </w:t>
      </w:r>
      <w:r w:rsidR="0065464D">
        <w:t>for reasons given there has been no abuse of process.</w:t>
      </w:r>
    </w:p>
    <w:p w14:paraId="26079C9F" w14:textId="458F6CE5" w:rsidR="00CD5614" w:rsidRDefault="007C47D9" w:rsidP="002D1AD3">
      <w:pPr>
        <w:pStyle w:val="JudgmentText"/>
        <w:tabs>
          <w:tab w:val="left" w:pos="720"/>
        </w:tabs>
      </w:pPr>
      <w:r w:rsidRPr="00A60130">
        <w:t>I</w:t>
      </w:r>
      <w:r w:rsidR="00BC57C8" w:rsidRPr="00A60130">
        <w:t>t is clear wh</w:t>
      </w:r>
      <w:r w:rsidRPr="00A60130">
        <w:t>en one considers the submissions and cases filed by the Applicant that an investigation and proceedings commenced against the said specified property in this cas</w:t>
      </w:r>
      <w:r w:rsidR="00BB3FA5">
        <w:t xml:space="preserve">e </w:t>
      </w:r>
      <w:r w:rsidR="00BC57C8" w:rsidRPr="00FA2EFB">
        <w:t xml:space="preserve">had to be aborted with the coming into force of amendment </w:t>
      </w:r>
      <w:r w:rsidRPr="00FA2EFB">
        <w:t>Act 10 of 2017</w:t>
      </w:r>
      <w:r w:rsidR="00BC57C8" w:rsidRPr="00FA2EFB">
        <w:t xml:space="preserve"> of the POCA as</w:t>
      </w:r>
      <w:r w:rsidR="00BB3FA5" w:rsidRPr="00FA2EFB">
        <w:t xml:space="preserve"> currency</w:t>
      </w:r>
      <w:r w:rsidR="00BC57C8" w:rsidRPr="00FA2EFB">
        <w:t xml:space="preserve"> in bank accounts were exempted from the definition of the word pr</w:t>
      </w:r>
      <w:r w:rsidR="00C9449D" w:rsidRPr="00FA2EFB">
        <w:t>operty.</w:t>
      </w:r>
      <w:r w:rsidR="00C9449D">
        <w:t xml:space="preserve"> Thereafter</w:t>
      </w:r>
      <w:r w:rsidR="00CD5614">
        <w:t>,</w:t>
      </w:r>
      <w:r w:rsidR="00C9449D">
        <w:t xml:space="preserve"> by </w:t>
      </w:r>
      <w:r w:rsidR="00CD5614">
        <w:t>the a</w:t>
      </w:r>
      <w:r w:rsidR="00C9449D">
        <w:t xml:space="preserve">mendment Act 27 of 2020 the definition of property was again amended and money or currency </w:t>
      </w:r>
      <w:r w:rsidR="00BB3FA5">
        <w:t>in bank accounts</w:t>
      </w:r>
      <w:r w:rsidR="00BC57C8" w:rsidRPr="00A60130">
        <w:t xml:space="preserve"> was included</w:t>
      </w:r>
      <w:r w:rsidR="0065464D">
        <w:t xml:space="preserve"> once again in the definition of property</w:t>
      </w:r>
      <w:r w:rsidR="00BC57C8" w:rsidRPr="00A60130">
        <w:t xml:space="preserve">. The FIU </w:t>
      </w:r>
      <w:r w:rsidR="0065464D">
        <w:t>then re</w:t>
      </w:r>
      <w:r w:rsidR="00BC57C8" w:rsidRPr="00A60130">
        <w:t>commenced investigations again in respect of</w:t>
      </w:r>
      <w:r w:rsidR="00FF34F1">
        <w:t xml:space="preserve"> </w:t>
      </w:r>
      <w:r w:rsidR="00CD5614">
        <w:t xml:space="preserve">the Respondent </w:t>
      </w:r>
      <w:r w:rsidR="00FF34F1">
        <w:t>as suspicious</w:t>
      </w:r>
      <w:r w:rsidR="00C9449D">
        <w:t xml:space="preserve"> transaction report on</w:t>
      </w:r>
      <w:r w:rsidR="00BC57C8" w:rsidRPr="00A60130">
        <w:t xml:space="preserve"> the specified </w:t>
      </w:r>
      <w:r w:rsidR="00FF34F1">
        <w:t>property in</w:t>
      </w:r>
      <w:r w:rsidR="00BF6B67">
        <w:t xml:space="preserve"> the bank account in</w:t>
      </w:r>
      <w:r w:rsidR="00FF34F1">
        <w:t xml:space="preserve"> this case</w:t>
      </w:r>
      <w:r w:rsidR="00BC57C8" w:rsidRPr="00A60130">
        <w:t xml:space="preserve"> </w:t>
      </w:r>
      <w:r w:rsidR="00CD5614">
        <w:t>was made. The</w:t>
      </w:r>
      <w:r w:rsidR="00BC57C8" w:rsidRPr="00A60130">
        <w:t xml:space="preserve"> investigations continued with the assistance of Production Orders from court and investigations revealed that the said specified property came under the provis</w:t>
      </w:r>
      <w:r w:rsidR="00B905F2" w:rsidRPr="00A60130">
        <w:t>i</w:t>
      </w:r>
      <w:r w:rsidR="00BC57C8" w:rsidRPr="00A60130">
        <w:t xml:space="preserve">ons of the POCA and accordingly this action was filed. I find no merit in the argument of learned Counsel </w:t>
      </w:r>
      <w:r w:rsidR="00BB3FA5">
        <w:t xml:space="preserve">for the Respondent that </w:t>
      </w:r>
      <w:r w:rsidR="00BC57C8" w:rsidRPr="00A60130">
        <w:t>the Applicant is attempting to retrospectively implement the law</w:t>
      </w:r>
      <w:r w:rsidR="00FF34F1">
        <w:t xml:space="preserve"> as the</w:t>
      </w:r>
      <w:r w:rsidR="00B905F2" w:rsidRPr="00A60130">
        <w:t xml:space="preserve"> specified property</w:t>
      </w:r>
      <w:r w:rsidR="00FF34F1">
        <w:t xml:space="preserve"> in this case</w:t>
      </w:r>
      <w:r w:rsidR="00B905F2" w:rsidRPr="00A60130">
        <w:t xml:space="preserve"> was already</w:t>
      </w:r>
      <w:r w:rsidR="00BB3FA5">
        <w:t xml:space="preserve"> banked and</w:t>
      </w:r>
      <w:r w:rsidR="00B905F2" w:rsidRPr="00A60130">
        <w:t xml:space="preserve"> under investigations at the time the 2017</w:t>
      </w:r>
      <w:r w:rsidR="00BB3FA5">
        <w:t xml:space="preserve"> </w:t>
      </w:r>
      <w:r w:rsidR="00B905F2" w:rsidRPr="00A60130">
        <w:t>amendment</w:t>
      </w:r>
      <w:r w:rsidR="00A60130" w:rsidRPr="00A60130">
        <w:t xml:space="preserve"> e</w:t>
      </w:r>
      <w:r w:rsidR="00BB3FA5">
        <w:t>x</w:t>
      </w:r>
      <w:r w:rsidR="00A60130" w:rsidRPr="00A60130">
        <w:t xml:space="preserve">cluding bank accounts </w:t>
      </w:r>
      <w:r w:rsidR="00BB3FA5">
        <w:t>came</w:t>
      </w:r>
      <w:r w:rsidR="00FF34F1">
        <w:t xml:space="preserve"> into</w:t>
      </w:r>
      <w:r w:rsidR="00BB3FA5">
        <w:t xml:space="preserve"> effect. Therefore</w:t>
      </w:r>
      <w:r w:rsidR="00CD5614">
        <w:t>,</w:t>
      </w:r>
      <w:r w:rsidR="00BB3FA5">
        <w:t xml:space="preserve"> </w:t>
      </w:r>
      <w:r w:rsidR="00A60130" w:rsidRPr="00A60130">
        <w:t xml:space="preserve">when bank accounts were once </w:t>
      </w:r>
      <w:r w:rsidR="00FF34F1">
        <w:t>again included in</w:t>
      </w:r>
      <w:r w:rsidR="00BB3FA5">
        <w:t xml:space="preserve"> amen</w:t>
      </w:r>
      <w:r w:rsidR="00A60130" w:rsidRPr="00A60130">
        <w:t>dment A</w:t>
      </w:r>
      <w:r w:rsidR="00CD5614">
        <w:t>ct 27 of 2020</w:t>
      </w:r>
      <w:r w:rsidR="00BB3FA5">
        <w:t xml:space="preserve"> </w:t>
      </w:r>
      <w:r w:rsidR="00BF6B67">
        <w:t>and a suspicious transaction report received</w:t>
      </w:r>
      <w:r w:rsidR="00CD5614">
        <w:t>,</w:t>
      </w:r>
      <w:r w:rsidR="00BF6B67">
        <w:t xml:space="preserve"> </w:t>
      </w:r>
      <w:r w:rsidR="00A60130" w:rsidRPr="00A60130">
        <w:t xml:space="preserve">the investigations </w:t>
      </w:r>
      <w:r w:rsidR="00FF34F1">
        <w:t>recommenced</w:t>
      </w:r>
      <w:r w:rsidR="00BB3FA5">
        <w:t xml:space="preserve"> </w:t>
      </w:r>
      <w:r w:rsidR="00A60130" w:rsidRPr="00A60130">
        <w:t>into the same specified property</w:t>
      </w:r>
      <w:r w:rsidR="00BB3FA5">
        <w:t xml:space="preserve"> </w:t>
      </w:r>
      <w:r w:rsidR="00A60130" w:rsidRPr="00A60130">
        <w:t>resulted in the filing of the present</w:t>
      </w:r>
      <w:r w:rsidR="00BB3FA5">
        <w:t xml:space="preserve"> </w:t>
      </w:r>
      <w:r w:rsidR="00A60130" w:rsidRPr="00A60130">
        <w:t xml:space="preserve">action. It cannot be </w:t>
      </w:r>
      <w:r w:rsidR="00FF34F1">
        <w:t>said that the amendment Act 10 of 2017</w:t>
      </w:r>
      <w:r w:rsidR="00A60130" w:rsidRPr="00A60130">
        <w:t xml:space="preserve"> </w:t>
      </w:r>
      <w:r w:rsidR="00FF34F1">
        <w:t xml:space="preserve">that excluded </w:t>
      </w:r>
      <w:r w:rsidR="00A60130" w:rsidRPr="00A60130">
        <w:t>bank accounts</w:t>
      </w:r>
      <w:r w:rsidR="006051F2">
        <w:t xml:space="preserve"> from the definition of property</w:t>
      </w:r>
      <w:r w:rsidR="00A60130" w:rsidRPr="00A60130">
        <w:t xml:space="preserve"> cleansed the illegal money in the bank</w:t>
      </w:r>
      <w:r w:rsidR="00CD5614">
        <w:t>,</w:t>
      </w:r>
      <w:r w:rsidR="00BB3FA5">
        <w:t xml:space="preserve"> which was banked </w:t>
      </w:r>
      <w:r w:rsidR="006051F2">
        <w:t xml:space="preserve">since 2012 </w:t>
      </w:r>
      <w:r w:rsidR="00BB3FA5">
        <w:t xml:space="preserve">prior to </w:t>
      </w:r>
      <w:r w:rsidR="00FF34F1">
        <w:t>A</w:t>
      </w:r>
      <w:r w:rsidR="00BF6B67">
        <w:t xml:space="preserve">ct </w:t>
      </w:r>
      <w:r w:rsidR="00FF34F1">
        <w:t xml:space="preserve">10 of </w:t>
      </w:r>
      <w:r w:rsidR="00BB3FA5">
        <w:t>2017 amendment came into effect</w:t>
      </w:r>
      <w:r w:rsidR="00A60130" w:rsidRPr="00A60130">
        <w:t xml:space="preserve">. </w:t>
      </w:r>
      <w:r w:rsidR="00BB3FA5">
        <w:t xml:space="preserve">The specified property was banked at the time </w:t>
      </w:r>
      <w:r w:rsidR="00CD5614">
        <w:t xml:space="preserve">when the </w:t>
      </w:r>
      <w:r w:rsidR="00BB3FA5">
        <w:t>bank accounts were included in the definition of property</w:t>
      </w:r>
      <w:r w:rsidR="00CA59E6">
        <w:t xml:space="preserve"> and</w:t>
      </w:r>
      <w:r w:rsidR="00CD5614">
        <w:t>,</w:t>
      </w:r>
      <w:r w:rsidR="00CA59E6">
        <w:t xml:space="preserve"> therefore</w:t>
      </w:r>
      <w:r w:rsidR="00CD5614">
        <w:t>,</w:t>
      </w:r>
      <w:r w:rsidR="00CA59E6">
        <w:t xml:space="preserve"> the entire sum could be investigated by the FIU</w:t>
      </w:r>
      <w:r w:rsidR="00BB3FA5">
        <w:t xml:space="preserve">. </w:t>
      </w:r>
      <w:r w:rsidR="00A60130" w:rsidRPr="00A60130">
        <w:t xml:space="preserve">As </w:t>
      </w:r>
      <w:r w:rsidR="00BB3FA5">
        <w:t xml:space="preserve">the money was banked </w:t>
      </w:r>
      <w:r w:rsidR="006051F2">
        <w:t xml:space="preserve">when currency in bank accounts were included as property subject to POCA as </w:t>
      </w:r>
      <w:r w:rsidR="00A60130" w:rsidRPr="00A60130">
        <w:t>long as the money remained in the bank it would be subject to further investigation and forfeiture the moment</w:t>
      </w:r>
      <w:r w:rsidR="00BB3FA5">
        <w:t xml:space="preserve"> </w:t>
      </w:r>
      <w:r w:rsidR="00FF34F1">
        <w:t>the amendment of 2020 came into force. I cannot accept the contention of lea</w:t>
      </w:r>
      <w:r w:rsidR="00CD5614">
        <w:t>rned Counsel for the Respondent</w:t>
      </w:r>
      <w:r w:rsidR="00FF34F1">
        <w:t xml:space="preserve"> that the Applicant cannot move under Section 4 of the POCA on the basis that the law does not apply to the specified property.</w:t>
      </w:r>
      <w:r w:rsidR="00BD0924">
        <w:t xml:space="preserve"> </w:t>
      </w:r>
      <w:r w:rsidR="00FF34F1">
        <w:t>I see no merit and proceed to dismiss this ground.</w:t>
      </w:r>
    </w:p>
    <w:p w14:paraId="2A517245" w14:textId="77777777" w:rsidR="002D1AD3" w:rsidRDefault="002D1AD3" w:rsidP="002D1AD3">
      <w:pPr>
        <w:pStyle w:val="JudgmentText"/>
        <w:numPr>
          <w:ilvl w:val="0"/>
          <w:numId w:val="0"/>
        </w:numPr>
        <w:tabs>
          <w:tab w:val="left" w:pos="720"/>
        </w:tabs>
        <w:ind w:left="720"/>
      </w:pPr>
    </w:p>
    <w:p w14:paraId="5DB70812" w14:textId="77777777" w:rsidR="00861FAB" w:rsidRPr="00352465" w:rsidRDefault="00861FAB" w:rsidP="00861FAB">
      <w:pPr>
        <w:pStyle w:val="JudgmentText"/>
        <w:numPr>
          <w:ilvl w:val="0"/>
          <w:numId w:val="0"/>
        </w:numPr>
        <w:tabs>
          <w:tab w:val="left" w:pos="720"/>
        </w:tabs>
        <w:ind w:left="720"/>
        <w:rPr>
          <w:b/>
        </w:rPr>
      </w:pPr>
      <w:r w:rsidRPr="00352465">
        <w:rPr>
          <w:b/>
        </w:rPr>
        <w:lastRenderedPageBreak/>
        <w:t>The Law</w:t>
      </w:r>
      <w:r w:rsidR="00B905F2" w:rsidRPr="00352465">
        <w:rPr>
          <w:b/>
        </w:rPr>
        <w:t xml:space="preserve"> </w:t>
      </w:r>
    </w:p>
    <w:p w14:paraId="6D45F1FA" w14:textId="7B6CA4BB" w:rsidR="006035B7" w:rsidRPr="00CD5614" w:rsidRDefault="00861FAB" w:rsidP="00836E9E">
      <w:pPr>
        <w:pStyle w:val="JudgmentText"/>
        <w:tabs>
          <w:tab w:val="left" w:pos="720"/>
        </w:tabs>
      </w:pPr>
      <w:r>
        <w:t>S</w:t>
      </w:r>
      <w:r w:rsidR="006035B7" w:rsidRPr="00861FAB">
        <w:t>ection 4 of POCA requires proof that:</w:t>
      </w:r>
    </w:p>
    <w:p w14:paraId="2F60E71A" w14:textId="77777777" w:rsidR="006035B7" w:rsidRPr="00F75319" w:rsidRDefault="006035B7" w:rsidP="00F75319">
      <w:pPr>
        <w:pStyle w:val="ListParagraph"/>
        <w:numPr>
          <w:ilvl w:val="0"/>
          <w:numId w:val="14"/>
        </w:numPr>
        <w:spacing w:after="0" w:line="240" w:lineRule="auto"/>
        <w:jc w:val="both"/>
        <w:rPr>
          <w:rFonts w:ascii="Times New Roman" w:hAnsi="Times New Roman" w:cs="Times New Roman"/>
          <w:i/>
          <w:sz w:val="24"/>
          <w:szCs w:val="24"/>
        </w:rPr>
      </w:pPr>
      <w:r w:rsidRPr="00F75319">
        <w:rPr>
          <w:rFonts w:ascii="Times New Roman" w:hAnsi="Times New Roman" w:cs="Times New Roman"/>
          <w:i/>
          <w:sz w:val="24"/>
          <w:szCs w:val="24"/>
        </w:rPr>
        <w:t xml:space="preserve">A person is in </w:t>
      </w:r>
      <w:r w:rsidRPr="00F75319">
        <w:rPr>
          <w:rFonts w:ascii="Times New Roman" w:hAnsi="Times New Roman" w:cs="Times New Roman"/>
          <w:i/>
          <w:sz w:val="24"/>
          <w:szCs w:val="24"/>
          <w:u w:val="single"/>
        </w:rPr>
        <w:t>possession or control</w:t>
      </w:r>
      <w:r w:rsidRPr="00F75319">
        <w:rPr>
          <w:rFonts w:ascii="Times New Roman" w:hAnsi="Times New Roman" w:cs="Times New Roman"/>
          <w:i/>
          <w:sz w:val="24"/>
          <w:szCs w:val="24"/>
        </w:rPr>
        <w:t xml:space="preserve"> of – </w:t>
      </w:r>
    </w:p>
    <w:p w14:paraId="338E9DD9" w14:textId="77777777" w:rsidR="006035B7" w:rsidRPr="00F75319" w:rsidRDefault="006035B7" w:rsidP="00F75319">
      <w:pPr>
        <w:pStyle w:val="ListParagraph"/>
        <w:spacing w:after="0" w:line="240" w:lineRule="auto"/>
        <w:ind w:left="2160"/>
        <w:jc w:val="both"/>
        <w:rPr>
          <w:rFonts w:ascii="Times New Roman" w:hAnsi="Times New Roman" w:cs="Times New Roman"/>
          <w:i/>
          <w:sz w:val="24"/>
          <w:szCs w:val="24"/>
        </w:rPr>
      </w:pPr>
    </w:p>
    <w:p w14:paraId="014A59AA" w14:textId="77777777" w:rsidR="006035B7" w:rsidRPr="00F75319" w:rsidRDefault="006035B7" w:rsidP="00F75319">
      <w:pPr>
        <w:pStyle w:val="ListParagraph"/>
        <w:numPr>
          <w:ilvl w:val="0"/>
          <w:numId w:val="15"/>
        </w:numPr>
        <w:spacing w:after="0" w:line="240" w:lineRule="auto"/>
        <w:jc w:val="both"/>
        <w:rPr>
          <w:rFonts w:ascii="Times New Roman" w:hAnsi="Times New Roman" w:cs="Times New Roman"/>
          <w:i/>
          <w:sz w:val="24"/>
          <w:szCs w:val="24"/>
        </w:rPr>
      </w:pPr>
      <w:r w:rsidRPr="00F75319">
        <w:rPr>
          <w:rFonts w:ascii="Times New Roman" w:hAnsi="Times New Roman" w:cs="Times New Roman"/>
          <w:i/>
          <w:sz w:val="24"/>
          <w:szCs w:val="24"/>
        </w:rPr>
        <w:t xml:space="preserve">Specified property and that the </w:t>
      </w:r>
      <w:r w:rsidRPr="00F75319">
        <w:rPr>
          <w:rFonts w:ascii="Times New Roman" w:hAnsi="Times New Roman" w:cs="Times New Roman"/>
          <w:i/>
          <w:sz w:val="24"/>
          <w:szCs w:val="24"/>
          <w:u w:val="single"/>
        </w:rPr>
        <w:t>property constitutes</w:t>
      </w:r>
      <w:r w:rsidRPr="00F75319">
        <w:rPr>
          <w:rFonts w:ascii="Times New Roman" w:hAnsi="Times New Roman" w:cs="Times New Roman"/>
          <w:i/>
          <w:sz w:val="24"/>
          <w:szCs w:val="24"/>
        </w:rPr>
        <w:t xml:space="preserve">, directly or indirectly, </w:t>
      </w:r>
      <w:r w:rsidRPr="00F75319">
        <w:rPr>
          <w:rFonts w:ascii="Times New Roman" w:hAnsi="Times New Roman" w:cs="Times New Roman"/>
          <w:i/>
          <w:sz w:val="24"/>
          <w:szCs w:val="24"/>
          <w:u w:val="single"/>
        </w:rPr>
        <w:t>benefit from criminal conduct</w:t>
      </w:r>
      <w:r w:rsidRPr="00F75319">
        <w:rPr>
          <w:rFonts w:ascii="Times New Roman" w:hAnsi="Times New Roman" w:cs="Times New Roman"/>
          <w:i/>
          <w:sz w:val="24"/>
          <w:szCs w:val="24"/>
        </w:rPr>
        <w:t>; or</w:t>
      </w:r>
    </w:p>
    <w:p w14:paraId="1C5E7B58" w14:textId="77777777" w:rsidR="006035B7" w:rsidRPr="00F75319" w:rsidRDefault="006035B7" w:rsidP="00F75319">
      <w:pPr>
        <w:pStyle w:val="ListParagraph"/>
        <w:numPr>
          <w:ilvl w:val="0"/>
          <w:numId w:val="15"/>
        </w:numPr>
        <w:spacing w:after="0" w:line="240" w:lineRule="auto"/>
        <w:jc w:val="both"/>
        <w:rPr>
          <w:rFonts w:ascii="Times New Roman" w:hAnsi="Times New Roman" w:cs="Times New Roman"/>
          <w:i/>
          <w:sz w:val="24"/>
          <w:szCs w:val="24"/>
        </w:rPr>
      </w:pPr>
      <w:r w:rsidRPr="00F75319">
        <w:rPr>
          <w:rFonts w:ascii="Times New Roman" w:hAnsi="Times New Roman" w:cs="Times New Roman"/>
          <w:i/>
          <w:sz w:val="24"/>
          <w:szCs w:val="24"/>
        </w:rPr>
        <w:t xml:space="preserve">Specified property that was </w:t>
      </w:r>
      <w:r w:rsidRPr="00F75319">
        <w:rPr>
          <w:rFonts w:ascii="Times New Roman" w:hAnsi="Times New Roman" w:cs="Times New Roman"/>
          <w:i/>
          <w:sz w:val="24"/>
          <w:szCs w:val="24"/>
          <w:u w:val="single"/>
        </w:rPr>
        <w:t>acquired</w:t>
      </w:r>
      <w:r w:rsidRPr="00F75319">
        <w:rPr>
          <w:rFonts w:ascii="Times New Roman" w:hAnsi="Times New Roman" w:cs="Times New Roman"/>
          <w:i/>
          <w:sz w:val="24"/>
          <w:szCs w:val="24"/>
        </w:rPr>
        <w:t xml:space="preserve">, in whole or in part, with or in connection with property that, directly or indirectly, constitutes </w:t>
      </w:r>
      <w:r w:rsidRPr="00F75319">
        <w:rPr>
          <w:rFonts w:ascii="Times New Roman" w:hAnsi="Times New Roman" w:cs="Times New Roman"/>
          <w:i/>
          <w:sz w:val="24"/>
          <w:szCs w:val="24"/>
          <w:u w:val="single"/>
        </w:rPr>
        <w:t>benefit from criminal conduct</w:t>
      </w:r>
      <w:r w:rsidRPr="00F75319">
        <w:rPr>
          <w:rFonts w:ascii="Times New Roman" w:hAnsi="Times New Roman" w:cs="Times New Roman"/>
          <w:i/>
          <w:sz w:val="24"/>
          <w:szCs w:val="24"/>
        </w:rPr>
        <w:t>; and</w:t>
      </w:r>
    </w:p>
    <w:p w14:paraId="6FAE955E" w14:textId="77777777" w:rsidR="006035B7" w:rsidRPr="00F75319" w:rsidRDefault="006035B7" w:rsidP="00F75319">
      <w:pPr>
        <w:spacing w:after="0" w:line="240" w:lineRule="auto"/>
        <w:jc w:val="both"/>
        <w:rPr>
          <w:rFonts w:ascii="Times New Roman" w:hAnsi="Times New Roman" w:cs="Times New Roman"/>
          <w:i/>
          <w:sz w:val="24"/>
          <w:szCs w:val="24"/>
        </w:rPr>
      </w:pPr>
    </w:p>
    <w:p w14:paraId="17A5178C" w14:textId="77777777" w:rsidR="006035B7" w:rsidRPr="00F75319" w:rsidRDefault="006035B7" w:rsidP="00F75319">
      <w:pPr>
        <w:pStyle w:val="ListParagraph"/>
        <w:numPr>
          <w:ilvl w:val="0"/>
          <w:numId w:val="14"/>
        </w:numPr>
        <w:spacing w:after="0" w:line="240" w:lineRule="auto"/>
        <w:jc w:val="both"/>
        <w:rPr>
          <w:rFonts w:ascii="Times New Roman" w:hAnsi="Times New Roman" w:cs="Times New Roman"/>
          <w:i/>
          <w:sz w:val="24"/>
          <w:szCs w:val="24"/>
        </w:rPr>
      </w:pPr>
      <w:r w:rsidRPr="00F75319">
        <w:rPr>
          <w:rFonts w:ascii="Times New Roman" w:hAnsi="Times New Roman" w:cs="Times New Roman"/>
          <w:i/>
          <w:sz w:val="24"/>
          <w:szCs w:val="24"/>
        </w:rPr>
        <w:t>The value of the property or the total value of the property referred to in sub-paragraphs (i) and (ii) of paragraph (a) is not less than R50,000.</w:t>
      </w:r>
    </w:p>
    <w:p w14:paraId="33851061" w14:textId="77777777" w:rsidR="006035B7" w:rsidRPr="00134101" w:rsidRDefault="006035B7" w:rsidP="00836E9E">
      <w:pPr>
        <w:pStyle w:val="ListParagraph"/>
        <w:spacing w:after="0" w:line="360" w:lineRule="auto"/>
        <w:ind w:left="2160"/>
        <w:jc w:val="both"/>
        <w:rPr>
          <w:rFonts w:ascii="Times New Roman" w:hAnsi="Times New Roman" w:cs="Times New Roman"/>
          <w:sz w:val="24"/>
          <w:szCs w:val="24"/>
        </w:rPr>
      </w:pPr>
    </w:p>
    <w:p w14:paraId="12D22DC3" w14:textId="36DCCAED" w:rsidR="006035B7" w:rsidRDefault="00861FAB" w:rsidP="006C2C4A">
      <w:pPr>
        <w:pStyle w:val="JudgmentText"/>
      </w:pPr>
      <w:r>
        <w:t xml:space="preserve">For all the aforementioned reasons, I am satisfied that the Applicant has satisfied </w:t>
      </w:r>
      <w:r w:rsidR="00CD5614">
        <w:t xml:space="preserve">the </w:t>
      </w:r>
      <w:r>
        <w:t xml:space="preserve">Court on a balance of probabilities that the specified property in this case referred to in the table </w:t>
      </w:r>
      <w:r w:rsidR="00B85179">
        <w:t>of the M</w:t>
      </w:r>
      <w:r w:rsidR="00FF34F1">
        <w:t>otion and in paragraph [1]</w:t>
      </w:r>
      <w:r>
        <w:t xml:space="preserve"> herein constitutes </w:t>
      </w:r>
      <w:r w:rsidR="006C2C4A">
        <w:t>benefit from criminal conduct and</w:t>
      </w:r>
      <w:r w:rsidR="00FF34F1">
        <w:t xml:space="preserve"> proceeds of crime and </w:t>
      </w:r>
      <w:r w:rsidR="00352465">
        <w:t xml:space="preserve">its value </w:t>
      </w:r>
      <w:r w:rsidR="006C2C4A">
        <w:t>is over SCR 50,000.</w:t>
      </w:r>
      <w:r w:rsidR="00BD0924">
        <w:t xml:space="preserve"> </w:t>
      </w:r>
      <w:r w:rsidR="006035B7" w:rsidRPr="00861FAB">
        <w:t xml:space="preserve"> In </w:t>
      </w:r>
      <w:r w:rsidR="006035B7" w:rsidRPr="006C2C4A">
        <w:rPr>
          <w:i/>
        </w:rPr>
        <w:t>Financial Intelligence Unit v Contact Lenses Ltd &amp; Others</w:t>
      </w:r>
      <w:r w:rsidR="006C2C4A">
        <w:t xml:space="preserve"> supra </w:t>
      </w:r>
      <w:r w:rsidR="006035B7" w:rsidRPr="00861FAB">
        <w:t xml:space="preserve">it was held that: </w:t>
      </w:r>
      <w:r w:rsidR="006035B7" w:rsidRPr="006C2C4A">
        <w:rPr>
          <w:i/>
        </w:rPr>
        <w:t>“once the applicant establishes his belief that the property is the proceeds of crime, the burden of proof shifts to the respondent to show that it is not.”</w:t>
      </w:r>
      <w:r w:rsidR="006C2C4A">
        <w:t xml:space="preserve"> The Respondent has failed to show that it is not.</w:t>
      </w:r>
    </w:p>
    <w:p w14:paraId="2432411F" w14:textId="77777777" w:rsidR="00235626" w:rsidRDefault="006C2C4A" w:rsidP="004878BF">
      <w:pPr>
        <w:pStyle w:val="JudgmentText"/>
      </w:pPr>
      <w:r>
        <w:t>I therefore proceed to make the following orders</w:t>
      </w:r>
      <w:r w:rsidR="00352465">
        <w:t>:</w:t>
      </w:r>
    </w:p>
    <w:p w14:paraId="43634EF8" w14:textId="1901BA41" w:rsidR="006B4935" w:rsidRDefault="00352465" w:rsidP="006B4935">
      <w:pPr>
        <w:pStyle w:val="JudgmentText"/>
        <w:numPr>
          <w:ilvl w:val="0"/>
          <w:numId w:val="29"/>
        </w:numPr>
        <w:ind w:left="1440"/>
      </w:pPr>
      <w:r>
        <w:t>An interlocutory order pursuant to Section 4 of the Proceeds of Crime (Civil Confiscation) Act, 2008 (the POCA),</w:t>
      </w:r>
      <w:r w:rsidR="006B4935">
        <w:t xml:space="preserve"> prohibiting the Respondent Ge-</w:t>
      </w:r>
      <w:r>
        <w:t xml:space="preserve">Geology Limited or any other person having notice of the making of this order from disposing of or otherwise dealing with whole or any part of the property set out in the </w:t>
      </w:r>
      <w:r w:rsidRPr="006B7BC6">
        <w:t>table</w:t>
      </w:r>
      <w:r w:rsidR="00BD0924">
        <w:rPr>
          <w:b/>
        </w:rPr>
        <w:t xml:space="preserve"> </w:t>
      </w:r>
      <w:r w:rsidR="006B4935">
        <w:t>appended to this Notice of M</w:t>
      </w:r>
      <w:r>
        <w:t>otion and described in paragraph [1] herein or diminishing its value and;</w:t>
      </w:r>
    </w:p>
    <w:p w14:paraId="613F3667" w14:textId="77777777" w:rsidR="006B4935" w:rsidRDefault="00352465" w:rsidP="006B4935">
      <w:pPr>
        <w:pStyle w:val="JudgmentText"/>
        <w:numPr>
          <w:ilvl w:val="0"/>
          <w:numId w:val="29"/>
        </w:numPr>
        <w:ind w:left="1440"/>
      </w:pPr>
      <w:r>
        <w:t>An order pursuant to Section 8 of the POCA, appointing Superintendent Hein Prinsloo, to be a Receiver of all or part of the property to manage, to keep possession or dispose of or otherwise deal with any other property in respect of which he is appointed in accordance with the Court’s directions and;</w:t>
      </w:r>
    </w:p>
    <w:p w14:paraId="5EB36029" w14:textId="3D83F76F" w:rsidR="00352465" w:rsidRPr="00B85179" w:rsidRDefault="00352465" w:rsidP="00B85179">
      <w:pPr>
        <w:pStyle w:val="JudgmentText"/>
        <w:numPr>
          <w:ilvl w:val="0"/>
          <w:numId w:val="29"/>
        </w:numPr>
        <w:ind w:left="1440"/>
      </w:pPr>
      <w:r>
        <w:lastRenderedPageBreak/>
        <w:t>An order that a copy of this Order be served on the Respondent or his Counsel Mr Frank Elizabeth</w:t>
      </w:r>
      <w:r w:rsidR="003A31EE">
        <w:t xml:space="preserve"> and Al Salam Bank</w:t>
      </w:r>
      <w:r>
        <w:t>.</w:t>
      </w:r>
    </w:p>
    <w:p w14:paraId="227CFA3C" w14:textId="77777777" w:rsidR="00235626" w:rsidRPr="00134101" w:rsidRDefault="00235626" w:rsidP="00836E9E">
      <w:pPr>
        <w:keepNext/>
        <w:spacing w:line="360" w:lineRule="auto"/>
        <w:jc w:val="both"/>
        <w:rPr>
          <w:rFonts w:ascii="Times New Roman" w:hAnsi="Times New Roman" w:cs="Times New Roman"/>
          <w:sz w:val="24"/>
          <w:szCs w:val="24"/>
        </w:rPr>
      </w:pPr>
      <w:r w:rsidRPr="00134101">
        <w:rPr>
          <w:rFonts w:ascii="Times New Roman" w:hAnsi="Times New Roman" w:cs="Times New Roman"/>
          <w:sz w:val="24"/>
          <w:szCs w:val="24"/>
        </w:rPr>
        <w:t>Signed, dated and delivered at Ile du Port</w:t>
      </w:r>
      <w:r w:rsidR="00EF13E2" w:rsidRPr="00134101">
        <w:rPr>
          <w:rFonts w:ascii="Times New Roman" w:hAnsi="Times New Roman" w:cs="Times New Roman"/>
          <w:sz w:val="24"/>
          <w:szCs w:val="24"/>
        </w:rPr>
        <w:t xml:space="preserve"> on </w:t>
      </w:r>
      <w:r w:rsidR="006C2C4A">
        <w:rPr>
          <w:rFonts w:ascii="Times New Roman" w:hAnsi="Times New Roman" w:cs="Times New Roman"/>
          <w:sz w:val="24"/>
          <w:szCs w:val="24"/>
        </w:rPr>
        <w:t>22 September 2023</w:t>
      </w:r>
    </w:p>
    <w:p w14:paraId="2F989482" w14:textId="77777777" w:rsidR="00235626" w:rsidRPr="00134101" w:rsidRDefault="00235626" w:rsidP="00836E9E">
      <w:pPr>
        <w:keepNext/>
        <w:spacing w:line="360" w:lineRule="auto"/>
        <w:jc w:val="both"/>
        <w:rPr>
          <w:rFonts w:ascii="Times New Roman" w:hAnsi="Times New Roman" w:cs="Times New Roman"/>
          <w:sz w:val="24"/>
          <w:szCs w:val="24"/>
        </w:rPr>
      </w:pPr>
    </w:p>
    <w:p w14:paraId="0B86085C" w14:textId="77777777" w:rsidR="00235626" w:rsidRPr="00134101" w:rsidRDefault="00235626" w:rsidP="00836E9E">
      <w:pPr>
        <w:keepNext/>
        <w:spacing w:line="360" w:lineRule="auto"/>
        <w:jc w:val="both"/>
        <w:rPr>
          <w:rFonts w:ascii="Times New Roman" w:hAnsi="Times New Roman" w:cs="Times New Roman"/>
          <w:sz w:val="24"/>
          <w:szCs w:val="24"/>
        </w:rPr>
      </w:pPr>
      <w:r w:rsidRPr="00134101">
        <w:rPr>
          <w:rFonts w:ascii="Times New Roman" w:hAnsi="Times New Roman" w:cs="Times New Roman"/>
          <w:sz w:val="24"/>
          <w:szCs w:val="24"/>
        </w:rPr>
        <w:t>____________</w:t>
      </w:r>
    </w:p>
    <w:p w14:paraId="5C09E856" w14:textId="3E7E81BF" w:rsidR="00E74CD4" w:rsidRPr="00134101" w:rsidRDefault="00D3450A" w:rsidP="00836E9E">
      <w:pPr>
        <w:keepNext/>
        <w:spacing w:line="360" w:lineRule="auto"/>
        <w:jc w:val="both"/>
        <w:rPr>
          <w:rFonts w:ascii="Times New Roman" w:hAnsi="Times New Roman" w:cs="Times New Roman"/>
          <w:sz w:val="24"/>
          <w:szCs w:val="24"/>
        </w:rPr>
      </w:pPr>
      <w:r w:rsidRPr="00134101">
        <w:rPr>
          <w:rFonts w:ascii="Times New Roman" w:hAnsi="Times New Roman" w:cs="Times New Roman"/>
          <w:sz w:val="24"/>
          <w:szCs w:val="24"/>
        </w:rPr>
        <w:t>M Burhan J</w:t>
      </w:r>
    </w:p>
    <w:sectPr w:rsidR="00E74CD4" w:rsidRPr="0013410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7444" w14:textId="77777777" w:rsidR="00A52D6C" w:rsidRDefault="00A52D6C" w:rsidP="006A68E2">
      <w:pPr>
        <w:spacing w:after="0" w:line="240" w:lineRule="auto"/>
      </w:pPr>
      <w:r>
        <w:separator/>
      </w:r>
    </w:p>
  </w:endnote>
  <w:endnote w:type="continuationSeparator" w:id="0">
    <w:p w14:paraId="222FB86B" w14:textId="77777777" w:rsidR="00A52D6C" w:rsidRDefault="00A52D6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D2E2837" w14:textId="21C471F8" w:rsidR="00811A1A" w:rsidRDefault="00811A1A">
        <w:pPr>
          <w:pStyle w:val="Footer"/>
          <w:jc w:val="center"/>
        </w:pPr>
        <w:r>
          <w:fldChar w:fldCharType="begin"/>
        </w:r>
        <w:r>
          <w:instrText xml:space="preserve"> PAGE   \* MERGEFORMAT </w:instrText>
        </w:r>
        <w:r>
          <w:fldChar w:fldCharType="separate"/>
        </w:r>
        <w:r w:rsidR="00060861">
          <w:rPr>
            <w:noProof/>
          </w:rPr>
          <w:t>1</w:t>
        </w:r>
        <w:r>
          <w:rPr>
            <w:noProof/>
          </w:rPr>
          <w:fldChar w:fldCharType="end"/>
        </w:r>
      </w:p>
    </w:sdtContent>
  </w:sdt>
  <w:p w14:paraId="5EC991A8" w14:textId="77777777" w:rsidR="00811A1A" w:rsidRDefault="0081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053CE" w14:textId="77777777" w:rsidR="00A52D6C" w:rsidRDefault="00A52D6C" w:rsidP="006A68E2">
      <w:pPr>
        <w:spacing w:after="0" w:line="240" w:lineRule="auto"/>
      </w:pPr>
      <w:r>
        <w:separator/>
      </w:r>
    </w:p>
  </w:footnote>
  <w:footnote w:type="continuationSeparator" w:id="0">
    <w:p w14:paraId="75AD4A50" w14:textId="77777777" w:rsidR="00A52D6C" w:rsidRDefault="00A52D6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882"/>
    <w:multiLevelType w:val="hybridMultilevel"/>
    <w:tmpl w:val="3E4C7106"/>
    <w:lvl w:ilvl="0" w:tplc="EB92E7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A511CC"/>
    <w:multiLevelType w:val="hybridMultilevel"/>
    <w:tmpl w:val="E50A5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5F2A"/>
    <w:multiLevelType w:val="hybridMultilevel"/>
    <w:tmpl w:val="3D52D768"/>
    <w:lvl w:ilvl="0" w:tplc="E73A2094">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AA7382"/>
    <w:multiLevelType w:val="hybridMultilevel"/>
    <w:tmpl w:val="57D87A58"/>
    <w:lvl w:ilvl="0" w:tplc="D256B2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41C1B"/>
    <w:multiLevelType w:val="hybridMultilevel"/>
    <w:tmpl w:val="FBAEE5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54AB8"/>
    <w:multiLevelType w:val="multilevel"/>
    <w:tmpl w:val="98BE1712"/>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47346203"/>
    <w:multiLevelType w:val="hybridMultilevel"/>
    <w:tmpl w:val="4E187634"/>
    <w:lvl w:ilvl="0" w:tplc="CDCECCFA">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BE679D"/>
    <w:multiLevelType w:val="hybridMultilevel"/>
    <w:tmpl w:val="190C235A"/>
    <w:lvl w:ilvl="0" w:tplc="AB22E49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44F18C1"/>
    <w:multiLevelType w:val="hybridMultilevel"/>
    <w:tmpl w:val="A02AD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294DBF"/>
    <w:multiLevelType w:val="hybridMultilevel"/>
    <w:tmpl w:val="FCE44B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575B00C3"/>
    <w:multiLevelType w:val="hybridMultilevel"/>
    <w:tmpl w:val="C458FB7C"/>
    <w:lvl w:ilvl="0" w:tplc="9754EB3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B1A3550"/>
    <w:multiLevelType w:val="hybridMultilevel"/>
    <w:tmpl w:val="B1C44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3345D"/>
    <w:multiLevelType w:val="hybridMultilevel"/>
    <w:tmpl w:val="5574952E"/>
    <w:lvl w:ilvl="0" w:tplc="FD96217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D35586A"/>
    <w:multiLevelType w:val="hybridMultilevel"/>
    <w:tmpl w:val="251645C0"/>
    <w:lvl w:ilvl="0" w:tplc="4BCA13FA">
      <w:start w:val="1"/>
      <w:numFmt w:val="decimal"/>
      <w:lvlText w:val="%1."/>
      <w:lvlJc w:val="left"/>
      <w:pPr>
        <w:ind w:left="90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416168"/>
    <w:multiLevelType w:val="hybridMultilevel"/>
    <w:tmpl w:val="8356E474"/>
    <w:lvl w:ilvl="0" w:tplc="34122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DDC3AE3"/>
    <w:multiLevelType w:val="hybridMultilevel"/>
    <w:tmpl w:val="05A4A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4"/>
  </w:num>
  <w:num w:numId="8">
    <w:abstractNumId w:val="14"/>
  </w:num>
  <w:num w:numId="9">
    <w:abstractNumId w:val="1"/>
  </w:num>
  <w:num w:numId="10">
    <w:abstractNumId w:val="14"/>
  </w:num>
  <w:num w:numId="11">
    <w:abstractNumId w:val="14"/>
  </w:num>
  <w:num w:numId="12">
    <w:abstractNumId w:val="1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0"/>
  </w:num>
  <w:num w:numId="27">
    <w:abstractNumId w:val="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0A"/>
    <w:rsid w:val="00025CDF"/>
    <w:rsid w:val="00040193"/>
    <w:rsid w:val="00042E42"/>
    <w:rsid w:val="0004571E"/>
    <w:rsid w:val="000515B7"/>
    <w:rsid w:val="00060271"/>
    <w:rsid w:val="00060861"/>
    <w:rsid w:val="00060B3C"/>
    <w:rsid w:val="00071B84"/>
    <w:rsid w:val="0008560D"/>
    <w:rsid w:val="0009242F"/>
    <w:rsid w:val="00097A45"/>
    <w:rsid w:val="00097D19"/>
    <w:rsid w:val="000B26EC"/>
    <w:rsid w:val="000B5B47"/>
    <w:rsid w:val="000D4BDC"/>
    <w:rsid w:val="000D6EA8"/>
    <w:rsid w:val="000E1B39"/>
    <w:rsid w:val="000F69CE"/>
    <w:rsid w:val="001135C2"/>
    <w:rsid w:val="001303D3"/>
    <w:rsid w:val="00134101"/>
    <w:rsid w:val="001428B9"/>
    <w:rsid w:val="001723B1"/>
    <w:rsid w:val="00174236"/>
    <w:rsid w:val="00184F4C"/>
    <w:rsid w:val="00197FF4"/>
    <w:rsid w:val="001B1E00"/>
    <w:rsid w:val="001C78EC"/>
    <w:rsid w:val="001D33D2"/>
    <w:rsid w:val="002015F8"/>
    <w:rsid w:val="00203EB9"/>
    <w:rsid w:val="00212006"/>
    <w:rsid w:val="0021402A"/>
    <w:rsid w:val="00214DB4"/>
    <w:rsid w:val="00235626"/>
    <w:rsid w:val="00243AE1"/>
    <w:rsid w:val="00245165"/>
    <w:rsid w:val="00246DFC"/>
    <w:rsid w:val="002A58F1"/>
    <w:rsid w:val="002C4371"/>
    <w:rsid w:val="002D1AD3"/>
    <w:rsid w:val="002D4EB8"/>
    <w:rsid w:val="002E2AE3"/>
    <w:rsid w:val="002E2B10"/>
    <w:rsid w:val="002F6A5C"/>
    <w:rsid w:val="003137B8"/>
    <w:rsid w:val="003336CF"/>
    <w:rsid w:val="00344425"/>
    <w:rsid w:val="00346D7F"/>
    <w:rsid w:val="00352465"/>
    <w:rsid w:val="003615E7"/>
    <w:rsid w:val="00380619"/>
    <w:rsid w:val="00396E31"/>
    <w:rsid w:val="003A31EE"/>
    <w:rsid w:val="003A6C9E"/>
    <w:rsid w:val="003B50DC"/>
    <w:rsid w:val="003C6CFF"/>
    <w:rsid w:val="003E2E94"/>
    <w:rsid w:val="00401C9D"/>
    <w:rsid w:val="00403F4C"/>
    <w:rsid w:val="00405958"/>
    <w:rsid w:val="0040671E"/>
    <w:rsid w:val="00412994"/>
    <w:rsid w:val="00415BFB"/>
    <w:rsid w:val="00415CF6"/>
    <w:rsid w:val="0044720C"/>
    <w:rsid w:val="00463B4E"/>
    <w:rsid w:val="00472219"/>
    <w:rsid w:val="004878BF"/>
    <w:rsid w:val="004930A9"/>
    <w:rsid w:val="004A2599"/>
    <w:rsid w:val="004C16E0"/>
    <w:rsid w:val="004F7C4A"/>
    <w:rsid w:val="00511480"/>
    <w:rsid w:val="00516C37"/>
    <w:rsid w:val="00523F8F"/>
    <w:rsid w:val="00545D3B"/>
    <w:rsid w:val="00570D0B"/>
    <w:rsid w:val="00580B07"/>
    <w:rsid w:val="005A5FCB"/>
    <w:rsid w:val="005B12AA"/>
    <w:rsid w:val="005B1C9E"/>
    <w:rsid w:val="005C073B"/>
    <w:rsid w:val="005E2ACC"/>
    <w:rsid w:val="006035B7"/>
    <w:rsid w:val="00603CA0"/>
    <w:rsid w:val="006051F2"/>
    <w:rsid w:val="0061354A"/>
    <w:rsid w:val="00635504"/>
    <w:rsid w:val="00652326"/>
    <w:rsid w:val="0065464D"/>
    <w:rsid w:val="00662A25"/>
    <w:rsid w:val="00662CEA"/>
    <w:rsid w:val="00666398"/>
    <w:rsid w:val="0068093E"/>
    <w:rsid w:val="00683D65"/>
    <w:rsid w:val="006A68E2"/>
    <w:rsid w:val="006B4935"/>
    <w:rsid w:val="006B7BC6"/>
    <w:rsid w:val="006C2C4A"/>
    <w:rsid w:val="006F2EB8"/>
    <w:rsid w:val="00701F88"/>
    <w:rsid w:val="0070371E"/>
    <w:rsid w:val="00722761"/>
    <w:rsid w:val="007276A6"/>
    <w:rsid w:val="00730DB9"/>
    <w:rsid w:val="00734060"/>
    <w:rsid w:val="007447D1"/>
    <w:rsid w:val="007724D8"/>
    <w:rsid w:val="00793EB3"/>
    <w:rsid w:val="00796B89"/>
    <w:rsid w:val="007A4694"/>
    <w:rsid w:val="007B61EF"/>
    <w:rsid w:val="007C47D9"/>
    <w:rsid w:val="007D25FE"/>
    <w:rsid w:val="007D7E82"/>
    <w:rsid w:val="007F275C"/>
    <w:rsid w:val="008001C8"/>
    <w:rsid w:val="00803251"/>
    <w:rsid w:val="00811A1A"/>
    <w:rsid w:val="00836E9E"/>
    <w:rsid w:val="008577B7"/>
    <w:rsid w:val="00861FAB"/>
    <w:rsid w:val="008B6538"/>
    <w:rsid w:val="008E771B"/>
    <w:rsid w:val="008F4D6E"/>
    <w:rsid w:val="009070F9"/>
    <w:rsid w:val="009108D3"/>
    <w:rsid w:val="009439F7"/>
    <w:rsid w:val="00951BBD"/>
    <w:rsid w:val="009539C2"/>
    <w:rsid w:val="00976464"/>
    <w:rsid w:val="0098673D"/>
    <w:rsid w:val="00992F09"/>
    <w:rsid w:val="00993663"/>
    <w:rsid w:val="009A769C"/>
    <w:rsid w:val="009B495E"/>
    <w:rsid w:val="009B4A5C"/>
    <w:rsid w:val="009B6545"/>
    <w:rsid w:val="009B6826"/>
    <w:rsid w:val="009D0A1D"/>
    <w:rsid w:val="009F125D"/>
    <w:rsid w:val="009F4F84"/>
    <w:rsid w:val="00A03A2B"/>
    <w:rsid w:val="00A2058F"/>
    <w:rsid w:val="00A27DE1"/>
    <w:rsid w:val="00A52D6C"/>
    <w:rsid w:val="00A60130"/>
    <w:rsid w:val="00A61E0F"/>
    <w:rsid w:val="00A65866"/>
    <w:rsid w:val="00A74D80"/>
    <w:rsid w:val="00A7697E"/>
    <w:rsid w:val="00AC475E"/>
    <w:rsid w:val="00AD4E69"/>
    <w:rsid w:val="00B03209"/>
    <w:rsid w:val="00B16FE3"/>
    <w:rsid w:val="00B46504"/>
    <w:rsid w:val="00B46FC6"/>
    <w:rsid w:val="00B7749B"/>
    <w:rsid w:val="00B85179"/>
    <w:rsid w:val="00B8564F"/>
    <w:rsid w:val="00B87845"/>
    <w:rsid w:val="00B905F2"/>
    <w:rsid w:val="00B950DF"/>
    <w:rsid w:val="00BA348A"/>
    <w:rsid w:val="00BB1A3E"/>
    <w:rsid w:val="00BB3FA5"/>
    <w:rsid w:val="00BC200A"/>
    <w:rsid w:val="00BC57C8"/>
    <w:rsid w:val="00BC73B1"/>
    <w:rsid w:val="00BD0924"/>
    <w:rsid w:val="00BF6B67"/>
    <w:rsid w:val="00C01513"/>
    <w:rsid w:val="00C112FA"/>
    <w:rsid w:val="00C2466E"/>
    <w:rsid w:val="00C32259"/>
    <w:rsid w:val="00C32574"/>
    <w:rsid w:val="00C50C23"/>
    <w:rsid w:val="00C55163"/>
    <w:rsid w:val="00C652B8"/>
    <w:rsid w:val="00C9449D"/>
    <w:rsid w:val="00CA59E6"/>
    <w:rsid w:val="00CB4358"/>
    <w:rsid w:val="00CC437E"/>
    <w:rsid w:val="00CD09C7"/>
    <w:rsid w:val="00CD5614"/>
    <w:rsid w:val="00CE584E"/>
    <w:rsid w:val="00D04535"/>
    <w:rsid w:val="00D05BE1"/>
    <w:rsid w:val="00D22BE2"/>
    <w:rsid w:val="00D31F1B"/>
    <w:rsid w:val="00D33DBF"/>
    <w:rsid w:val="00D3450A"/>
    <w:rsid w:val="00D3591A"/>
    <w:rsid w:val="00D37124"/>
    <w:rsid w:val="00D710E7"/>
    <w:rsid w:val="00DE1C78"/>
    <w:rsid w:val="00E11AFB"/>
    <w:rsid w:val="00E1659A"/>
    <w:rsid w:val="00E20989"/>
    <w:rsid w:val="00E22DE8"/>
    <w:rsid w:val="00E32820"/>
    <w:rsid w:val="00E74CD4"/>
    <w:rsid w:val="00E924F9"/>
    <w:rsid w:val="00EB0D79"/>
    <w:rsid w:val="00ED0BFC"/>
    <w:rsid w:val="00ED16CD"/>
    <w:rsid w:val="00EE7CB3"/>
    <w:rsid w:val="00EF13E2"/>
    <w:rsid w:val="00F32FAE"/>
    <w:rsid w:val="00F33B83"/>
    <w:rsid w:val="00F4642B"/>
    <w:rsid w:val="00F6405D"/>
    <w:rsid w:val="00F75319"/>
    <w:rsid w:val="00FA2EFB"/>
    <w:rsid w:val="00FC3011"/>
    <w:rsid w:val="00FF2574"/>
    <w:rsid w:val="00FF3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4667"/>
  <w15:docId w15:val="{20363201-C912-43D0-98D9-DB7FB38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2-subsection">
    <w:name w:val="estatutes-2-subsection"/>
    <w:basedOn w:val="Normal"/>
    <w:rsid w:val="00E20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ACC"/>
    <w:rPr>
      <w:b/>
      <w:bCs/>
    </w:rPr>
  </w:style>
  <w:style w:type="character" w:styleId="Emphasis">
    <w:name w:val="Emphasis"/>
    <w:basedOn w:val="DefaultParagraphFont"/>
    <w:uiPriority w:val="20"/>
    <w:qFormat/>
    <w:rsid w:val="005E2ACC"/>
    <w:rPr>
      <w:i/>
      <w:iCs/>
    </w:rPr>
  </w:style>
  <w:style w:type="numbering" w:customStyle="1" w:styleId="Judgments1">
    <w:name w:val="Judgments1"/>
    <w:uiPriority w:val="99"/>
    <w:rsid w:val="001B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0252408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4174678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2BDF-AC4A-4167-8F71-B87EC6C8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11</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2023-09-22T10:30:00Z</cp:lastPrinted>
  <dcterms:created xsi:type="dcterms:W3CDTF">2023-09-29T07:06:00Z</dcterms:created>
  <dcterms:modified xsi:type="dcterms:W3CDTF">2023-09-29T07:06:00Z</dcterms:modified>
</cp:coreProperties>
</file>