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1F76" w14:textId="77777777" w:rsidR="004819F4" w:rsidRPr="00A80497" w:rsidRDefault="004819F4" w:rsidP="004819F4">
      <w:pPr>
        <w:tabs>
          <w:tab w:val="left" w:pos="4092"/>
        </w:tabs>
        <w:jc w:val="center"/>
        <w:rPr>
          <w:b/>
        </w:rPr>
      </w:pPr>
      <w:r w:rsidRPr="00A80497">
        <w:rPr>
          <w:b/>
        </w:rPr>
        <w:t>SUPREME COURT OF SEYCHELLES</w:t>
      </w:r>
    </w:p>
    <w:p w14:paraId="533CBA79" w14:textId="77777777" w:rsidR="004819F4" w:rsidRPr="00A80497" w:rsidRDefault="004819F4" w:rsidP="004819F4">
      <w:pPr>
        <w:pBdr>
          <w:bottom w:val="single" w:sz="4" w:space="1" w:color="auto"/>
        </w:pBdr>
        <w:tabs>
          <w:tab w:val="left" w:pos="4092"/>
        </w:tabs>
        <w:ind w:left="720" w:hanging="720"/>
        <w:jc w:val="center"/>
        <w:rPr>
          <w:b/>
        </w:rPr>
      </w:pPr>
    </w:p>
    <w:p w14:paraId="5BCA8E2B" w14:textId="77777777" w:rsidR="004819F4" w:rsidRPr="00A80497" w:rsidRDefault="004819F4" w:rsidP="004819F4">
      <w:pPr>
        <w:ind w:left="6300" w:firstLine="180"/>
        <w:rPr>
          <w:b/>
          <w:u w:val="single"/>
        </w:rPr>
      </w:pPr>
      <w:r w:rsidRPr="00A80497">
        <w:rPr>
          <w:b/>
          <w:u w:val="single"/>
        </w:rPr>
        <w:t>Reportable</w:t>
      </w:r>
    </w:p>
    <w:p w14:paraId="61218F7F" w14:textId="27385042" w:rsidR="004819F4" w:rsidRPr="00A80497" w:rsidRDefault="004819F4" w:rsidP="004819F4">
      <w:pPr>
        <w:ind w:left="5940" w:firstLine="540"/>
      </w:pPr>
      <w:r w:rsidRPr="00A80497">
        <w:t xml:space="preserve">CR </w:t>
      </w:r>
      <w:r w:rsidR="007F0183">
        <w:t>48</w:t>
      </w:r>
      <w:r w:rsidR="00F15711">
        <w:t>/2023</w:t>
      </w:r>
    </w:p>
    <w:p w14:paraId="5F8AF199" w14:textId="77777777" w:rsidR="004819F4" w:rsidRPr="00A80497" w:rsidRDefault="004819F4" w:rsidP="004819F4">
      <w:pPr>
        <w:ind w:left="5580"/>
      </w:pPr>
    </w:p>
    <w:p w14:paraId="70635B16" w14:textId="77777777" w:rsidR="004819F4" w:rsidRPr="00A80497" w:rsidRDefault="004819F4" w:rsidP="004819F4">
      <w:pPr>
        <w:tabs>
          <w:tab w:val="left" w:pos="540"/>
          <w:tab w:val="left" w:pos="4092"/>
        </w:tabs>
      </w:pPr>
      <w:r w:rsidRPr="00A80497">
        <w:t xml:space="preserve">In the matter between </w:t>
      </w:r>
    </w:p>
    <w:p w14:paraId="2EAA5966" w14:textId="7998DEFA" w:rsidR="004819F4" w:rsidRPr="00A80497" w:rsidRDefault="004819F4" w:rsidP="004819F4">
      <w:pPr>
        <w:pStyle w:val="Partynames"/>
      </w:pPr>
      <w:r w:rsidRPr="00A80497">
        <w:t>THE REPUBLIC</w:t>
      </w:r>
      <w:r>
        <w:tab/>
      </w:r>
      <w:r>
        <w:tab/>
      </w:r>
      <w:r>
        <w:tab/>
      </w:r>
      <w:r w:rsidR="007F0183">
        <w:t>Prosecution</w:t>
      </w:r>
      <w:r w:rsidRPr="00A80497">
        <w:tab/>
      </w:r>
    </w:p>
    <w:p w14:paraId="58346203" w14:textId="29359DF7" w:rsidR="004819F4" w:rsidRPr="00A80497" w:rsidRDefault="004819F4" w:rsidP="004819F4">
      <w:pPr>
        <w:pStyle w:val="Attorneysnames"/>
      </w:pPr>
      <w:r w:rsidRPr="00A80497">
        <w:t>(rep. by</w:t>
      </w:r>
      <w:r w:rsidR="007F0183">
        <w:t xml:space="preserve"> Ms Ketlynn Marie</w:t>
      </w:r>
      <w:r w:rsidRPr="00A80497">
        <w:t>)</w:t>
      </w:r>
    </w:p>
    <w:p w14:paraId="6CA103A0" w14:textId="77777777" w:rsidR="004819F4" w:rsidRPr="00A80497" w:rsidRDefault="004819F4" w:rsidP="004819F4">
      <w:pPr>
        <w:tabs>
          <w:tab w:val="left" w:pos="540"/>
          <w:tab w:val="left" w:pos="4092"/>
          <w:tab w:val="left" w:pos="5580"/>
        </w:tabs>
      </w:pPr>
    </w:p>
    <w:p w14:paraId="7814F899" w14:textId="77777777" w:rsidR="004819F4" w:rsidRPr="00A80497" w:rsidRDefault="004819F4" w:rsidP="004819F4">
      <w:pPr>
        <w:tabs>
          <w:tab w:val="left" w:pos="540"/>
          <w:tab w:val="left" w:pos="4092"/>
          <w:tab w:val="left" w:pos="5580"/>
        </w:tabs>
      </w:pPr>
      <w:r w:rsidRPr="00A80497">
        <w:t>and</w:t>
      </w:r>
    </w:p>
    <w:p w14:paraId="5791FFF0" w14:textId="77777777" w:rsidR="004819F4" w:rsidRPr="00A80497" w:rsidRDefault="004819F4" w:rsidP="004819F4">
      <w:pPr>
        <w:tabs>
          <w:tab w:val="left" w:pos="540"/>
          <w:tab w:val="left" w:pos="5580"/>
          <w:tab w:val="left" w:pos="6480"/>
        </w:tabs>
        <w:rPr>
          <w:b/>
        </w:rPr>
      </w:pPr>
    </w:p>
    <w:p w14:paraId="06454824" w14:textId="67320CB8" w:rsidR="002651F3" w:rsidRDefault="002651F3" w:rsidP="002651F3">
      <w:pPr>
        <w:pStyle w:val="Partynames"/>
        <w:spacing w:before="0"/>
      </w:pPr>
      <w:r>
        <w:t>ROGER POOL</w:t>
      </w:r>
      <w:r w:rsidR="00D05522">
        <w:tab/>
      </w:r>
      <w:r w:rsidR="00D05522">
        <w:tab/>
      </w:r>
      <w:r w:rsidR="00D05522">
        <w:tab/>
        <w:t>1</w:t>
      </w:r>
      <w:r w:rsidR="00D05522" w:rsidRPr="00C355F4">
        <w:rPr>
          <w:vertAlign w:val="superscript"/>
        </w:rPr>
        <w:t>st</w:t>
      </w:r>
      <w:r w:rsidR="00D05522">
        <w:t xml:space="preserve"> Accused</w:t>
      </w:r>
    </w:p>
    <w:p w14:paraId="17148BDB" w14:textId="55BEEEA8" w:rsidR="004819F4" w:rsidRPr="00A80497" w:rsidRDefault="002651F3" w:rsidP="002651F3">
      <w:pPr>
        <w:pStyle w:val="Partynames"/>
        <w:spacing w:before="0"/>
        <w:rPr>
          <w:highlight w:val="yellow"/>
        </w:rPr>
      </w:pPr>
      <w:r w:rsidRPr="002651F3">
        <w:rPr>
          <w:b w:val="0"/>
          <w:i/>
        </w:rPr>
        <w:t>(rep. by</w:t>
      </w:r>
      <w:r w:rsidR="007F0183">
        <w:rPr>
          <w:b w:val="0"/>
          <w:i/>
        </w:rPr>
        <w:t xml:space="preserve"> Mr Guy Ferley</w:t>
      </w:r>
      <w:r w:rsidRPr="002651F3">
        <w:rPr>
          <w:b w:val="0"/>
          <w:i/>
        </w:rPr>
        <w:t>)</w:t>
      </w:r>
      <w:r w:rsidR="004819F4">
        <w:tab/>
      </w:r>
      <w:r w:rsidR="004819F4">
        <w:tab/>
      </w:r>
      <w:r w:rsidR="004819F4">
        <w:tab/>
      </w:r>
      <w:r w:rsidR="004819F4" w:rsidRPr="00A80497">
        <w:tab/>
      </w:r>
      <w:r w:rsidR="004819F4" w:rsidRPr="00A80497">
        <w:rPr>
          <w:highlight w:val="yellow"/>
        </w:rPr>
        <w:t xml:space="preserve"> </w:t>
      </w:r>
    </w:p>
    <w:p w14:paraId="0A461918" w14:textId="77777777" w:rsidR="004819F4" w:rsidRPr="006845D4" w:rsidRDefault="004819F4" w:rsidP="004819F4">
      <w:pPr>
        <w:tabs>
          <w:tab w:val="left" w:pos="540"/>
          <w:tab w:val="left" w:pos="4092"/>
        </w:tabs>
        <w:rPr>
          <w:b/>
          <w:highlight w:val="yellow"/>
        </w:rPr>
      </w:pPr>
      <w:r>
        <w:rPr>
          <w:i/>
          <w:highlight w:val="yellow"/>
        </w:rPr>
        <w:t xml:space="preserve">            </w:t>
      </w:r>
      <w:r>
        <w:rPr>
          <w:b/>
          <w:highlight w:val="yellow"/>
        </w:rPr>
        <w:t xml:space="preserve">               </w:t>
      </w:r>
      <w:r w:rsidRPr="00A80497">
        <w:rPr>
          <w:b/>
          <w:highlight w:val="yellow"/>
        </w:rPr>
        <w:t xml:space="preserve"> </w:t>
      </w:r>
    </w:p>
    <w:p w14:paraId="3E3D5A9A" w14:textId="204A3170" w:rsidR="004819F4" w:rsidRPr="00A80497" w:rsidRDefault="002651F3" w:rsidP="004819F4">
      <w:pPr>
        <w:pBdr>
          <w:bottom w:val="single" w:sz="4" w:space="0" w:color="auto"/>
        </w:pBdr>
        <w:tabs>
          <w:tab w:val="left" w:pos="540"/>
          <w:tab w:val="left" w:pos="5580"/>
        </w:tabs>
        <w:rPr>
          <w:b/>
        </w:rPr>
      </w:pPr>
      <w:r>
        <w:rPr>
          <w:b/>
        </w:rPr>
        <w:t>BARRY SOUFFE</w:t>
      </w:r>
      <w:r w:rsidR="004819F4">
        <w:rPr>
          <w:b/>
        </w:rPr>
        <w:tab/>
      </w:r>
      <w:r w:rsidR="004819F4">
        <w:rPr>
          <w:b/>
        </w:rPr>
        <w:tab/>
      </w:r>
      <w:r w:rsidR="004819F4">
        <w:rPr>
          <w:b/>
        </w:rPr>
        <w:tab/>
        <w:t>2</w:t>
      </w:r>
      <w:r w:rsidR="004819F4" w:rsidRPr="00C355F4">
        <w:rPr>
          <w:b/>
          <w:vertAlign w:val="superscript"/>
        </w:rPr>
        <w:t>nd</w:t>
      </w:r>
      <w:r w:rsidR="004819F4">
        <w:rPr>
          <w:b/>
        </w:rPr>
        <w:t xml:space="preserve"> </w:t>
      </w:r>
      <w:r w:rsidR="004819F4" w:rsidRPr="00DA4A90">
        <w:rPr>
          <w:b/>
        </w:rPr>
        <w:t>Accused</w:t>
      </w:r>
    </w:p>
    <w:p w14:paraId="52C99837" w14:textId="00FBFF2F" w:rsidR="004819F4" w:rsidRPr="002651F3" w:rsidRDefault="002651F3" w:rsidP="004819F4">
      <w:pPr>
        <w:pBdr>
          <w:bottom w:val="single" w:sz="4" w:space="0" w:color="auto"/>
        </w:pBdr>
        <w:tabs>
          <w:tab w:val="left" w:pos="540"/>
          <w:tab w:val="left" w:pos="5580"/>
        </w:tabs>
        <w:rPr>
          <w:i/>
        </w:rPr>
      </w:pPr>
      <w:r w:rsidRPr="002651F3">
        <w:rPr>
          <w:i/>
        </w:rPr>
        <w:t>(rep. by</w:t>
      </w:r>
      <w:r w:rsidR="007F0183">
        <w:rPr>
          <w:i/>
        </w:rPr>
        <w:t xml:space="preserve"> Mr Ryan Laporte</w:t>
      </w:r>
      <w:r w:rsidRPr="002651F3">
        <w:rPr>
          <w:i/>
        </w:rPr>
        <w:t>)</w:t>
      </w:r>
    </w:p>
    <w:p w14:paraId="5F120D62" w14:textId="77777777" w:rsidR="002651F3" w:rsidRPr="00A80497" w:rsidRDefault="002651F3" w:rsidP="004819F4">
      <w:pPr>
        <w:pBdr>
          <w:bottom w:val="single" w:sz="4" w:space="0" w:color="auto"/>
        </w:pBdr>
        <w:tabs>
          <w:tab w:val="left" w:pos="540"/>
          <w:tab w:val="left" w:pos="5580"/>
        </w:tabs>
        <w:rPr>
          <w:b/>
        </w:rPr>
      </w:pPr>
    </w:p>
    <w:p w14:paraId="53499FBB" w14:textId="5F65CA62" w:rsidR="004819F4" w:rsidRPr="00A80497" w:rsidRDefault="002651F3" w:rsidP="004819F4">
      <w:pPr>
        <w:pBdr>
          <w:bottom w:val="single" w:sz="4" w:space="0" w:color="auto"/>
        </w:pBdr>
        <w:tabs>
          <w:tab w:val="left" w:pos="540"/>
          <w:tab w:val="left" w:pos="5580"/>
        </w:tabs>
        <w:rPr>
          <w:b/>
        </w:rPr>
      </w:pPr>
      <w:r>
        <w:rPr>
          <w:b/>
        </w:rPr>
        <w:t>MERVIN SOUFFE</w:t>
      </w:r>
      <w:r w:rsidR="004819F4">
        <w:rPr>
          <w:b/>
        </w:rPr>
        <w:tab/>
      </w:r>
      <w:r w:rsidR="004819F4">
        <w:rPr>
          <w:b/>
        </w:rPr>
        <w:tab/>
      </w:r>
      <w:r w:rsidR="004819F4">
        <w:rPr>
          <w:b/>
        </w:rPr>
        <w:tab/>
        <w:t>3</w:t>
      </w:r>
      <w:r w:rsidR="004819F4" w:rsidRPr="00C355F4">
        <w:rPr>
          <w:b/>
          <w:vertAlign w:val="superscript"/>
        </w:rPr>
        <w:t>rd</w:t>
      </w:r>
      <w:r w:rsidR="004819F4">
        <w:rPr>
          <w:b/>
        </w:rPr>
        <w:t xml:space="preserve"> </w:t>
      </w:r>
      <w:r w:rsidR="004819F4" w:rsidRPr="00DA4A90">
        <w:rPr>
          <w:b/>
        </w:rPr>
        <w:t>Accused</w:t>
      </w:r>
    </w:p>
    <w:p w14:paraId="24685602" w14:textId="44C750C8" w:rsidR="004819F4" w:rsidRPr="00A80497" w:rsidRDefault="004819F4" w:rsidP="004819F4">
      <w:pPr>
        <w:pBdr>
          <w:bottom w:val="single" w:sz="4" w:space="0" w:color="auto"/>
        </w:pBdr>
        <w:tabs>
          <w:tab w:val="left" w:pos="540"/>
          <w:tab w:val="left" w:pos="5580"/>
        </w:tabs>
        <w:rPr>
          <w:i/>
        </w:rPr>
      </w:pPr>
      <w:r w:rsidRPr="00C355F4">
        <w:rPr>
          <w:i/>
        </w:rPr>
        <w:t>(</w:t>
      </w:r>
      <w:r w:rsidRPr="00A80497">
        <w:rPr>
          <w:i/>
        </w:rPr>
        <w:t>rep</w:t>
      </w:r>
      <w:r>
        <w:rPr>
          <w:i/>
        </w:rPr>
        <w:t>.</w:t>
      </w:r>
      <w:r w:rsidRPr="00A80497">
        <w:rPr>
          <w:i/>
        </w:rPr>
        <w:t xml:space="preserve"> by</w:t>
      </w:r>
      <w:r w:rsidR="007F0183">
        <w:rPr>
          <w:i/>
        </w:rPr>
        <w:t xml:space="preserve"> Mr Ryan Laporte</w:t>
      </w:r>
      <w:r w:rsidRPr="00A80497">
        <w:rPr>
          <w:i/>
        </w:rPr>
        <w:t>)</w:t>
      </w:r>
    </w:p>
    <w:p w14:paraId="51B85907" w14:textId="77777777" w:rsidR="004819F4" w:rsidRPr="00A80497" w:rsidRDefault="004819F4" w:rsidP="004819F4">
      <w:pPr>
        <w:pBdr>
          <w:bottom w:val="single" w:sz="4" w:space="0" w:color="auto"/>
        </w:pBdr>
        <w:tabs>
          <w:tab w:val="left" w:pos="540"/>
          <w:tab w:val="left" w:pos="5580"/>
        </w:tabs>
        <w:rPr>
          <w:i/>
        </w:rPr>
      </w:pPr>
    </w:p>
    <w:p w14:paraId="283C3444" w14:textId="0FB2AC53" w:rsidR="004819F4" w:rsidRPr="00A80497" w:rsidRDefault="004819F4" w:rsidP="004819F4">
      <w:pPr>
        <w:spacing w:before="120"/>
        <w:ind w:left="1886" w:hanging="1886"/>
      </w:pPr>
      <w:r w:rsidRPr="00A80497">
        <w:rPr>
          <w:b/>
        </w:rPr>
        <w:t>Neutral Citation:</w:t>
      </w:r>
      <w:r w:rsidRPr="00A80497">
        <w:t xml:space="preserve"> </w:t>
      </w:r>
      <w:r w:rsidRPr="00A80497">
        <w:tab/>
      </w:r>
      <w:r w:rsidRPr="006845D4">
        <w:rPr>
          <w:i/>
        </w:rPr>
        <w:t xml:space="preserve">The Republic v </w:t>
      </w:r>
      <w:r w:rsidR="007F0183">
        <w:rPr>
          <w:i/>
        </w:rPr>
        <w:t xml:space="preserve">Roger </w:t>
      </w:r>
      <w:r w:rsidR="002651F3">
        <w:rPr>
          <w:i/>
        </w:rPr>
        <w:t>Pool</w:t>
      </w:r>
      <w:r>
        <w:rPr>
          <w:i/>
        </w:rPr>
        <w:t xml:space="preserve"> and </w:t>
      </w:r>
      <w:proofErr w:type="spellStart"/>
      <w:r>
        <w:rPr>
          <w:i/>
        </w:rPr>
        <w:t>O</w:t>
      </w:r>
      <w:r w:rsidRPr="006845D4">
        <w:rPr>
          <w:i/>
        </w:rPr>
        <w:t>rs</w:t>
      </w:r>
      <w:proofErr w:type="spellEnd"/>
      <w:r w:rsidR="007F0183">
        <w:t xml:space="preserve"> </w:t>
      </w:r>
      <w:r w:rsidRPr="006845D4">
        <w:t>CR</w:t>
      </w:r>
      <w:r w:rsidR="007F0183">
        <w:t>48</w:t>
      </w:r>
      <w:r w:rsidRPr="006845D4">
        <w:t>/</w:t>
      </w:r>
      <w:r w:rsidR="00F15711">
        <w:t>2023</w:t>
      </w:r>
      <w:r w:rsidRPr="00A80497">
        <w:t xml:space="preserve"> </w:t>
      </w:r>
      <w:r w:rsidR="002651F3">
        <w:t>(7</w:t>
      </w:r>
      <w:r w:rsidR="002651F3" w:rsidRPr="002651F3">
        <w:rPr>
          <w:vertAlign w:val="superscript"/>
        </w:rPr>
        <w:t>th</w:t>
      </w:r>
      <w:r w:rsidR="002651F3">
        <w:t xml:space="preserve"> June 2024)</w:t>
      </w:r>
      <w:r>
        <w:t xml:space="preserve">   </w:t>
      </w:r>
      <w:r w:rsidRPr="00A80497">
        <w:t xml:space="preserve"> </w:t>
      </w:r>
    </w:p>
    <w:p w14:paraId="28ADDC90" w14:textId="77777777" w:rsidR="004819F4" w:rsidRPr="00A80497" w:rsidRDefault="004819F4" w:rsidP="00D05522">
      <w:pPr>
        <w:pBdr>
          <w:top w:val="none" w:sz="0" w:space="0" w:color="auto"/>
          <w:left w:val="none" w:sz="0" w:space="0" w:color="auto"/>
          <w:bottom w:val="none" w:sz="0" w:space="0" w:color="auto"/>
          <w:right w:val="none" w:sz="0" w:space="0" w:color="auto"/>
          <w:between w:val="none" w:sz="0" w:space="0" w:color="auto"/>
          <w:bar w:val="none" w:sz="0" w:color="auto"/>
        </w:pBdr>
        <w:ind w:left="1890" w:hanging="1890"/>
      </w:pPr>
      <w:r w:rsidRPr="00A80497">
        <w:rPr>
          <w:b/>
        </w:rPr>
        <w:t xml:space="preserve">Before: </w:t>
      </w:r>
      <w:r w:rsidRPr="00A80497">
        <w:rPr>
          <w:b/>
        </w:rPr>
        <w:tab/>
      </w:r>
      <w:r w:rsidRPr="00A80497">
        <w:t>Govinden CJ</w:t>
      </w:r>
    </w:p>
    <w:p w14:paraId="30F33B35" w14:textId="005C7568" w:rsidR="004819F4" w:rsidRPr="00A80497" w:rsidRDefault="004819F4" w:rsidP="00D05522">
      <w:pPr>
        <w:pBdr>
          <w:top w:val="none" w:sz="0" w:space="0" w:color="auto"/>
          <w:left w:val="none" w:sz="0" w:space="0" w:color="auto"/>
          <w:bottom w:val="none" w:sz="0" w:space="0" w:color="auto"/>
          <w:right w:val="none" w:sz="0" w:space="0" w:color="auto"/>
          <w:between w:val="none" w:sz="0" w:space="0" w:color="auto"/>
          <w:bar w:val="none" w:sz="0" w:color="auto"/>
        </w:pBdr>
        <w:ind w:left="1890" w:hanging="1890"/>
      </w:pPr>
      <w:r w:rsidRPr="00A80497">
        <w:rPr>
          <w:b/>
        </w:rPr>
        <w:t xml:space="preserve">Summary: </w:t>
      </w:r>
      <w:r w:rsidRPr="00A80497">
        <w:rPr>
          <w:b/>
        </w:rPr>
        <w:tab/>
      </w:r>
      <w:r w:rsidR="002651F3" w:rsidRPr="002651F3">
        <w:rPr>
          <w:rFonts w:eastAsia="Times New Roman"/>
          <w:bCs/>
          <w:lang w:val="en-ZA"/>
        </w:rPr>
        <w:t>Amendment of charges; firearms</w:t>
      </w:r>
      <w:r w:rsidR="00F15711">
        <w:rPr>
          <w:rFonts w:eastAsia="Times New Roman"/>
          <w:bCs/>
          <w:lang w:val="en-ZA"/>
        </w:rPr>
        <w:t xml:space="preserve"> offences</w:t>
      </w:r>
      <w:r w:rsidR="002651F3" w:rsidRPr="002651F3">
        <w:rPr>
          <w:rFonts w:eastAsia="Times New Roman"/>
          <w:bCs/>
          <w:lang w:val="en-ZA"/>
        </w:rPr>
        <w:t>; objection</w:t>
      </w:r>
      <w:r w:rsidR="00F15711">
        <w:rPr>
          <w:rFonts w:eastAsia="Times New Roman"/>
          <w:bCs/>
          <w:lang w:val="en-ZA"/>
        </w:rPr>
        <w:t>; defectiveness;</w:t>
      </w:r>
      <w:r w:rsidR="002651F3" w:rsidRPr="002651F3">
        <w:rPr>
          <w:rFonts w:eastAsia="Times New Roman"/>
          <w:bCs/>
          <w:lang w:val="en-ZA"/>
        </w:rPr>
        <w:t xml:space="preserve"> of lack of particularisation</w:t>
      </w:r>
    </w:p>
    <w:p w14:paraId="7E33313F" w14:textId="79EA7D27" w:rsidR="004819F4" w:rsidRPr="00A80497" w:rsidRDefault="004819F4" w:rsidP="00D0552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ind w:left="1890" w:hanging="1890"/>
      </w:pPr>
      <w:r w:rsidRPr="00A80497">
        <w:rPr>
          <w:b/>
        </w:rPr>
        <w:t xml:space="preserve">Heard: </w:t>
      </w:r>
      <w:r w:rsidRPr="00A80497">
        <w:tab/>
      </w:r>
      <w:r w:rsidRPr="00A80497">
        <w:tab/>
      </w:r>
      <w:r w:rsidR="00F15711">
        <w:t>28</w:t>
      </w:r>
      <w:r w:rsidR="00F15711" w:rsidRPr="00F15711">
        <w:rPr>
          <w:vertAlign w:val="superscript"/>
        </w:rPr>
        <w:t>th</w:t>
      </w:r>
      <w:r w:rsidR="00F15711">
        <w:t xml:space="preserve"> May 2024</w:t>
      </w:r>
    </w:p>
    <w:p w14:paraId="0CF54BA8" w14:textId="68D3B4C5" w:rsidR="004819F4" w:rsidRDefault="004819F4" w:rsidP="00D055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890" w:hanging="1890"/>
      </w:pPr>
      <w:r w:rsidRPr="00A80497">
        <w:rPr>
          <w:b/>
        </w:rPr>
        <w:t>Delivered:</w:t>
      </w:r>
      <w:r w:rsidRPr="00A80497">
        <w:rPr>
          <w:b/>
        </w:rPr>
        <w:tab/>
      </w:r>
      <w:r w:rsidR="007F0183">
        <w:t>7</w:t>
      </w:r>
      <w:r w:rsidR="007F0183" w:rsidRPr="007F0183">
        <w:rPr>
          <w:vertAlign w:val="superscript"/>
        </w:rPr>
        <w:t>th</w:t>
      </w:r>
      <w:r w:rsidR="007F0183">
        <w:t xml:space="preserve"> June 2024</w:t>
      </w:r>
    </w:p>
    <w:p w14:paraId="2FE01FF0" w14:textId="37AB702E" w:rsidR="002651F3" w:rsidRPr="00D05522" w:rsidRDefault="00D05522" w:rsidP="00D05522">
      <w:pPr>
        <w:pBdr>
          <w:top w:val="single" w:sz="4" w:space="1" w:color="auto"/>
          <w:left w:val="none" w:sz="0" w:space="0" w:color="auto"/>
          <w:bottom w:val="single" w:sz="4" w:space="1" w:color="auto"/>
          <w:right w:val="none" w:sz="0" w:space="0" w:color="auto"/>
          <w:between w:val="single" w:sz="4" w:space="1" w:color="auto"/>
          <w:bar w:val="single" w:sz="4" w:color="auto"/>
        </w:pBdr>
        <w:ind w:left="720" w:hanging="720"/>
        <w:jc w:val="center"/>
      </w:pPr>
      <w:r>
        <w:rPr>
          <w:b/>
        </w:rPr>
        <w:br/>
      </w:r>
      <w:r w:rsidRPr="0075099F">
        <w:rPr>
          <w:b/>
        </w:rPr>
        <w:t>ORDER</w:t>
      </w:r>
      <w:r>
        <w:rPr>
          <w:b/>
        </w:rPr>
        <w:br/>
      </w:r>
    </w:p>
    <w:p w14:paraId="5D0577BA" w14:textId="77777777" w:rsidR="007F0183" w:rsidRDefault="007F0183" w:rsidP="00C5658F">
      <w:pPr>
        <w:pStyle w:val="JudgmentText"/>
        <w:spacing w:after="0" w:line="480" w:lineRule="auto"/>
        <w:ind w:left="720" w:hanging="720"/>
        <w:rPr>
          <w:b/>
        </w:rPr>
      </w:pPr>
    </w:p>
    <w:p w14:paraId="50EE8E63" w14:textId="4CCEE605" w:rsidR="0045254E" w:rsidRPr="00D05522" w:rsidRDefault="002651F3" w:rsidP="0045254E">
      <w:pPr>
        <w:pStyle w:val="JudgmentText"/>
        <w:spacing w:after="0" w:line="480" w:lineRule="auto"/>
        <w:ind w:left="720" w:hanging="720"/>
        <w:rPr>
          <w:b/>
        </w:rPr>
      </w:pPr>
      <w:r w:rsidRPr="00A80497">
        <w:rPr>
          <w:b/>
        </w:rPr>
        <w:t>G</w:t>
      </w:r>
      <w:r w:rsidR="00D05522">
        <w:rPr>
          <w:b/>
        </w:rPr>
        <w:t>OVINDEN CJ</w:t>
      </w:r>
      <w:r w:rsidR="007F0183">
        <w:rPr>
          <w:b/>
        </w:rPr>
        <w:t>,</w:t>
      </w:r>
      <w:bookmarkStart w:id="0" w:name="_GoBack"/>
      <w:bookmarkEnd w:id="0"/>
    </w:p>
    <w:p w14:paraId="03326B93" w14:textId="3020FF0A" w:rsidR="00DF5DDA" w:rsidRDefault="00DF5DDA" w:rsidP="00A40C5F">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rsidRPr="00DF5DDA">
        <w:t>The prosecution</w:t>
      </w:r>
      <w:r w:rsidR="00AD2C1E">
        <w:t>,</w:t>
      </w:r>
      <w:r w:rsidRPr="00DF5DDA">
        <w:t xml:space="preserve"> through a Notice of Motion</w:t>
      </w:r>
      <w:r w:rsidR="00AD2C1E">
        <w:t xml:space="preserve">, </w:t>
      </w:r>
      <w:r w:rsidR="00AD2C1E" w:rsidRPr="00DF5DDA">
        <w:t>has</w:t>
      </w:r>
      <w:r w:rsidRPr="00DF5DDA">
        <w:t xml:space="preserve"> </w:t>
      </w:r>
      <w:r>
        <w:t>sought</w:t>
      </w:r>
      <w:r w:rsidRPr="00DF5DDA">
        <w:t xml:space="preserve"> leave of this </w:t>
      </w:r>
      <w:r>
        <w:t>C</w:t>
      </w:r>
      <w:r w:rsidRPr="00DF5DDA">
        <w:t>ourt to amend the charges originally laid in the Information dated the 23</w:t>
      </w:r>
      <w:r w:rsidRPr="00DF5DDA">
        <w:rPr>
          <w:vertAlign w:val="superscript"/>
        </w:rPr>
        <w:t>rd</w:t>
      </w:r>
      <w:r w:rsidRPr="00DF5DDA">
        <w:t xml:space="preserve"> of June 2023 by way of substituting the </w:t>
      </w:r>
      <w:r w:rsidR="00AD2C1E">
        <w:t>three c</w:t>
      </w:r>
      <w:r w:rsidRPr="00DF5DDA">
        <w:t xml:space="preserve">harges with </w:t>
      </w:r>
      <w:r w:rsidR="00AD2C1E">
        <w:t>those</w:t>
      </w:r>
      <w:r w:rsidRPr="00DF5DDA">
        <w:t xml:space="preserve"> found in the Information attached to the application. According to the Affidavit of the deponent supporting the application, this request is made as a result of a review of the evidence that has shown certain anomalies in the evidence that would make it difficult for the prosecution to prove their charges.</w:t>
      </w:r>
    </w:p>
    <w:p w14:paraId="1536A96F" w14:textId="77777777" w:rsidR="00DF5DDA" w:rsidRDefault="00DF5DDA" w:rsidP="00DF5DD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The charges before the court reads as follows;</w:t>
      </w:r>
    </w:p>
    <w:p w14:paraId="6E959175" w14:textId="77777777" w:rsidR="007F0183" w:rsidRDefault="007F0183" w:rsidP="007F0183">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p>
    <w:p w14:paraId="7910B786" w14:textId="77777777" w:rsidR="007F0183" w:rsidRDefault="007F0183" w:rsidP="007F0183">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rPr>
      </w:pPr>
    </w:p>
    <w:p w14:paraId="62EA83F8" w14:textId="03596CB5" w:rsidR="007F0183" w:rsidRDefault="007F0183" w:rsidP="007F0183">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rPr>
      </w:pPr>
      <w:r>
        <w:rPr>
          <w:b/>
          <w:bCs/>
        </w:rPr>
        <w:lastRenderedPageBreak/>
        <w:t xml:space="preserve">         </w:t>
      </w:r>
      <w:r w:rsidR="00DF5DDA" w:rsidRPr="00DF5DDA">
        <w:rPr>
          <w:b/>
          <w:bCs/>
        </w:rPr>
        <w:t>Count 1</w:t>
      </w:r>
    </w:p>
    <w:p w14:paraId="6D206E1A" w14:textId="7E461D99" w:rsidR="00DF5DDA" w:rsidRP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r w:rsidRPr="00DF5DDA">
        <w:rPr>
          <w:b/>
          <w:bCs/>
        </w:rPr>
        <w:t>Statement of Offence</w:t>
      </w:r>
    </w:p>
    <w:p w14:paraId="227D91DE" w14:textId="6A59345A" w:rsid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pPr>
      <w:r>
        <w:t>Knowingly negotiating, procuring, arranging for, or in any way assist, the delivery to any other person, or the delivery by any person to any other person, of any firearm or any ammunition, by way of sale or otherwise, in circumstances which raise a reasonable presumption that the person knew or believed that such firearm and ammunition, was intended or likely to be used by any person in a manner or for a purpose prejudicial to public order, contrary to and punishable under Section 84(3) of the Penal Code.</w:t>
      </w:r>
    </w:p>
    <w:p w14:paraId="4651AA4B" w14:textId="77777777" w:rsidR="00DF5DDA" w:rsidRP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r w:rsidRPr="00DF5DDA">
        <w:rPr>
          <w:b/>
          <w:bCs/>
        </w:rPr>
        <w:t>Particulars of offence</w:t>
      </w:r>
    </w:p>
    <w:p w14:paraId="45FEE560" w14:textId="77777777" w:rsid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pPr>
      <w:r>
        <w:t xml:space="preserve">In that, Roger Pool of Anse </w:t>
      </w:r>
      <w:proofErr w:type="spellStart"/>
      <w:r>
        <w:t>Boudin</w:t>
      </w:r>
      <w:proofErr w:type="spellEnd"/>
      <w:r>
        <w:t xml:space="preserve"> </w:t>
      </w:r>
      <w:proofErr w:type="spellStart"/>
      <w:r>
        <w:t>Praslin</w:t>
      </w:r>
      <w:proofErr w:type="spellEnd"/>
      <w:r>
        <w:t xml:space="preserve"> on or around the 29th May 2023 on </w:t>
      </w:r>
      <w:proofErr w:type="spellStart"/>
      <w:r>
        <w:t>Praslin</w:t>
      </w:r>
      <w:proofErr w:type="spellEnd"/>
      <w:r>
        <w:t xml:space="preserve"> knowingly negotiated, procured, arranged, assisted Barry </w:t>
      </w:r>
      <w:proofErr w:type="spellStart"/>
      <w:r>
        <w:t>Souffe</w:t>
      </w:r>
      <w:proofErr w:type="spellEnd"/>
      <w:r>
        <w:t xml:space="preserve"> of Anse </w:t>
      </w:r>
      <w:proofErr w:type="spellStart"/>
      <w:r>
        <w:t>Boudin</w:t>
      </w:r>
      <w:proofErr w:type="spellEnd"/>
      <w:r>
        <w:t xml:space="preserve">, </w:t>
      </w:r>
      <w:proofErr w:type="spellStart"/>
      <w:r>
        <w:t>Praslin</w:t>
      </w:r>
      <w:proofErr w:type="spellEnd"/>
      <w:r>
        <w:t xml:space="preserve"> and Mervin </w:t>
      </w:r>
      <w:proofErr w:type="spellStart"/>
      <w:r>
        <w:t>Souffe</w:t>
      </w:r>
      <w:proofErr w:type="spellEnd"/>
      <w:r>
        <w:t xml:space="preserve">, for the delivery to another person known to the Republic as </w:t>
      </w:r>
      <w:proofErr w:type="spellStart"/>
      <w:r>
        <w:t>Neeraj</w:t>
      </w:r>
      <w:proofErr w:type="spellEnd"/>
      <w:r>
        <w:t xml:space="preserve"> </w:t>
      </w:r>
      <w:proofErr w:type="spellStart"/>
      <w:r>
        <w:t>Malbrook</w:t>
      </w:r>
      <w:proofErr w:type="spellEnd"/>
      <w:r>
        <w:t>, an AK 47 rifle with one loaded magazine, by way of sale or otherwise in circumstances which raise a reasonable presumption that the said Roger Pool knew or believed that such firearm, ammunition, was intended or likely to be used by any person in a manner or for a purpose prejudicial to public order.</w:t>
      </w:r>
    </w:p>
    <w:p w14:paraId="5EB25D74" w14:textId="77777777" w:rsidR="00DF5DDA" w:rsidRPr="00DF5DDA" w:rsidRDefault="00DF5DDA" w:rsidP="003E416F">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center"/>
        <w:rPr>
          <w:b/>
          <w:bCs/>
        </w:rPr>
      </w:pPr>
      <w:r w:rsidRPr="00DF5DDA">
        <w:rPr>
          <w:b/>
          <w:bCs/>
        </w:rPr>
        <w:t>Count 2</w:t>
      </w:r>
    </w:p>
    <w:p w14:paraId="7BB81336" w14:textId="77777777" w:rsidR="00DF5DDA" w:rsidRP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r w:rsidRPr="00DF5DDA">
        <w:rPr>
          <w:b/>
          <w:bCs/>
        </w:rPr>
        <w:t>Statement of offence</w:t>
      </w:r>
    </w:p>
    <w:p w14:paraId="4B855C2C" w14:textId="77777777" w:rsid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pPr>
      <w:r>
        <w:t>Knowingly negotiating, procuring, arranging for, or in any way assist, the delivery to any other person, or the delivery by any person to any other person, of any firearm or any ammunition, by way of sale or otherwise, in circumstances which raise a reasonable presumption that the person knew or believed that such firearm and ammunition, was intended or likely to be used by any person in a manner or for a purpose prejudicial to public order, contrary to and punishable under Section 84 (3) read with 22 (a) of the Penal Code.</w:t>
      </w:r>
    </w:p>
    <w:p w14:paraId="562DF307" w14:textId="77777777" w:rsidR="00DF5DDA" w:rsidRP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r w:rsidRPr="00DF5DDA">
        <w:rPr>
          <w:b/>
          <w:bCs/>
        </w:rPr>
        <w:t>Particulars of offence</w:t>
      </w:r>
    </w:p>
    <w:p w14:paraId="3BD134BA" w14:textId="77777777" w:rsid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pPr>
      <w:r>
        <w:t xml:space="preserve">In that, Barry </w:t>
      </w:r>
      <w:proofErr w:type="spellStart"/>
      <w:r>
        <w:t>Souffe</w:t>
      </w:r>
      <w:proofErr w:type="spellEnd"/>
      <w:r>
        <w:t xml:space="preserve"> of Anse </w:t>
      </w:r>
      <w:proofErr w:type="spellStart"/>
      <w:r>
        <w:t>Boudin</w:t>
      </w:r>
      <w:proofErr w:type="spellEnd"/>
      <w:r>
        <w:t xml:space="preserve">, </w:t>
      </w:r>
      <w:proofErr w:type="spellStart"/>
      <w:r>
        <w:t>Praslin</w:t>
      </w:r>
      <w:proofErr w:type="spellEnd"/>
      <w:r>
        <w:t xml:space="preserve"> and Mervin </w:t>
      </w:r>
      <w:proofErr w:type="spellStart"/>
      <w:r>
        <w:t>Souffe</w:t>
      </w:r>
      <w:proofErr w:type="spellEnd"/>
      <w:r>
        <w:t xml:space="preserve"> of Anse </w:t>
      </w:r>
      <w:proofErr w:type="spellStart"/>
      <w:r>
        <w:t>Boudin</w:t>
      </w:r>
      <w:proofErr w:type="spellEnd"/>
      <w:r>
        <w:t xml:space="preserve">, </w:t>
      </w:r>
      <w:proofErr w:type="spellStart"/>
      <w:r>
        <w:t>Praslin</w:t>
      </w:r>
      <w:proofErr w:type="spellEnd"/>
      <w:r>
        <w:t xml:space="preserve"> on or around the 29th May 2023 on </w:t>
      </w:r>
      <w:proofErr w:type="spellStart"/>
      <w:r>
        <w:t>Praslin</w:t>
      </w:r>
      <w:proofErr w:type="spellEnd"/>
      <w:r>
        <w:t xml:space="preserve"> knowingly negotiated, procured, arranged or assisted for the delivery of an AK 47 rifle with one loaded magazine, by way of sale or </w:t>
      </w:r>
      <w:r>
        <w:lastRenderedPageBreak/>
        <w:t xml:space="preserve">otherwise to a person known to the Republic as </w:t>
      </w:r>
      <w:proofErr w:type="spellStart"/>
      <w:r>
        <w:t>Neeraj</w:t>
      </w:r>
      <w:proofErr w:type="spellEnd"/>
      <w:r>
        <w:t xml:space="preserve"> </w:t>
      </w:r>
      <w:proofErr w:type="spellStart"/>
      <w:r>
        <w:t>Malbrook</w:t>
      </w:r>
      <w:proofErr w:type="spellEnd"/>
      <w:r>
        <w:t>, in circumstances which raises a reasonable presumption that they knew or believed that such firearm and ammunition, was intended or likely to be used by any person in a manner or for a purpose prejudicial to public order.</w:t>
      </w:r>
    </w:p>
    <w:p w14:paraId="63E08D99" w14:textId="77777777" w:rsidR="00DF5DDA" w:rsidRPr="00DF5DDA" w:rsidRDefault="00DF5DDA" w:rsidP="003E416F">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center"/>
        <w:rPr>
          <w:b/>
          <w:bCs/>
        </w:rPr>
      </w:pPr>
      <w:r w:rsidRPr="00DF5DDA">
        <w:rPr>
          <w:b/>
          <w:bCs/>
        </w:rPr>
        <w:t>Count 3</w:t>
      </w:r>
    </w:p>
    <w:p w14:paraId="38A5121B" w14:textId="77777777" w:rsidR="00DF5DDA" w:rsidRP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r w:rsidRPr="00DF5DDA">
        <w:rPr>
          <w:b/>
          <w:bCs/>
        </w:rPr>
        <w:t>Statement of offence</w:t>
      </w:r>
    </w:p>
    <w:p w14:paraId="2FB46263" w14:textId="77777777" w:rsid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pPr>
      <w:r>
        <w:t>Possessing or having under control of, firearm and ammunition without lawful authority or reasonable excuse, in circumstances which raise a reasonable presumption that such firearm, or ammunition is intended to be used for a purpose prejudicial to public order contrary to and punishable under Section 84(1) of the Penal Code.</w:t>
      </w:r>
    </w:p>
    <w:p w14:paraId="362F3BDE" w14:textId="77777777" w:rsidR="00DF5DDA" w:rsidRP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r w:rsidRPr="00DF5DDA">
        <w:rPr>
          <w:b/>
          <w:bCs/>
        </w:rPr>
        <w:t>Particulars of offence</w:t>
      </w:r>
    </w:p>
    <w:p w14:paraId="4D188D90" w14:textId="77777777" w:rsid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pPr>
      <w:r>
        <w:t xml:space="preserve">In that, Roger Pool of Anse </w:t>
      </w:r>
      <w:proofErr w:type="spellStart"/>
      <w:r>
        <w:t>Boudin</w:t>
      </w:r>
      <w:proofErr w:type="spellEnd"/>
      <w:r>
        <w:t xml:space="preserve">, </w:t>
      </w:r>
      <w:proofErr w:type="spellStart"/>
      <w:r>
        <w:t>Praslin</w:t>
      </w:r>
      <w:proofErr w:type="spellEnd"/>
      <w:r>
        <w:t xml:space="preserve">, on or around the 29th May 2023 on </w:t>
      </w:r>
      <w:proofErr w:type="spellStart"/>
      <w:r>
        <w:t>Praslin</w:t>
      </w:r>
      <w:proofErr w:type="spellEnd"/>
      <w:r>
        <w:t>, was in possession or having, under his control an AK 47 with one loaded magazine, without lawful authority or reasonable excuse, in circumstances which raise a reasonable presumption that such firearm and ammunition was intended to be used for a purpose prejudicial to public order.</w:t>
      </w:r>
    </w:p>
    <w:p w14:paraId="41FBA5F4" w14:textId="77777777" w:rsidR="00DF5DDA" w:rsidRDefault="00DF5DDA" w:rsidP="00DF5DD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The proposed ones are to the following effect;</w:t>
      </w:r>
    </w:p>
    <w:p w14:paraId="6E1A56E8" w14:textId="77777777" w:rsidR="00DF5DDA" w:rsidRPr="00DF5DDA" w:rsidRDefault="00DF5DDA" w:rsidP="003E416F">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center"/>
        <w:rPr>
          <w:b/>
          <w:bCs/>
        </w:rPr>
      </w:pPr>
      <w:r w:rsidRPr="00DF5DDA">
        <w:rPr>
          <w:b/>
          <w:bCs/>
        </w:rPr>
        <w:t>Count 1</w:t>
      </w:r>
    </w:p>
    <w:p w14:paraId="0384F740" w14:textId="77777777" w:rsidR="00DF5DDA" w:rsidRP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r w:rsidRPr="00DF5DDA">
        <w:rPr>
          <w:b/>
          <w:bCs/>
        </w:rPr>
        <w:t>Statement of offence</w:t>
      </w:r>
    </w:p>
    <w:p w14:paraId="1F0DF432" w14:textId="77777777" w:rsid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pPr>
      <w:r>
        <w:t>Knowingly, negotiating, procuring, arranging for, or in any way assist, the delivery to any other person, or the delivery by any person to any other person, or any firearm or any ammunition, by way of sale or otherwise, in circumstances which raise a reasonable presumption that the person knew or believed that such firearm and ammunition, was intended or likely to be used by any person in a manner or for a purpose prejudicial to public order, contrary to and punishable under Section 84(3) read with 22(a) of the Penal Code.</w:t>
      </w:r>
    </w:p>
    <w:p w14:paraId="0E005D4A" w14:textId="77777777" w:rsidR="007F0183" w:rsidRDefault="007F0183"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p>
    <w:p w14:paraId="180EB896" w14:textId="77777777" w:rsidR="007F0183" w:rsidRDefault="007F0183"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p>
    <w:p w14:paraId="755DE080" w14:textId="491A7BDD" w:rsidR="00DF5DDA" w:rsidRP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r w:rsidRPr="00DF5DDA">
        <w:rPr>
          <w:b/>
          <w:bCs/>
        </w:rPr>
        <w:lastRenderedPageBreak/>
        <w:t>Particulars of offence</w:t>
      </w:r>
    </w:p>
    <w:p w14:paraId="2D7A9380" w14:textId="77777777" w:rsid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pPr>
      <w:r>
        <w:t xml:space="preserve">In that, Barry </w:t>
      </w:r>
      <w:proofErr w:type="spellStart"/>
      <w:r>
        <w:t>Souffe</w:t>
      </w:r>
      <w:proofErr w:type="spellEnd"/>
      <w:r>
        <w:t xml:space="preserve"> of Anse </w:t>
      </w:r>
      <w:proofErr w:type="spellStart"/>
      <w:r>
        <w:t>Boudin</w:t>
      </w:r>
      <w:proofErr w:type="spellEnd"/>
      <w:r>
        <w:t xml:space="preserve">, </w:t>
      </w:r>
      <w:proofErr w:type="spellStart"/>
      <w:r>
        <w:t>Praslin</w:t>
      </w:r>
      <w:proofErr w:type="spellEnd"/>
      <w:r>
        <w:t xml:space="preserve"> and Mervin </w:t>
      </w:r>
      <w:proofErr w:type="spellStart"/>
      <w:r>
        <w:t>Souffe</w:t>
      </w:r>
      <w:proofErr w:type="spellEnd"/>
      <w:r>
        <w:t xml:space="preserve"> of Anse </w:t>
      </w:r>
      <w:proofErr w:type="spellStart"/>
      <w:r>
        <w:t>Boudin</w:t>
      </w:r>
      <w:proofErr w:type="spellEnd"/>
      <w:r>
        <w:t xml:space="preserve">, </w:t>
      </w:r>
      <w:proofErr w:type="spellStart"/>
      <w:r>
        <w:t>Praslin</w:t>
      </w:r>
      <w:proofErr w:type="spellEnd"/>
      <w:r>
        <w:t xml:space="preserve"> on or around the 26th May 2023 on </w:t>
      </w:r>
      <w:proofErr w:type="spellStart"/>
      <w:r>
        <w:t>Praslin</w:t>
      </w:r>
      <w:proofErr w:type="spellEnd"/>
      <w:r>
        <w:t xml:space="preserve"> knowingly negotiated, procured, arranged or assisted for the delivery of a firearm by way of sale or otherwise to a person known to the Republic as </w:t>
      </w:r>
      <w:proofErr w:type="spellStart"/>
      <w:r>
        <w:t>Neeraj</w:t>
      </w:r>
      <w:proofErr w:type="spellEnd"/>
      <w:r>
        <w:t xml:space="preserve"> </w:t>
      </w:r>
      <w:proofErr w:type="spellStart"/>
      <w:r>
        <w:t>Malbrook</w:t>
      </w:r>
      <w:proofErr w:type="spellEnd"/>
      <w:r>
        <w:t>, in circumstances which raises a reasonable presumption that they knew or believed that such firearm, was intended or likely to be used by any person in a manner or for a purpose prejudicial to public order.</w:t>
      </w:r>
    </w:p>
    <w:p w14:paraId="527958DC" w14:textId="77777777" w:rsidR="00DF5DDA" w:rsidRPr="00DF5DDA" w:rsidRDefault="00DF5DDA" w:rsidP="003E416F">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center"/>
        <w:rPr>
          <w:b/>
          <w:bCs/>
        </w:rPr>
      </w:pPr>
      <w:r w:rsidRPr="00DF5DDA">
        <w:rPr>
          <w:b/>
          <w:bCs/>
        </w:rPr>
        <w:t>Count 2</w:t>
      </w:r>
    </w:p>
    <w:p w14:paraId="1452D514" w14:textId="77777777" w:rsidR="00DF5DDA" w:rsidRP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r w:rsidRPr="00DF5DDA">
        <w:rPr>
          <w:b/>
          <w:bCs/>
        </w:rPr>
        <w:t>Statement of offence</w:t>
      </w:r>
    </w:p>
    <w:p w14:paraId="48C51BFC" w14:textId="77777777" w:rsid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pPr>
      <w:r>
        <w:t>Possessing or having under control of, firearms and ammunition without lawful authority or reasonable excuse, in circumstances which raise a reasonable presumption that such firearm, or ammunition is intended to be used for a purpose prejudicial to public order contrary to and punishable under Section 84(1) of the Penal Code.</w:t>
      </w:r>
    </w:p>
    <w:p w14:paraId="4CCF6378" w14:textId="77777777" w:rsidR="00DF5DDA" w:rsidRP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r w:rsidRPr="00DF5DDA">
        <w:rPr>
          <w:b/>
          <w:bCs/>
        </w:rPr>
        <w:t>Particulars of offence</w:t>
      </w:r>
    </w:p>
    <w:p w14:paraId="4B27D307" w14:textId="77777777" w:rsid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pPr>
      <w:r>
        <w:t xml:space="preserve">In that, Roger Pool of Anse </w:t>
      </w:r>
      <w:proofErr w:type="spellStart"/>
      <w:r>
        <w:t>Boudin</w:t>
      </w:r>
      <w:proofErr w:type="spellEnd"/>
      <w:r>
        <w:t xml:space="preserve">, </w:t>
      </w:r>
      <w:proofErr w:type="spellStart"/>
      <w:r>
        <w:t>Praslin</w:t>
      </w:r>
      <w:proofErr w:type="spellEnd"/>
      <w:r>
        <w:t xml:space="preserve">, on or around the 29th May 2023 on </w:t>
      </w:r>
      <w:proofErr w:type="spellStart"/>
      <w:r>
        <w:t>Praslin</w:t>
      </w:r>
      <w:proofErr w:type="spellEnd"/>
      <w:r>
        <w:t>, was in possession or having under his control an AK 47 rifle with one loaded magazine, without lawful authority or reasonable excuse, in circumstances which raise a reasonable presumption that such firearm and ammunition was intended to be used for a purpose prejudicial to public order.</w:t>
      </w:r>
    </w:p>
    <w:p w14:paraId="54076967" w14:textId="77777777" w:rsidR="00DF5DDA" w:rsidRPr="00DF5DDA" w:rsidRDefault="00DF5DDA" w:rsidP="003E416F">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center"/>
        <w:rPr>
          <w:b/>
          <w:bCs/>
        </w:rPr>
      </w:pPr>
      <w:r w:rsidRPr="00DF5DDA">
        <w:rPr>
          <w:b/>
          <w:bCs/>
        </w:rPr>
        <w:t>Count 3</w:t>
      </w:r>
    </w:p>
    <w:p w14:paraId="3B63839D" w14:textId="77777777" w:rsidR="00DF5DDA" w:rsidRP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r w:rsidRPr="00DF5DDA">
        <w:rPr>
          <w:b/>
          <w:bCs/>
        </w:rPr>
        <w:t>Statement of offence</w:t>
      </w:r>
    </w:p>
    <w:p w14:paraId="73BCE6CA" w14:textId="77777777" w:rsid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pPr>
      <w:r>
        <w:t>Knowingly negotiating, procuring, arranging for, or in any way assist, the delivery to any other person, or the delivery by any person to any other person, or any firearm or any ammunition, by way of sale or otherwise, in circumstances which raise a reasonable presumption that the person knew or believed that such firearm and ammunition, was intended or likely to be used by any person in a manner or for a purpose prejudicial to public order, contrary to and punishable under Section 84(3) read with 22(a) of the Penal Code.</w:t>
      </w:r>
    </w:p>
    <w:p w14:paraId="57D5A18E" w14:textId="77777777" w:rsidR="007F0183" w:rsidRDefault="007F0183"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p>
    <w:p w14:paraId="30EEBB89" w14:textId="6C7ECEEF" w:rsidR="00DF5DDA" w:rsidRP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jc w:val="center"/>
        <w:rPr>
          <w:b/>
          <w:bCs/>
        </w:rPr>
      </w:pPr>
      <w:r w:rsidRPr="00DF5DDA">
        <w:rPr>
          <w:b/>
          <w:bCs/>
        </w:rPr>
        <w:lastRenderedPageBreak/>
        <w:t>Particulars of offence</w:t>
      </w:r>
    </w:p>
    <w:p w14:paraId="2E8183FA" w14:textId="519D3CAD" w:rsidR="00DF5DDA" w:rsidRDefault="00DF5DDA" w:rsidP="00DF5DDA">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pPr>
      <w:r>
        <w:t xml:space="preserve">In that, Barry </w:t>
      </w:r>
      <w:proofErr w:type="spellStart"/>
      <w:r>
        <w:t>Souffe</w:t>
      </w:r>
      <w:proofErr w:type="spellEnd"/>
      <w:r>
        <w:t xml:space="preserve"> of Anse </w:t>
      </w:r>
      <w:proofErr w:type="spellStart"/>
      <w:r>
        <w:t>Boudin</w:t>
      </w:r>
      <w:proofErr w:type="spellEnd"/>
      <w:r>
        <w:t xml:space="preserve">, </w:t>
      </w:r>
      <w:proofErr w:type="spellStart"/>
      <w:r>
        <w:t>Praslin</w:t>
      </w:r>
      <w:proofErr w:type="spellEnd"/>
      <w:r>
        <w:t xml:space="preserve"> and Mervin </w:t>
      </w:r>
      <w:proofErr w:type="spellStart"/>
      <w:r>
        <w:t>Souffe</w:t>
      </w:r>
      <w:proofErr w:type="spellEnd"/>
      <w:r>
        <w:t xml:space="preserve"> of Anse </w:t>
      </w:r>
      <w:proofErr w:type="spellStart"/>
      <w:r>
        <w:t>Boudin</w:t>
      </w:r>
      <w:proofErr w:type="spellEnd"/>
      <w:r>
        <w:t xml:space="preserve">, </w:t>
      </w:r>
      <w:proofErr w:type="spellStart"/>
      <w:r>
        <w:t>Praslin</w:t>
      </w:r>
      <w:proofErr w:type="spellEnd"/>
      <w:r>
        <w:t xml:space="preserve"> on a date unknown to the Republic in the year 2023 on </w:t>
      </w:r>
      <w:proofErr w:type="spellStart"/>
      <w:r>
        <w:t>Praslin</w:t>
      </w:r>
      <w:proofErr w:type="spellEnd"/>
      <w:r>
        <w:t xml:space="preserve">, knowingly negotiated, procured, arranged or assisted for the delivery of a firearm, by way of sale or otherwise to a person known to the Republic as </w:t>
      </w:r>
      <w:proofErr w:type="spellStart"/>
      <w:r>
        <w:t>Sylvestre</w:t>
      </w:r>
      <w:proofErr w:type="spellEnd"/>
      <w:r>
        <w:t xml:space="preserve">, Graham </w:t>
      </w:r>
      <w:proofErr w:type="spellStart"/>
      <w:r>
        <w:t>Labrosse</w:t>
      </w:r>
      <w:proofErr w:type="spellEnd"/>
      <w:r>
        <w:t>, in circumstances which raises a reasonable presumption that they knew or believed that such firearm, was intended or likely to be used by any person in a manner or for a purpose prejudicial to public order.</w:t>
      </w:r>
    </w:p>
    <w:p w14:paraId="6172A355" w14:textId="3B377F04" w:rsidR="00DF5DDA" w:rsidRDefault="00DF5DDA" w:rsidP="00DF5DD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The difference between the two 1</w:t>
      </w:r>
      <w:r w:rsidRPr="00DF5DDA">
        <w:rPr>
          <w:vertAlign w:val="superscript"/>
        </w:rPr>
        <w:t>st</w:t>
      </w:r>
      <w:r>
        <w:t xml:space="preserve"> Counts </w:t>
      </w:r>
      <w:r w:rsidR="00AD2C1E">
        <w:t>is</w:t>
      </w:r>
      <w:r>
        <w:t xml:space="preserve"> that the 1</w:t>
      </w:r>
      <w:r w:rsidRPr="00DF5DDA">
        <w:rPr>
          <w:vertAlign w:val="superscript"/>
        </w:rPr>
        <w:t>st</w:t>
      </w:r>
      <w:r>
        <w:t xml:space="preserve"> accused is removed from the proposed Count, with only the 2</w:t>
      </w:r>
      <w:r w:rsidRPr="00DF5DDA">
        <w:rPr>
          <w:vertAlign w:val="superscript"/>
        </w:rPr>
        <w:t>nd</w:t>
      </w:r>
      <w:r>
        <w:t xml:space="preserve"> and 3</w:t>
      </w:r>
      <w:r w:rsidRPr="00DF5DDA">
        <w:rPr>
          <w:vertAlign w:val="superscript"/>
        </w:rPr>
        <w:t>rd</w:t>
      </w:r>
      <w:r>
        <w:t xml:space="preserve"> accused being averred to have knowingly negotiated, procured, arranged</w:t>
      </w:r>
      <w:r w:rsidR="00AD2C1E">
        <w:t>,</w:t>
      </w:r>
      <w:r>
        <w:t xml:space="preserve"> or assisted for the delivery of a firearm and what was formerly specified AK 47 rifle is now simply referred to as a firearm. The former Count 2, is deleted and a Count of possession of an AK 47 firearms is brought against the 1</w:t>
      </w:r>
      <w:r w:rsidRPr="00DF5DDA">
        <w:rPr>
          <w:vertAlign w:val="superscript"/>
        </w:rPr>
        <w:t>st</w:t>
      </w:r>
      <w:r w:rsidR="00AD2C1E">
        <w:t xml:space="preserve"> accused only, as Count 2, this was formerly C</w:t>
      </w:r>
      <w:r>
        <w:t>ount 3.  A new Count 3 against the 2</w:t>
      </w:r>
      <w:r w:rsidRPr="00DF5DDA">
        <w:rPr>
          <w:vertAlign w:val="superscript"/>
        </w:rPr>
        <w:t>nd</w:t>
      </w:r>
      <w:r>
        <w:t xml:space="preserve"> and 3</w:t>
      </w:r>
      <w:r w:rsidRPr="00DF5DDA">
        <w:rPr>
          <w:vertAlign w:val="superscript"/>
        </w:rPr>
        <w:t>rd</w:t>
      </w:r>
      <w:r>
        <w:t xml:space="preserve"> accused of knowingly negotiated, procured, arranged</w:t>
      </w:r>
      <w:r w:rsidR="00AD2C1E">
        <w:t>,</w:t>
      </w:r>
      <w:r>
        <w:t xml:space="preserve"> or assisted for the delivery of a firearm to another person, with again the firearm, which was formerl</w:t>
      </w:r>
      <w:r w:rsidR="00AD2C1E">
        <w:t xml:space="preserve">y referred to as an AK 47 rifle, </w:t>
      </w:r>
      <w:r>
        <w:t>now referred to simply as a firearm.</w:t>
      </w:r>
    </w:p>
    <w:p w14:paraId="05F0D969" w14:textId="7E435EEA" w:rsidR="00DF5DDA" w:rsidRDefault="00DF5DDA" w:rsidP="00DF5DD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The Learned counsel for the 2</w:t>
      </w:r>
      <w:r w:rsidRPr="00DF5DDA">
        <w:rPr>
          <w:vertAlign w:val="superscript"/>
        </w:rPr>
        <w:t>nd</w:t>
      </w:r>
      <w:r>
        <w:t xml:space="preserve"> and 3</w:t>
      </w:r>
      <w:r w:rsidRPr="00DF5DDA">
        <w:rPr>
          <w:vertAlign w:val="superscript"/>
        </w:rPr>
        <w:t>rd</w:t>
      </w:r>
      <w:r>
        <w:t xml:space="preserve"> accused objects to the granting of leave to the prosecution to proceed with the 1</w:t>
      </w:r>
      <w:r w:rsidRPr="00DF5DDA">
        <w:rPr>
          <w:vertAlign w:val="superscript"/>
        </w:rPr>
        <w:t>st</w:t>
      </w:r>
      <w:r>
        <w:t xml:space="preserve"> and 3</w:t>
      </w:r>
      <w:r w:rsidRPr="00DF5DDA">
        <w:rPr>
          <w:vertAlign w:val="superscript"/>
        </w:rPr>
        <w:t>rd</w:t>
      </w:r>
      <w:r>
        <w:t xml:space="preserve"> count. It is his contention that the changes in the particulars with respect to the kind of firearm, being the subject matter of the offences, </w:t>
      </w:r>
      <w:r w:rsidR="00AD2C1E">
        <w:t>are</w:t>
      </w:r>
      <w:r>
        <w:t xml:space="preserve"> prejudicial to his client in that initially there was specificity and the ame</w:t>
      </w:r>
      <w:r w:rsidR="00AD2C1E">
        <w:t>ndments removes the specificity. A</w:t>
      </w:r>
      <w:r>
        <w:t>s a result</w:t>
      </w:r>
      <w:r w:rsidR="00AD2C1E">
        <w:t>,</w:t>
      </w:r>
      <w:r>
        <w:t xml:space="preserve"> it is his contention that the charges are defective.</w:t>
      </w:r>
    </w:p>
    <w:p w14:paraId="03D14958" w14:textId="4B05A15A" w:rsidR="00DF5DDA" w:rsidRDefault="00DF5DDA" w:rsidP="00DF5DD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 xml:space="preserve">On the other hand, the learned representative of the Republic replied that the definition of firearms under the Penal Code does not require </w:t>
      </w:r>
      <w:r w:rsidR="00AD2C1E">
        <w:t xml:space="preserve">a </w:t>
      </w:r>
      <w:r>
        <w:t xml:space="preserve">description of the said firearm and that the lack of specificity does not prejudice the accused. It is his submission that he is pressing those charges in accordance </w:t>
      </w:r>
      <w:r w:rsidR="00CB5D3A">
        <w:t>with</w:t>
      </w:r>
      <w:r w:rsidR="00AD2C1E">
        <w:t xml:space="preserve"> the evidence in hand,</w:t>
      </w:r>
      <w:r>
        <w:t xml:space="preserve"> which shows that the offences </w:t>
      </w:r>
      <w:r w:rsidR="00AD2C1E">
        <w:t>do</w:t>
      </w:r>
      <w:r>
        <w:t xml:space="preserve"> not involved a specific type of </w:t>
      </w:r>
      <w:r w:rsidR="00CB5D3A">
        <w:t>firearm.</w:t>
      </w:r>
      <w:r>
        <w:t xml:space="preserve"> As a </w:t>
      </w:r>
      <w:r w:rsidR="00CB5D3A">
        <w:t>result,</w:t>
      </w:r>
      <w:r>
        <w:t xml:space="preserve"> he submits that the charges are not defective and the motion for leave to amend should be granted.</w:t>
      </w:r>
    </w:p>
    <w:p w14:paraId="1ACF9911" w14:textId="72386993" w:rsidR="00DF5DDA" w:rsidRDefault="00DF5DDA" w:rsidP="00DF5DD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 xml:space="preserve">I have carefully listened to the submissions of both the </w:t>
      </w:r>
      <w:r w:rsidR="00CB5D3A">
        <w:t>Defence</w:t>
      </w:r>
      <w:r>
        <w:t xml:space="preserve"> and that of the Republic. I have also thoroughly addressed my mind to the laws relating to particularization of charges, which I </w:t>
      </w:r>
      <w:r w:rsidR="00CB5D3A">
        <w:t>summarize</w:t>
      </w:r>
      <w:r>
        <w:t xml:space="preserve"> below</w:t>
      </w:r>
      <w:r w:rsidR="00CB5D3A">
        <w:t>.</w:t>
      </w:r>
    </w:p>
    <w:p w14:paraId="19BADA05" w14:textId="60DA9209" w:rsidR="00CB5D3A" w:rsidRDefault="00AD2C1E" w:rsidP="00CB5D3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lastRenderedPageBreak/>
        <w:t>The law with regard</w:t>
      </w:r>
      <w:r w:rsidR="00CB5D3A">
        <w:t xml:space="preserve"> to </w:t>
      </w:r>
      <w:r>
        <w:t xml:space="preserve">the </w:t>
      </w:r>
      <w:r w:rsidR="00CB5D3A">
        <w:t>particularization of charges in this jurisdicti</w:t>
      </w:r>
      <w:r>
        <w:t>on is to be found in Article 19(2)</w:t>
      </w:r>
      <w:r w:rsidR="00CB5D3A">
        <w:t xml:space="preserve">(b) of the Constitution and section 111 </w:t>
      </w:r>
      <w:r>
        <w:t>of the Criminal Procedure Code, w</w:t>
      </w:r>
      <w:r w:rsidR="00CB5D3A">
        <w:t>hich stipulates as follows;</w:t>
      </w:r>
    </w:p>
    <w:p w14:paraId="304AA152" w14:textId="3CFF6F64" w:rsidR="00CB5D3A" w:rsidRPr="00CB5D3A" w:rsidRDefault="00CB5D3A" w:rsidP="00CB5D3A">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40"/>
      </w:pPr>
      <w:r>
        <w:t xml:space="preserve">Article </w:t>
      </w:r>
      <w:r w:rsidRPr="00CB5D3A">
        <w:t>19 (2) (b) of the Constitution</w:t>
      </w:r>
    </w:p>
    <w:p w14:paraId="3A1BA6C6" w14:textId="23A73960" w:rsidR="00CB5D3A" w:rsidRPr="00CB5D3A" w:rsidRDefault="00CB5D3A" w:rsidP="00CB5D3A">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40"/>
        <w:rPr>
          <w:i/>
          <w:iCs/>
        </w:rPr>
      </w:pPr>
      <w:r>
        <w:rPr>
          <w:i/>
          <w:iCs/>
        </w:rPr>
        <w:t>“</w:t>
      </w:r>
      <w:r w:rsidRPr="00CB5D3A">
        <w:rPr>
          <w:i/>
          <w:iCs/>
        </w:rPr>
        <w:t>2) Every person who is charged with an offence—</w:t>
      </w:r>
    </w:p>
    <w:p w14:paraId="51D9C78E" w14:textId="7D89B688" w:rsidR="00CB5D3A" w:rsidRPr="00CB5D3A" w:rsidRDefault="00CB5D3A" w:rsidP="00CB5D3A">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40"/>
        <w:rPr>
          <w:i/>
          <w:iCs/>
        </w:rPr>
      </w:pPr>
      <w:r w:rsidRPr="00CB5D3A">
        <w:rPr>
          <w:i/>
          <w:iCs/>
        </w:rPr>
        <w:t>(b) shall be informed at the time the person is charged or as soon as is reasonably practicable, in, as far as is practicable, a language that the person understands and in detail, of the nature of the offence;</w:t>
      </w:r>
      <w:r>
        <w:rPr>
          <w:i/>
          <w:iCs/>
        </w:rPr>
        <w:t>”</w:t>
      </w:r>
    </w:p>
    <w:p w14:paraId="2AC97352" w14:textId="19C90EA0" w:rsidR="00CB5D3A" w:rsidRPr="00CB5D3A" w:rsidRDefault="00CB5D3A" w:rsidP="00CB5D3A">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firstLine="720"/>
      </w:pPr>
      <w:r>
        <w:t>Section 111</w:t>
      </w:r>
      <w:r>
        <w:rPr>
          <w:i/>
          <w:iCs/>
        </w:rPr>
        <w:t xml:space="preserve"> </w:t>
      </w:r>
      <w:r w:rsidRPr="00CB5D3A">
        <w:t>of the Criminal Procedure Code</w:t>
      </w:r>
    </w:p>
    <w:p w14:paraId="0D59D760" w14:textId="66EC28D4" w:rsidR="00CB5D3A" w:rsidRPr="00CB5D3A" w:rsidRDefault="00CB5D3A" w:rsidP="00CB5D3A">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40"/>
        <w:rPr>
          <w:i/>
          <w:iCs/>
        </w:rPr>
      </w:pPr>
      <w:r>
        <w:rPr>
          <w:i/>
          <w:iCs/>
        </w:rPr>
        <w:t>“</w:t>
      </w:r>
      <w:r w:rsidRPr="00CB5D3A">
        <w:rPr>
          <w:i/>
          <w:iCs/>
        </w:rPr>
        <w:t>Offences to be specified in charge and information with necessary particulars</w:t>
      </w:r>
    </w:p>
    <w:p w14:paraId="2C28CEE4" w14:textId="20B5E5BB" w:rsidR="00DF5DDA" w:rsidRDefault="00CB5D3A" w:rsidP="00CB5D3A">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40"/>
      </w:pPr>
      <w:r w:rsidRPr="00CB5D3A">
        <w:rPr>
          <w:i/>
          <w:iCs/>
        </w:rPr>
        <w:t>Every charge or information shall contain, and shall be sufficient if it contains, a statement of the specific offence or offences with which the accused person is charged, together with such particulars as may be necessary for giving reasonable information as to the nature of the offence charged.”</w:t>
      </w:r>
    </w:p>
    <w:p w14:paraId="5BD61A7F" w14:textId="215EB112" w:rsidR="00CB5D3A" w:rsidRDefault="00CB5D3A" w:rsidP="00CB5D3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Particulars in a charge are crucial as they define the issues and hence determine what is relevant or irrelevant</w:t>
      </w:r>
      <w:r w:rsidR="00AD2C1E">
        <w:t>,</w:t>
      </w:r>
      <w:r>
        <w:t xml:space="preserve"> and they specify the acts relied upon so that the accused may make a proper defence. In other words, the</w:t>
      </w:r>
      <w:r w:rsidR="00AD2C1E">
        <w:t>ir</w:t>
      </w:r>
      <w:r>
        <w:t xml:space="preserve"> purpose is </w:t>
      </w:r>
      <w:r w:rsidR="00AD2C1E">
        <w:t>to</w:t>
      </w:r>
      <w:r>
        <w:t xml:space="preserve"> concentrate and define the issues of fact, limit the issues to be tried, define the scope of the evidence</w:t>
      </w:r>
      <w:r w:rsidR="00AD2C1E">
        <w:t>,</w:t>
      </w:r>
      <w:r>
        <w:t xml:space="preserve"> and prevent the defence being taken by surprise. Indeed, in a system of criminal justice</w:t>
      </w:r>
      <w:r w:rsidR="00AD2C1E">
        <w:t>,</w:t>
      </w:r>
      <w:r>
        <w:t xml:space="preserve"> the particulars form part of the charge</w:t>
      </w:r>
      <w:r w:rsidR="00AD2C1E">
        <w:t>,</w:t>
      </w:r>
      <w:r>
        <w:t xml:space="preserve"> and rightly so. </w:t>
      </w:r>
    </w:p>
    <w:p w14:paraId="72E46FF2" w14:textId="6B1C9480" w:rsidR="00DF5DDA" w:rsidRDefault="00CB5D3A" w:rsidP="00CB5D3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 xml:space="preserve">Reading the above legal provisions, it is clear that the charge sheet must state the offence and contain sufficient particulars to give the accused reasonable information as to the nature of the charge. This Court is given the mandate to decide whether charges laid </w:t>
      </w:r>
      <w:r w:rsidR="00542157">
        <w:t>have</w:t>
      </w:r>
      <w:r>
        <w:t xml:space="preserve"> been sufficiently particularized in law and are detailed enough so that the accused can reasonably plead to and present a defence; and if not, whether the prosecution should be required to provide further and</w:t>
      </w:r>
      <w:r w:rsidR="00542157">
        <w:t>/</w:t>
      </w:r>
      <w:r>
        <w:t>or better particulars of the offences charge. The language used in the particularization of the offence, read in context and the nature of the offence charged</w:t>
      </w:r>
      <w:r w:rsidR="00542157">
        <w:t>,</w:t>
      </w:r>
      <w:r>
        <w:t xml:space="preserve"> would be of significant importance in the Court’s consideration.</w:t>
      </w:r>
    </w:p>
    <w:p w14:paraId="549A7771" w14:textId="45DC0387" w:rsidR="00CB5D3A" w:rsidRDefault="00CB5D3A" w:rsidP="00CB5D3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 xml:space="preserve">In this case it is unquestionable that there has been changes in the particularization of counts and in </w:t>
      </w:r>
      <w:r w:rsidR="00542157">
        <w:t xml:space="preserve">that </w:t>
      </w:r>
      <w:r>
        <w:t>the type of weapon that is the subject matter of the offences was previous</w:t>
      </w:r>
      <w:r w:rsidR="00542157">
        <w:t>ly specified in greater details;</w:t>
      </w:r>
      <w:r>
        <w:t xml:space="preserve"> it w</w:t>
      </w:r>
      <w:r w:rsidR="00542157">
        <w:t>as averred to be an AK 47 rifle. N</w:t>
      </w:r>
      <w:r>
        <w:t xml:space="preserve">ow in the new intended charges the weapon is simply indicated as a firearm. It is clear to this Court that </w:t>
      </w:r>
      <w:r>
        <w:lastRenderedPageBreak/>
        <w:t>there has been a reduction in the details as to the nature of the offences allegedly committed. The issue before the Court is whether this infringes the right to detailed particularization of the offences charged in these counts. It is to be noted that the objection is not that the offences as particularized, has become unknown to the law, but rather that now, as a result of the changes, there is insufficient particularization provided in them.</w:t>
      </w:r>
    </w:p>
    <w:p w14:paraId="78DBA5F4" w14:textId="5123C53C" w:rsidR="00DF5DDA" w:rsidRDefault="00CB5D3A" w:rsidP="00CB5D3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 xml:space="preserve">In normal circumstances the particulars of </w:t>
      </w:r>
      <w:r w:rsidR="0099352E">
        <w:t xml:space="preserve">the </w:t>
      </w:r>
      <w:r>
        <w:t xml:space="preserve">offence are drafted in short form. Such relative brevity does not prejudice the defence since the way the prosecution put their case and the evidence they intended to call will sufficiently emerge from the documents served upon the defence by the prosecution before the plea, which is now the norm. The only instance that prejudice would arise here would be where the disclosure of the prosecution documents would still leave the defence in the dark as to the case they need to </w:t>
      </w:r>
      <w:r w:rsidR="00D778DB">
        <w:t>defend.</w:t>
      </w:r>
    </w:p>
    <w:p w14:paraId="065871E8" w14:textId="143B4464" w:rsidR="00CB5D3A" w:rsidRDefault="00CB5D3A" w:rsidP="00CB5D3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 xml:space="preserve">However, it is trite law that the more complicated the offence charged the more would be the necessity to give greater particularization. For example, in </w:t>
      </w:r>
      <w:r w:rsidRPr="00CB5D3A">
        <w:rPr>
          <w:i/>
          <w:iCs/>
          <w:u w:val="single"/>
        </w:rPr>
        <w:t>Warburton-Pitt</w:t>
      </w:r>
      <w:r w:rsidRPr="00CB5D3A">
        <w:rPr>
          <w:u w:val="single"/>
        </w:rPr>
        <w:t xml:space="preserve"> (1991) 92 Cr App R 136</w:t>
      </w:r>
      <w:r>
        <w:t xml:space="preserve">, the prosecution’s failure to particularize the facts upon which they relied in support of allegations of recklessness formed the basis of a successful appeal. The Court of Appeal stated that particulars of the allegations of recklessness were needed because the case was complicated and that there were a number of possible explanations for the incident. The test </w:t>
      </w:r>
      <w:r w:rsidR="00D778DB">
        <w:t>is:</w:t>
      </w:r>
      <w:r>
        <w:t xml:space="preserve"> do the particulars provided, whether in the indictment or elsewhere meet the requirement that there should be clarity as to the nature of the prosecution case.</w:t>
      </w:r>
    </w:p>
    <w:p w14:paraId="7CA0D1FF" w14:textId="33237EFB" w:rsidR="00DF5DDA" w:rsidRDefault="00CB5D3A" w:rsidP="00CB5D3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 xml:space="preserve">This test was reaffirmed by the Court of Appeal in </w:t>
      </w:r>
      <w:r w:rsidRPr="00EE3E22">
        <w:rPr>
          <w:i/>
          <w:iCs/>
          <w:u w:val="single"/>
        </w:rPr>
        <w:t xml:space="preserve">K </w:t>
      </w:r>
      <w:r w:rsidRPr="00CB5D3A">
        <w:rPr>
          <w:u w:val="single"/>
        </w:rPr>
        <w:t xml:space="preserve">[2004] EWCA </w:t>
      </w:r>
      <w:proofErr w:type="spellStart"/>
      <w:r w:rsidRPr="00CB5D3A">
        <w:rPr>
          <w:u w:val="single"/>
        </w:rPr>
        <w:t>Crim</w:t>
      </w:r>
      <w:proofErr w:type="spellEnd"/>
      <w:r w:rsidRPr="00CB5D3A">
        <w:rPr>
          <w:u w:val="single"/>
        </w:rPr>
        <w:t xml:space="preserve"> 2685, [2005]</w:t>
      </w:r>
      <w:r>
        <w:rPr>
          <w:u w:val="single"/>
        </w:rPr>
        <w:t xml:space="preserve"> </w:t>
      </w:r>
      <w:r w:rsidRPr="00CB5D3A">
        <w:rPr>
          <w:u w:val="single"/>
        </w:rPr>
        <w:t>1 Cr App R 25 (4080</w:t>
      </w:r>
      <w:r>
        <w:rPr>
          <w:u w:val="single"/>
        </w:rPr>
        <w:t>)</w:t>
      </w:r>
      <w:r>
        <w:t xml:space="preserve">. The particulars of the offence needed to provide reasonable information as to the nature of the charge and as to the principal matters on which the prosecution relied. In the case of </w:t>
      </w:r>
      <w:proofErr w:type="spellStart"/>
      <w:r w:rsidRPr="00EE3E22">
        <w:rPr>
          <w:i/>
          <w:iCs/>
          <w:u w:val="single"/>
        </w:rPr>
        <w:t>Chargot</w:t>
      </w:r>
      <w:proofErr w:type="spellEnd"/>
      <w:r w:rsidRPr="00EE3E22">
        <w:rPr>
          <w:i/>
          <w:iCs/>
          <w:u w:val="single"/>
        </w:rPr>
        <w:t xml:space="preserve"> Ltd </w:t>
      </w:r>
      <w:r w:rsidRPr="00EE3E22">
        <w:rPr>
          <w:u w:val="single"/>
        </w:rPr>
        <w:t xml:space="preserve">[2008] UKHL 73, [2009] 1 </w:t>
      </w:r>
      <w:r w:rsidR="00EE3E22">
        <w:rPr>
          <w:u w:val="single"/>
        </w:rPr>
        <w:t>WLR</w:t>
      </w:r>
      <w:r w:rsidRPr="00EE3E22">
        <w:rPr>
          <w:u w:val="single"/>
        </w:rPr>
        <w:t>1</w:t>
      </w:r>
      <w:r>
        <w:t xml:space="preserve">, the Supreme Court concluded that in a prosecution alleging breaches of the Health and Safety at Work Act 1974 it was sufficient that the risk to the employer’s health and safety was particularized, without further specifying the respects in which that risk was associated with his employment or identifying the cause of the accident in which the employee was injured. </w:t>
      </w:r>
      <w:r w:rsidR="00EE3E22">
        <w:t>I</w:t>
      </w:r>
      <w:r>
        <w:t xml:space="preserve">n the case of </w:t>
      </w:r>
      <w:r w:rsidRPr="00EE3E22">
        <w:rPr>
          <w:i/>
          <w:iCs/>
          <w:u w:val="single"/>
        </w:rPr>
        <w:t>Clarke</w:t>
      </w:r>
      <w:r w:rsidRPr="00EE3E22">
        <w:rPr>
          <w:u w:val="single"/>
        </w:rPr>
        <w:t xml:space="preserve"> [2015] EWCA </w:t>
      </w:r>
      <w:proofErr w:type="spellStart"/>
      <w:r w:rsidRPr="00EE3E22">
        <w:rPr>
          <w:u w:val="single"/>
        </w:rPr>
        <w:t>Crim</w:t>
      </w:r>
      <w:proofErr w:type="spellEnd"/>
      <w:r w:rsidRPr="00EE3E22">
        <w:rPr>
          <w:u w:val="single"/>
        </w:rPr>
        <w:t xml:space="preserve"> 350</w:t>
      </w:r>
      <w:r w:rsidR="00EE3E22" w:rsidRPr="00EE3E22">
        <w:rPr>
          <w:u w:val="single"/>
        </w:rPr>
        <w:t xml:space="preserve"> </w:t>
      </w:r>
      <w:r w:rsidRPr="00EE3E22">
        <w:rPr>
          <w:u w:val="single"/>
        </w:rPr>
        <w:t>[2015]2 Cr App R 6 (74)</w:t>
      </w:r>
      <w:r>
        <w:t xml:space="preserve"> an indictment for robbery was valid where the offence had been correctly described and the particulars supported the conviction of the offence and made the prosecution case clear. It was not necessary to specify the ingredients of the offence, such as whether a person had been put in fear or unlawful force had been used.</w:t>
      </w:r>
    </w:p>
    <w:p w14:paraId="75196FB8" w14:textId="04DC0135" w:rsidR="00163ADA" w:rsidRPr="00163ADA" w:rsidRDefault="00B56EBC" w:rsidP="00163AD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rPr>
      </w:pPr>
      <w:r>
        <w:rPr>
          <w:rFonts w:cs="Times New Roman"/>
        </w:rPr>
        <w:lastRenderedPageBreak/>
        <w:t xml:space="preserve">In </w:t>
      </w:r>
      <w:r w:rsidR="00AE6E13" w:rsidRPr="00A83B7D">
        <w:rPr>
          <w:rFonts w:cs="Times New Roman"/>
          <w:i/>
          <w:iCs/>
          <w:u w:val="single"/>
        </w:rPr>
        <w:t xml:space="preserve">Graham </w:t>
      </w:r>
      <w:proofErr w:type="spellStart"/>
      <w:r w:rsidR="00AE6E13" w:rsidRPr="00A83B7D">
        <w:rPr>
          <w:rFonts w:cs="Times New Roman"/>
          <w:i/>
          <w:iCs/>
          <w:u w:val="single"/>
        </w:rPr>
        <w:t>Pothin</w:t>
      </w:r>
      <w:proofErr w:type="spellEnd"/>
      <w:r w:rsidR="00AE6E13" w:rsidRPr="00A83B7D">
        <w:rPr>
          <w:rFonts w:cs="Times New Roman"/>
          <w:i/>
          <w:iCs/>
          <w:u w:val="single"/>
        </w:rPr>
        <w:t xml:space="preserve"> v R</w:t>
      </w:r>
      <w:r w:rsidR="00AE6E13" w:rsidRPr="00A83B7D">
        <w:rPr>
          <w:rFonts w:cs="Times New Roman"/>
          <w:u w:val="single"/>
        </w:rPr>
        <w:t xml:space="preserve"> (SCA 13 of 2017) [2018] SCCA 17 (30 August 2018)</w:t>
      </w:r>
      <w:r>
        <w:rPr>
          <w:rFonts w:cs="Times New Roman"/>
        </w:rPr>
        <w:t xml:space="preserve"> the Court </w:t>
      </w:r>
      <w:r w:rsidR="00337A41">
        <w:rPr>
          <w:rFonts w:cs="Times New Roman"/>
        </w:rPr>
        <w:t xml:space="preserve">of Appeal </w:t>
      </w:r>
      <w:r w:rsidR="00D778DB">
        <w:rPr>
          <w:rFonts w:cs="Times New Roman"/>
        </w:rPr>
        <w:t xml:space="preserve">held </w:t>
      </w:r>
      <w:r w:rsidR="00163ADA" w:rsidRPr="00163ADA">
        <w:t>that where an offence charged depends on allegation</w:t>
      </w:r>
      <w:r w:rsidR="00D778DB">
        <w:t>s</w:t>
      </w:r>
      <w:r w:rsidR="00163ADA" w:rsidRPr="00163ADA">
        <w:t xml:space="preserve"> which could be put on several different footings the particulars should be drafted with sufficient detail to inform the court and the defence as to the exact nature of the factual allegation so as to eliminate the possibility of a conviction on either of two alternative bases</w:t>
      </w:r>
      <w:r w:rsidR="00163ADA">
        <w:t xml:space="preserve"> (</w:t>
      </w:r>
      <w:r w:rsidR="00163ADA" w:rsidRPr="00337A41">
        <w:rPr>
          <w:rFonts w:cs="Times New Roman"/>
        </w:rPr>
        <w:t xml:space="preserve">paragraph 1-190 of </w:t>
      </w:r>
      <w:proofErr w:type="spellStart"/>
      <w:r w:rsidR="00163ADA" w:rsidRPr="00337A41">
        <w:rPr>
          <w:rFonts w:cs="Times New Roman"/>
        </w:rPr>
        <w:t>Archbold</w:t>
      </w:r>
      <w:proofErr w:type="spellEnd"/>
      <w:r w:rsidR="00163ADA" w:rsidRPr="00337A41">
        <w:rPr>
          <w:rFonts w:cs="Times New Roman"/>
        </w:rPr>
        <w:t xml:space="preserve"> 2012</w:t>
      </w:r>
      <w:r w:rsidR="00163ADA">
        <w:rPr>
          <w:rFonts w:cs="Times New Roman"/>
        </w:rPr>
        <w:t xml:space="preserve">; </w:t>
      </w:r>
      <w:r w:rsidR="00163ADA" w:rsidRPr="00163ADA">
        <w:rPr>
          <w:rFonts w:cs="Times New Roman"/>
          <w:i/>
          <w:iCs/>
        </w:rPr>
        <w:t xml:space="preserve">R </w:t>
      </w:r>
      <w:r w:rsidR="00D778DB">
        <w:rPr>
          <w:rFonts w:cs="Times New Roman"/>
          <w:i/>
          <w:iCs/>
        </w:rPr>
        <w:t>v</w:t>
      </w:r>
      <w:r w:rsidR="00163ADA" w:rsidRPr="00163ADA">
        <w:rPr>
          <w:rFonts w:cs="Times New Roman"/>
          <w:i/>
          <w:iCs/>
        </w:rPr>
        <w:t xml:space="preserve"> </w:t>
      </w:r>
      <w:proofErr w:type="spellStart"/>
      <w:r w:rsidR="00163ADA" w:rsidRPr="00163ADA">
        <w:rPr>
          <w:rFonts w:cs="Times New Roman"/>
          <w:i/>
          <w:iCs/>
        </w:rPr>
        <w:t>Litanzios</w:t>
      </w:r>
      <w:proofErr w:type="spellEnd"/>
      <w:r w:rsidR="00163ADA" w:rsidRPr="00163ADA">
        <w:rPr>
          <w:rFonts w:cs="Times New Roman"/>
        </w:rPr>
        <w:t xml:space="preserve"> [1999] </w:t>
      </w:r>
      <w:proofErr w:type="spellStart"/>
      <w:r w:rsidR="00163ADA" w:rsidRPr="00163ADA">
        <w:rPr>
          <w:rFonts w:cs="Times New Roman"/>
        </w:rPr>
        <w:t>Crim.L.R</w:t>
      </w:r>
      <w:proofErr w:type="spellEnd"/>
      <w:r w:rsidR="00163ADA" w:rsidRPr="00163ADA">
        <w:rPr>
          <w:rFonts w:cs="Times New Roman"/>
        </w:rPr>
        <w:t>. 667</w:t>
      </w:r>
      <w:r w:rsidR="00163ADA">
        <w:rPr>
          <w:rFonts w:cs="Times New Roman"/>
        </w:rPr>
        <w:t>)</w:t>
      </w:r>
      <w:r w:rsidR="00163ADA" w:rsidRPr="00163ADA">
        <w:t xml:space="preserve">.  The Charge sheet should set forth the relevant elements of the crime that has been committed and the manner in which the offence was committed </w:t>
      </w:r>
      <w:r w:rsidR="00163ADA">
        <w:t>(</w:t>
      </w:r>
      <w:r w:rsidR="00163ADA" w:rsidRPr="00163ADA">
        <w:rPr>
          <w:i/>
          <w:iCs/>
        </w:rPr>
        <w:t xml:space="preserve">S v </w:t>
      </w:r>
      <w:proofErr w:type="spellStart"/>
      <w:r w:rsidR="00163ADA" w:rsidRPr="00163ADA">
        <w:rPr>
          <w:i/>
          <w:iCs/>
        </w:rPr>
        <w:t>Langa</w:t>
      </w:r>
      <w:proofErr w:type="spellEnd"/>
      <w:r w:rsidR="00163ADA" w:rsidRPr="00163ADA">
        <w:t xml:space="preserve"> 2010 (2) SACR 289 (KZP)</w:t>
      </w:r>
      <w:r w:rsidR="00163ADA">
        <w:t xml:space="preserve">) </w:t>
      </w:r>
      <w:r w:rsidR="00163ADA" w:rsidRPr="00163ADA">
        <w:t>as well as a particular act, matter or thing alleged as the foundation of the charge</w:t>
      </w:r>
      <w:r w:rsidR="00163ADA">
        <w:t xml:space="preserve"> (</w:t>
      </w:r>
      <w:r w:rsidR="00163ADA" w:rsidRPr="00163ADA">
        <w:rPr>
          <w:i/>
          <w:iCs/>
        </w:rPr>
        <w:t xml:space="preserve">Johnson </w:t>
      </w:r>
      <w:r w:rsidR="00D778DB">
        <w:rPr>
          <w:i/>
          <w:iCs/>
        </w:rPr>
        <w:t>v</w:t>
      </w:r>
      <w:r w:rsidR="00163ADA" w:rsidRPr="00163ADA">
        <w:rPr>
          <w:i/>
          <w:iCs/>
        </w:rPr>
        <w:t xml:space="preserve"> Miller</w:t>
      </w:r>
      <w:r w:rsidR="00163ADA" w:rsidRPr="00163ADA">
        <w:t xml:space="preserve"> [1937] 59 CLR 467</w:t>
      </w:r>
      <w:r w:rsidR="00163ADA">
        <w:t>)</w:t>
      </w:r>
      <w:r w:rsidR="00163ADA" w:rsidRPr="00163ADA">
        <w:t xml:space="preserve">. </w:t>
      </w:r>
    </w:p>
    <w:p w14:paraId="7C1C1D9D" w14:textId="63E0C0C0" w:rsidR="00D62DA3" w:rsidRPr="00313EA9" w:rsidRDefault="00B53C2A" w:rsidP="00313EA9">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b/>
        </w:rPr>
      </w:pPr>
      <w:r>
        <w:rPr>
          <w:rFonts w:cs="Times New Roman"/>
        </w:rPr>
        <w:t>In</w:t>
      </w:r>
      <w:r w:rsidR="006D7EE4">
        <w:rPr>
          <w:rFonts w:cs="Times New Roman"/>
        </w:rPr>
        <w:t xml:space="preserve"> </w:t>
      </w:r>
      <w:r w:rsidR="00D778DB">
        <w:rPr>
          <w:rFonts w:cs="Times New Roman"/>
        </w:rPr>
        <w:t xml:space="preserve">the </w:t>
      </w:r>
      <w:r w:rsidR="006D7EE4">
        <w:rPr>
          <w:rFonts w:cs="Times New Roman"/>
        </w:rPr>
        <w:t xml:space="preserve">South African case </w:t>
      </w:r>
      <w:r w:rsidR="00C04DBA" w:rsidRPr="004E0D7A">
        <w:rPr>
          <w:rFonts w:cs="Times New Roman"/>
          <w:i/>
          <w:iCs/>
          <w:u w:val="single"/>
        </w:rPr>
        <w:t>African Paper Products (Pty) Ltd and Another v Director of Public Prosecutions: Eastern Cape and Another</w:t>
      </w:r>
      <w:r w:rsidR="00C04DBA" w:rsidRPr="004E0D7A">
        <w:rPr>
          <w:rFonts w:cs="Times New Roman"/>
          <w:u w:val="single"/>
        </w:rPr>
        <w:t xml:space="preserve"> (250/2020) [2022] ZAECMKHC 90 (31 October 2022)</w:t>
      </w:r>
      <w:r w:rsidR="006D7EE4">
        <w:rPr>
          <w:rFonts w:cs="Times New Roman"/>
        </w:rPr>
        <w:t xml:space="preserve">, </w:t>
      </w:r>
      <w:r w:rsidR="00D778DB">
        <w:rPr>
          <w:rFonts w:cs="Times New Roman"/>
        </w:rPr>
        <w:t xml:space="preserve">the </w:t>
      </w:r>
      <w:r w:rsidR="006D7EE4" w:rsidRPr="00D62DA3">
        <w:rPr>
          <w:rFonts w:cs="Times New Roman"/>
        </w:rPr>
        <w:t xml:space="preserve">Eastern Cape High Court </w:t>
      </w:r>
      <w:r w:rsidR="00313EA9">
        <w:rPr>
          <w:rFonts w:cs="Times New Roman"/>
        </w:rPr>
        <w:t xml:space="preserve">emphasized </w:t>
      </w:r>
      <w:r w:rsidR="00D778DB">
        <w:rPr>
          <w:rFonts w:cs="Times New Roman"/>
        </w:rPr>
        <w:t xml:space="preserve">the </w:t>
      </w:r>
      <w:r w:rsidR="00313EA9">
        <w:rPr>
          <w:rFonts w:cs="Times New Roman"/>
        </w:rPr>
        <w:t xml:space="preserve">Constitutional right to a fair trial, which includes the right to be informed of the charge with specific detail. The Court stated that, </w:t>
      </w:r>
      <w:r w:rsidR="00313EA9" w:rsidRPr="00313EA9">
        <w:rPr>
          <w:rFonts w:cs="Times New Roman"/>
          <w:i/>
          <w:iCs/>
        </w:rPr>
        <w:t xml:space="preserve">“The clear objective is to ensure that the charge (s) is </w:t>
      </w:r>
      <w:r w:rsidR="00313EA9" w:rsidRPr="004E0D7A">
        <w:rPr>
          <w:rFonts w:cs="Times New Roman"/>
          <w:b/>
          <w:bCs/>
          <w:i/>
          <w:iCs/>
        </w:rPr>
        <w:t>sufficiently detailed and clear</w:t>
      </w:r>
      <w:r w:rsidR="00313EA9" w:rsidRPr="00313EA9">
        <w:rPr>
          <w:rFonts w:cs="Times New Roman"/>
          <w:i/>
          <w:iCs/>
        </w:rPr>
        <w:t xml:space="preserve"> to an extent where an accused person </w:t>
      </w:r>
      <w:r w:rsidR="00313EA9" w:rsidRPr="004E0D7A">
        <w:rPr>
          <w:rFonts w:cs="Times New Roman"/>
          <w:b/>
          <w:bCs/>
          <w:i/>
          <w:iCs/>
        </w:rPr>
        <w:t>is able to respond and importantly to defend himself</w:t>
      </w:r>
      <w:r w:rsidR="00313EA9" w:rsidRPr="00313EA9">
        <w:rPr>
          <w:rFonts w:cs="Times New Roman"/>
          <w:i/>
          <w:iCs/>
        </w:rPr>
        <w:t xml:space="preserve"> or herself. </w:t>
      </w:r>
      <w:r w:rsidR="00313EA9" w:rsidRPr="00313EA9">
        <w:rPr>
          <w:rFonts w:cs="Times New Roman"/>
          <w:b/>
          <w:i/>
          <w:iCs/>
        </w:rPr>
        <w:t>In my view, this is intended to avoid trials by ambush”</w:t>
      </w:r>
      <w:r w:rsidR="00313EA9">
        <w:rPr>
          <w:rFonts w:cs="Times New Roman"/>
          <w:b/>
        </w:rPr>
        <w:t xml:space="preserve"> </w:t>
      </w:r>
      <w:r w:rsidR="00313EA9" w:rsidRPr="004E0D7A">
        <w:rPr>
          <w:rFonts w:cs="Times New Roman"/>
          <w:bCs/>
        </w:rPr>
        <w:t>(emphasis added)</w:t>
      </w:r>
      <w:r w:rsidR="00313EA9">
        <w:rPr>
          <w:rFonts w:cs="Times New Roman"/>
          <w:bCs/>
        </w:rPr>
        <w:t>. I</w:t>
      </w:r>
      <w:r w:rsidR="00D62DA3">
        <w:rPr>
          <w:rFonts w:cs="Times New Roman"/>
        </w:rPr>
        <w:t>n deciding whether the charge sheet lacked particularization</w:t>
      </w:r>
      <w:r w:rsidR="00313EA9">
        <w:rPr>
          <w:rFonts w:cs="Times New Roman"/>
        </w:rPr>
        <w:t xml:space="preserve"> the court</w:t>
      </w:r>
      <w:r w:rsidR="00D62DA3">
        <w:rPr>
          <w:rFonts w:cs="Times New Roman"/>
        </w:rPr>
        <w:t xml:space="preserve"> seemed to have focused on whether the </w:t>
      </w:r>
      <w:r w:rsidR="00D62DA3" w:rsidRPr="00163ADA">
        <w:rPr>
          <w:rFonts w:cs="Times New Roman"/>
        </w:rPr>
        <w:t>material elements</w:t>
      </w:r>
      <w:r w:rsidR="00D62DA3">
        <w:rPr>
          <w:rFonts w:cs="Times New Roman"/>
        </w:rPr>
        <w:t xml:space="preserve"> of the offence were sufficiently particularized by the prosecution.</w:t>
      </w:r>
      <w:r w:rsidR="00313EA9">
        <w:rPr>
          <w:rFonts w:cs="Times New Roman"/>
        </w:rPr>
        <w:t xml:space="preserve"> </w:t>
      </w:r>
    </w:p>
    <w:p w14:paraId="21C62F82" w14:textId="1B003124" w:rsidR="00163ADA" w:rsidRPr="00163ADA" w:rsidRDefault="00CD0035" w:rsidP="00163ADA">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rPr>
      </w:pPr>
      <w:r>
        <w:rPr>
          <w:rFonts w:cs="Times New Roman"/>
        </w:rPr>
        <w:t xml:space="preserve">The brief background of the case: </w:t>
      </w:r>
      <w:r w:rsidR="00D778DB">
        <w:rPr>
          <w:rFonts w:cs="Times New Roman"/>
        </w:rPr>
        <w:t>T</w:t>
      </w:r>
      <w:r w:rsidR="00887F35" w:rsidRPr="006D7EE4">
        <w:rPr>
          <w:rFonts w:cs="Times New Roman"/>
        </w:rPr>
        <w:t xml:space="preserve">he applicants’ main contentions </w:t>
      </w:r>
      <w:r>
        <w:rPr>
          <w:rFonts w:cs="Times New Roman"/>
        </w:rPr>
        <w:t>were that</w:t>
      </w:r>
      <w:r w:rsidR="00887F35" w:rsidRPr="006D7EE4">
        <w:rPr>
          <w:rFonts w:cs="Times New Roman"/>
        </w:rPr>
        <w:t xml:space="preserve"> the charges of fraud and forgery lack</w:t>
      </w:r>
      <w:r>
        <w:rPr>
          <w:rFonts w:cs="Times New Roman"/>
        </w:rPr>
        <w:t>ed</w:t>
      </w:r>
      <w:r w:rsidR="00887F35" w:rsidRPr="006D7EE4">
        <w:rPr>
          <w:rFonts w:cs="Times New Roman"/>
        </w:rPr>
        <w:t xml:space="preserve"> particularity </w:t>
      </w:r>
      <w:r>
        <w:rPr>
          <w:rFonts w:cs="Times New Roman"/>
        </w:rPr>
        <w:t xml:space="preserve">in relation </w:t>
      </w:r>
      <w:r w:rsidR="00D778DB">
        <w:rPr>
          <w:rFonts w:cs="Times New Roman"/>
        </w:rPr>
        <w:t xml:space="preserve">to </w:t>
      </w:r>
      <w:r w:rsidR="00887F35" w:rsidRPr="006D7EE4">
        <w:rPr>
          <w:rFonts w:cs="Times New Roman"/>
        </w:rPr>
        <w:t xml:space="preserve">the second applicant’s alleged involvement and </w:t>
      </w:r>
      <w:r>
        <w:rPr>
          <w:rFonts w:cs="Times New Roman"/>
        </w:rPr>
        <w:t>therefore</w:t>
      </w:r>
      <w:r w:rsidR="00887F35" w:rsidRPr="006D7EE4">
        <w:rPr>
          <w:rFonts w:cs="Times New Roman"/>
        </w:rPr>
        <w:t xml:space="preserve">, </w:t>
      </w:r>
      <w:r>
        <w:rPr>
          <w:rFonts w:cs="Times New Roman"/>
        </w:rPr>
        <w:t>did not</w:t>
      </w:r>
      <w:r w:rsidR="00887F35" w:rsidRPr="006D7EE4">
        <w:rPr>
          <w:rFonts w:cs="Times New Roman"/>
        </w:rPr>
        <w:t xml:space="preserve"> disclose offences. </w:t>
      </w:r>
      <w:r w:rsidRPr="00163ADA">
        <w:rPr>
          <w:rFonts w:cs="Times New Roman"/>
        </w:rPr>
        <w:t xml:space="preserve">One of the issues raised was that the prosecution </w:t>
      </w:r>
      <w:r w:rsidR="00887F35" w:rsidRPr="00163ADA">
        <w:rPr>
          <w:rFonts w:cs="Times New Roman"/>
        </w:rPr>
        <w:t>was</w:t>
      </w:r>
      <w:r w:rsidR="00AB7774">
        <w:rPr>
          <w:rFonts w:cs="Times New Roman"/>
        </w:rPr>
        <w:t xml:space="preserve"> unable to state with precision</w:t>
      </w:r>
      <w:r w:rsidR="00887F35" w:rsidRPr="00163ADA">
        <w:rPr>
          <w:rFonts w:cs="Times New Roman"/>
        </w:rPr>
        <w:t xml:space="preserve"> the time and place of the forgery</w:t>
      </w:r>
      <w:r w:rsidR="00AB7774">
        <w:rPr>
          <w:rFonts w:cs="Times New Roman"/>
        </w:rPr>
        <w:t>,</w:t>
      </w:r>
      <w:r w:rsidR="00887F35" w:rsidRPr="00163ADA">
        <w:rPr>
          <w:rFonts w:cs="Times New Roman"/>
        </w:rPr>
        <w:t xml:space="preserve"> save </w:t>
      </w:r>
      <w:r w:rsidR="00AB7774">
        <w:rPr>
          <w:rFonts w:cs="Times New Roman"/>
        </w:rPr>
        <w:t>for</w:t>
      </w:r>
      <w:r w:rsidR="00887F35" w:rsidRPr="00163ADA">
        <w:rPr>
          <w:rFonts w:cs="Times New Roman"/>
        </w:rPr>
        <w:t xml:space="preserve"> </w:t>
      </w:r>
      <w:r w:rsidR="00AB7774">
        <w:rPr>
          <w:rFonts w:cs="Times New Roman"/>
        </w:rPr>
        <w:t xml:space="preserve">as </w:t>
      </w:r>
      <w:r w:rsidR="00887F35" w:rsidRPr="00163ADA">
        <w:rPr>
          <w:rFonts w:cs="Times New Roman"/>
        </w:rPr>
        <w:t xml:space="preserve">already set out in the charge sheet. </w:t>
      </w:r>
      <w:r w:rsidR="00AB7774">
        <w:rPr>
          <w:rFonts w:cs="Times New Roman"/>
        </w:rPr>
        <w:t>With regard</w:t>
      </w:r>
      <w:r w:rsidRPr="00163ADA">
        <w:rPr>
          <w:rFonts w:cs="Times New Roman"/>
        </w:rPr>
        <w:t xml:space="preserve"> to this </w:t>
      </w:r>
      <w:r w:rsidR="00AB7774">
        <w:rPr>
          <w:rFonts w:cs="Times New Roman"/>
          <w:color w:val="auto"/>
        </w:rPr>
        <w:t>issue,</w:t>
      </w:r>
      <w:r w:rsidRPr="00163ADA">
        <w:rPr>
          <w:rFonts w:cs="Times New Roman"/>
          <w:color w:val="auto"/>
        </w:rPr>
        <w:t xml:space="preserve"> the court held that</w:t>
      </w:r>
      <w:r w:rsidR="00337A41" w:rsidRPr="00163ADA">
        <w:rPr>
          <w:rFonts w:cs="Times New Roman"/>
          <w:color w:val="auto"/>
        </w:rPr>
        <w:t>:</w:t>
      </w:r>
      <w:r w:rsidRPr="00163ADA">
        <w:rPr>
          <w:rFonts w:cs="Times New Roman"/>
          <w:color w:val="auto"/>
        </w:rPr>
        <w:t xml:space="preserve"> </w:t>
      </w:r>
      <w:r w:rsidRPr="00163ADA">
        <w:rPr>
          <w:rFonts w:cs="Times New Roman"/>
          <w:i/>
          <w:iCs/>
          <w:color w:val="auto"/>
        </w:rPr>
        <w:t>“</w:t>
      </w:r>
      <w:r w:rsidR="00163ADA" w:rsidRPr="00163ADA">
        <w:rPr>
          <w:rFonts w:cs="Times New Roman"/>
          <w:i/>
          <w:iCs/>
          <w:color w:val="auto"/>
        </w:rPr>
        <w:t xml:space="preserve">… </w:t>
      </w:r>
      <w:r w:rsidR="00887F35" w:rsidRPr="00163ADA">
        <w:rPr>
          <w:rFonts w:cs="Times New Roman"/>
          <w:i/>
          <w:iCs/>
          <w:color w:val="auto"/>
        </w:rPr>
        <w:t>if the time when an offence was allegedly committed is not a material element of the offence (as in the present instance), the failure to refer to time, does not render the charge defective</w:t>
      </w:r>
      <w:r w:rsidRPr="00163ADA">
        <w:rPr>
          <w:rFonts w:cs="Times New Roman"/>
          <w:i/>
          <w:iCs/>
          <w:color w:val="auto"/>
        </w:rPr>
        <w:t xml:space="preserve"> (S v </w:t>
      </w:r>
      <w:proofErr w:type="spellStart"/>
      <w:r w:rsidRPr="00163ADA">
        <w:rPr>
          <w:rFonts w:cs="Times New Roman"/>
          <w:i/>
          <w:iCs/>
          <w:color w:val="auto"/>
        </w:rPr>
        <w:t>Vilakazi</w:t>
      </w:r>
      <w:proofErr w:type="spellEnd"/>
      <w:r w:rsidRPr="00163ADA">
        <w:rPr>
          <w:rFonts w:cs="Times New Roman"/>
          <w:i/>
          <w:iCs/>
          <w:color w:val="auto"/>
        </w:rPr>
        <w:t xml:space="preserve"> 2016 (2) SACR 365 (SCA))</w:t>
      </w:r>
      <w:r w:rsidR="00163ADA" w:rsidRPr="00163ADA">
        <w:rPr>
          <w:rFonts w:cs="Times New Roman"/>
          <w:i/>
          <w:iCs/>
          <w:color w:val="auto"/>
        </w:rPr>
        <w:t>”</w:t>
      </w:r>
      <w:r w:rsidRPr="00163ADA">
        <w:rPr>
          <w:rFonts w:cs="Times New Roman"/>
          <w:i/>
          <w:iCs/>
          <w:color w:val="auto"/>
        </w:rPr>
        <w:t xml:space="preserve">. </w:t>
      </w:r>
      <w:r w:rsidR="00163ADA">
        <w:rPr>
          <w:rFonts w:cs="Times New Roman"/>
          <w:color w:val="auto"/>
        </w:rPr>
        <w:t>The Court applied the same reasoning to the place where the crime was allegedly committed adding that, “</w:t>
      </w:r>
      <w:r w:rsidRPr="00163ADA">
        <w:rPr>
          <w:rFonts w:cs="Times New Roman"/>
          <w:i/>
          <w:iCs/>
          <w:color w:val="auto"/>
        </w:rPr>
        <w:t xml:space="preserve">It is only where the offence for which the person is alleged to have been charged with may only be committed in a particular place, such as on a public road, that the place is an indispensable element of the offence. See R v </w:t>
      </w:r>
      <w:proofErr w:type="spellStart"/>
      <w:r w:rsidRPr="00163ADA">
        <w:rPr>
          <w:rFonts w:cs="Times New Roman"/>
          <w:i/>
          <w:iCs/>
          <w:color w:val="auto"/>
        </w:rPr>
        <w:t>Mapikitla</w:t>
      </w:r>
      <w:proofErr w:type="spellEnd"/>
      <w:r w:rsidRPr="00163ADA">
        <w:rPr>
          <w:rFonts w:cs="Times New Roman"/>
          <w:i/>
          <w:iCs/>
          <w:color w:val="auto"/>
        </w:rPr>
        <w:t xml:space="preserve"> 1950 91) SA 336 (GW)</w:t>
      </w:r>
      <w:r w:rsidR="00163ADA">
        <w:rPr>
          <w:rFonts w:cs="Times New Roman"/>
          <w:i/>
          <w:iCs/>
          <w:color w:val="auto"/>
        </w:rPr>
        <w:t>.”</w:t>
      </w:r>
    </w:p>
    <w:p w14:paraId="304EBACF" w14:textId="3991CE0A" w:rsidR="00887F35" w:rsidRDefault="00CD0035" w:rsidP="00CD0035">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rPr>
      </w:pPr>
      <w:r>
        <w:rPr>
          <w:rFonts w:cs="Times New Roman"/>
        </w:rPr>
        <w:lastRenderedPageBreak/>
        <w:t>In its anal</w:t>
      </w:r>
      <w:r w:rsidR="004E0D7A">
        <w:rPr>
          <w:rFonts w:cs="Times New Roman"/>
        </w:rPr>
        <w:t xml:space="preserve">ysis </w:t>
      </w:r>
      <w:r>
        <w:rPr>
          <w:rFonts w:cs="Times New Roman"/>
        </w:rPr>
        <w:t xml:space="preserve">the court </w:t>
      </w:r>
      <w:r w:rsidR="00163ADA">
        <w:rPr>
          <w:rFonts w:cs="Times New Roman"/>
        </w:rPr>
        <w:t>emphasized</w:t>
      </w:r>
      <w:r>
        <w:rPr>
          <w:rFonts w:cs="Times New Roman"/>
        </w:rPr>
        <w:t>:</w:t>
      </w:r>
    </w:p>
    <w:p w14:paraId="4CDC051A" w14:textId="4CB467AB" w:rsidR="00887F35" w:rsidRPr="00337A41" w:rsidRDefault="00887F35" w:rsidP="00D62DA3">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1440"/>
        <w:rPr>
          <w:rFonts w:cs="Times New Roman"/>
          <w:b/>
          <w:i/>
          <w:iCs/>
        </w:rPr>
      </w:pPr>
      <w:r w:rsidRPr="00337A41">
        <w:rPr>
          <w:rFonts w:cs="Times New Roman"/>
          <w:i/>
          <w:iCs/>
        </w:rPr>
        <w:t xml:space="preserve">[56] The </w:t>
      </w:r>
      <w:r w:rsidR="00337A41" w:rsidRPr="00337A41">
        <w:rPr>
          <w:rFonts w:cs="Times New Roman"/>
          <w:i/>
          <w:iCs/>
        </w:rPr>
        <w:t>charge sheet</w:t>
      </w:r>
      <w:r w:rsidRPr="00337A41">
        <w:rPr>
          <w:rFonts w:cs="Times New Roman"/>
          <w:i/>
          <w:iCs/>
        </w:rPr>
        <w:t xml:space="preserve"> </w:t>
      </w:r>
      <w:r w:rsidRPr="00337A41">
        <w:rPr>
          <w:rFonts w:cs="Times New Roman"/>
          <w:b/>
          <w:i/>
          <w:iCs/>
        </w:rPr>
        <w:t xml:space="preserve">should set forth the relevant elements of the offence that </w:t>
      </w:r>
      <w:r w:rsidRPr="00D62DA3">
        <w:rPr>
          <w:rFonts w:cs="Times New Roman"/>
          <w:bCs/>
          <w:i/>
          <w:iCs/>
        </w:rPr>
        <w:t>has been committed and</w:t>
      </w:r>
      <w:r w:rsidRPr="00337A41">
        <w:rPr>
          <w:rFonts w:cs="Times New Roman"/>
          <w:b/>
          <w:i/>
          <w:iCs/>
        </w:rPr>
        <w:t xml:space="preserve"> the manner in which such offence was committed. An accused should not be left to speculate about an element of the offence</w:t>
      </w:r>
      <w:r w:rsidR="00D62DA3">
        <w:rPr>
          <w:rFonts w:cs="Times New Roman"/>
          <w:b/>
          <w:i/>
          <w:iCs/>
        </w:rPr>
        <w:t>.</w:t>
      </w:r>
    </w:p>
    <w:p w14:paraId="713443F6" w14:textId="7B42F393" w:rsidR="00887F35" w:rsidRPr="00337A41" w:rsidRDefault="00887F35" w:rsidP="00337A41">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440"/>
        <w:rPr>
          <w:rFonts w:cs="Times New Roman"/>
          <w:i/>
          <w:iCs/>
        </w:rPr>
      </w:pPr>
      <w:r w:rsidRPr="00337A41">
        <w:rPr>
          <w:rFonts w:cs="Times New Roman"/>
          <w:i/>
          <w:iCs/>
        </w:rPr>
        <w:t>[57] In R v Alexander and Others</w:t>
      </w:r>
      <w:r w:rsidR="00CD0035" w:rsidRPr="00337A41">
        <w:rPr>
          <w:rFonts w:cs="Times New Roman"/>
          <w:i/>
          <w:iCs/>
        </w:rPr>
        <w:t xml:space="preserve"> 1936 AD 445 at 447</w:t>
      </w:r>
      <w:r w:rsidRPr="00337A41">
        <w:rPr>
          <w:rFonts w:cs="Times New Roman"/>
          <w:i/>
          <w:iCs/>
        </w:rPr>
        <w:t xml:space="preserve"> it was stated that:</w:t>
      </w:r>
    </w:p>
    <w:p w14:paraId="588A8B67" w14:textId="7207F1DF" w:rsidR="00887F35" w:rsidRPr="00337A41" w:rsidRDefault="00887F35" w:rsidP="00337A41">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2160"/>
        <w:rPr>
          <w:rFonts w:cs="Times New Roman"/>
          <w:i/>
          <w:iCs/>
        </w:rPr>
      </w:pPr>
      <w:r w:rsidRPr="00337A41">
        <w:rPr>
          <w:rFonts w:cs="Times New Roman"/>
          <w:i/>
          <w:iCs/>
        </w:rPr>
        <w:t xml:space="preserve">“The purpose of </w:t>
      </w:r>
      <w:r w:rsidR="00337A41" w:rsidRPr="00337A41">
        <w:rPr>
          <w:rFonts w:cs="Times New Roman"/>
          <w:i/>
          <w:iCs/>
        </w:rPr>
        <w:t>a charge</w:t>
      </w:r>
      <w:r w:rsidRPr="00337A41">
        <w:rPr>
          <w:rFonts w:cs="Times New Roman"/>
          <w:i/>
          <w:iCs/>
        </w:rPr>
        <w:t xml:space="preserve"> -sheet is to inform the accused in clear and unmistakable language what </w:t>
      </w:r>
      <w:r w:rsidR="00337A41" w:rsidRPr="00337A41">
        <w:rPr>
          <w:rFonts w:cs="Times New Roman"/>
          <w:i/>
          <w:iCs/>
        </w:rPr>
        <w:t>the charge</w:t>
      </w:r>
      <w:r w:rsidR="00AB7774">
        <w:rPr>
          <w:rFonts w:cs="Times New Roman"/>
          <w:i/>
          <w:iCs/>
        </w:rPr>
        <w:t xml:space="preserve"> is or what the charges </w:t>
      </w:r>
      <w:r w:rsidRPr="00337A41">
        <w:rPr>
          <w:rFonts w:cs="Times New Roman"/>
          <w:i/>
          <w:iCs/>
        </w:rPr>
        <w:t xml:space="preserve">are which he has to meet. </w:t>
      </w:r>
      <w:r w:rsidRPr="00D62DA3">
        <w:rPr>
          <w:rFonts w:cs="Times New Roman"/>
          <w:b/>
          <w:bCs/>
          <w:i/>
          <w:iCs/>
        </w:rPr>
        <w:t xml:space="preserve">It must not be framed in such a way that an accused person has to guess or puzzle out by piecing sections of the indictment or portions of sections together what the </w:t>
      </w:r>
      <w:r w:rsidR="00337A41" w:rsidRPr="00D62DA3">
        <w:rPr>
          <w:rFonts w:cs="Times New Roman"/>
          <w:b/>
          <w:bCs/>
          <w:i/>
          <w:iCs/>
        </w:rPr>
        <w:t>real charge is</w:t>
      </w:r>
      <w:r w:rsidRPr="00D62DA3">
        <w:rPr>
          <w:rFonts w:cs="Times New Roman"/>
          <w:b/>
          <w:bCs/>
          <w:i/>
          <w:iCs/>
        </w:rPr>
        <w:t xml:space="preserve"> which the Crown intends to lay against him.</w:t>
      </w:r>
      <w:r w:rsidRPr="00337A41">
        <w:rPr>
          <w:rFonts w:cs="Times New Roman"/>
          <w:i/>
          <w:iCs/>
        </w:rPr>
        <w:t>”</w:t>
      </w:r>
    </w:p>
    <w:p w14:paraId="5612E3D4" w14:textId="13494A42" w:rsidR="00887F35" w:rsidRPr="00D62DA3" w:rsidRDefault="00887F35" w:rsidP="00D62DA3">
      <w:pPr>
        <w:ind w:left="1440"/>
        <w:rPr>
          <w:b/>
          <w:i/>
          <w:iCs/>
          <w:color w:val="000000"/>
          <w:u w:color="000000"/>
        </w:rPr>
      </w:pPr>
      <w:r w:rsidRPr="00D62DA3">
        <w:rPr>
          <w:bCs/>
          <w:i/>
          <w:iCs/>
        </w:rPr>
        <w:t>[58]</w:t>
      </w:r>
      <w:r w:rsidRPr="00337A41">
        <w:rPr>
          <w:b/>
          <w:i/>
          <w:iCs/>
        </w:rPr>
        <w:t xml:space="preserve"> Accordingly, the primary determination is whether </w:t>
      </w:r>
      <w:r w:rsidR="00337A41" w:rsidRPr="00337A41">
        <w:rPr>
          <w:b/>
          <w:i/>
          <w:iCs/>
        </w:rPr>
        <w:t>the charges sufficiently</w:t>
      </w:r>
      <w:r w:rsidRPr="00337A41">
        <w:rPr>
          <w:b/>
          <w:i/>
          <w:iCs/>
        </w:rPr>
        <w:t xml:space="preserve"> inform the second applicant of what case he has to meet</w:t>
      </w:r>
      <w:r w:rsidR="00D62DA3">
        <w:rPr>
          <w:b/>
          <w:i/>
          <w:iCs/>
        </w:rPr>
        <w:t>.</w:t>
      </w:r>
    </w:p>
    <w:p w14:paraId="5C51B393" w14:textId="79FB1B01" w:rsidR="00E85C0C" w:rsidRPr="00E85C0C" w:rsidRDefault="00887F35" w:rsidP="00E85C0C">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440"/>
        <w:rPr>
          <w:rFonts w:cs="Times New Roman"/>
          <w:i/>
          <w:iCs/>
        </w:rPr>
      </w:pPr>
      <w:r w:rsidRPr="00337A41">
        <w:rPr>
          <w:rFonts w:cs="Times New Roman"/>
          <w:i/>
          <w:iCs/>
        </w:rPr>
        <w:t xml:space="preserve">[59] I am satisfied that </w:t>
      </w:r>
      <w:r w:rsidR="00337A41" w:rsidRPr="00337A41">
        <w:rPr>
          <w:rFonts w:cs="Times New Roman"/>
          <w:i/>
          <w:iCs/>
        </w:rPr>
        <w:t>the charge sheet</w:t>
      </w:r>
      <w:r w:rsidRPr="00337A41">
        <w:rPr>
          <w:rFonts w:cs="Times New Roman"/>
          <w:i/>
          <w:iCs/>
        </w:rPr>
        <w:t xml:space="preserve"> </w:t>
      </w:r>
      <w:r w:rsidRPr="00D62DA3">
        <w:rPr>
          <w:rFonts w:cs="Times New Roman"/>
          <w:b/>
          <w:bCs/>
          <w:i/>
          <w:iCs/>
        </w:rPr>
        <w:t>sets out the relevant elements</w:t>
      </w:r>
      <w:r w:rsidRPr="00337A41">
        <w:rPr>
          <w:rFonts w:cs="Times New Roman"/>
          <w:i/>
          <w:iCs/>
        </w:rPr>
        <w:t xml:space="preserve"> of the offence of forgery in respect of counts 3 and 5, </w:t>
      </w:r>
      <w:r w:rsidRPr="00D62DA3">
        <w:rPr>
          <w:rFonts w:cs="Times New Roman"/>
          <w:b/>
          <w:bCs/>
          <w:i/>
          <w:iCs/>
        </w:rPr>
        <w:t>including the manner in which</w:t>
      </w:r>
      <w:r w:rsidRPr="00337A41">
        <w:rPr>
          <w:rFonts w:cs="Times New Roman"/>
          <w:i/>
          <w:iCs/>
        </w:rPr>
        <w:t xml:space="preserve"> the offences were committed. Notwithstanding that the State, at this point, does not know, with certainty, the identity of the person who forged the documents, it is clear from the unambiguous terms contained in </w:t>
      </w:r>
      <w:r w:rsidR="00337A41" w:rsidRPr="00337A41">
        <w:rPr>
          <w:rFonts w:cs="Times New Roman"/>
          <w:i/>
          <w:iCs/>
        </w:rPr>
        <w:t>the charge</w:t>
      </w:r>
      <w:r w:rsidRPr="00337A41">
        <w:rPr>
          <w:rFonts w:cs="Times New Roman"/>
          <w:i/>
          <w:iCs/>
        </w:rPr>
        <w:t xml:space="preserve"> -sheet that the State has nailed its </w:t>
      </w:r>
      <w:proofErr w:type="spellStart"/>
      <w:r w:rsidRPr="00337A41">
        <w:rPr>
          <w:rFonts w:cs="Times New Roman"/>
          <w:i/>
          <w:iCs/>
        </w:rPr>
        <w:t>colours</w:t>
      </w:r>
      <w:proofErr w:type="spellEnd"/>
      <w:r w:rsidRPr="00337A41">
        <w:rPr>
          <w:rFonts w:cs="Times New Roman"/>
          <w:i/>
          <w:iCs/>
        </w:rPr>
        <w:t xml:space="preserve"> to the mast and relies solely on the personal liability of the second applicant. It cannot be gainsaid that the second applicant has sufficient detail to (</w:t>
      </w:r>
      <w:proofErr w:type="spellStart"/>
      <w:r w:rsidRPr="00337A41">
        <w:rPr>
          <w:rFonts w:cs="Times New Roman"/>
          <w:i/>
          <w:iCs/>
        </w:rPr>
        <w:t>i</w:t>
      </w:r>
      <w:proofErr w:type="spellEnd"/>
      <w:r w:rsidRPr="00337A41">
        <w:rPr>
          <w:rFonts w:cs="Times New Roman"/>
          <w:i/>
          <w:iCs/>
        </w:rPr>
        <w:t xml:space="preserve">) inform him of the nature of </w:t>
      </w:r>
      <w:r w:rsidR="00337A41" w:rsidRPr="00337A41">
        <w:rPr>
          <w:rFonts w:cs="Times New Roman"/>
          <w:i/>
          <w:iCs/>
        </w:rPr>
        <w:t>the charges against</w:t>
      </w:r>
      <w:r w:rsidRPr="00337A41">
        <w:rPr>
          <w:rFonts w:cs="Times New Roman"/>
          <w:i/>
          <w:iCs/>
        </w:rPr>
        <w:t xml:space="preserve"> him; (ii) enable him to answer thereto; </w:t>
      </w:r>
      <w:r w:rsidRPr="00E85C0C">
        <w:rPr>
          <w:rFonts w:cs="Times New Roman"/>
          <w:b/>
          <w:bCs/>
          <w:i/>
          <w:iCs/>
        </w:rPr>
        <w:t>and (iii) properly mount his defence</w:t>
      </w:r>
      <w:r w:rsidRPr="00337A41">
        <w:rPr>
          <w:rFonts w:cs="Times New Roman"/>
          <w:i/>
          <w:iCs/>
        </w:rPr>
        <w:t xml:space="preserve">. </w:t>
      </w:r>
      <w:r w:rsidRPr="00E85C0C">
        <w:rPr>
          <w:rFonts w:cs="Times New Roman"/>
          <w:b/>
          <w:bCs/>
          <w:i/>
          <w:iCs/>
        </w:rPr>
        <w:t>There can be no question that the second applicant is not at risk of a trial by ambush or prejudiced in his preparations for trial.</w:t>
      </w:r>
      <w:r w:rsidRPr="00337A41">
        <w:rPr>
          <w:rFonts w:cs="Times New Roman"/>
          <w:i/>
          <w:iCs/>
        </w:rPr>
        <w:t xml:space="preserve"> Whether the State will, in due course, </w:t>
      </w:r>
      <w:r w:rsidRPr="00E85C0C">
        <w:rPr>
          <w:rFonts w:cs="Times New Roman"/>
          <w:b/>
          <w:bCs/>
          <w:i/>
          <w:iCs/>
        </w:rPr>
        <w:t xml:space="preserve">be in a position to prove its case on the evidence available to it, which evidence is not within the particular knowledge of this court, is not for this court to determine. </w:t>
      </w:r>
      <w:r w:rsidRPr="00337A41">
        <w:rPr>
          <w:rFonts w:cs="Times New Roman"/>
          <w:i/>
          <w:iCs/>
        </w:rPr>
        <w:t>I am not at liberty, at this stage of the proceedings, to draw an inference concerning the strength or weakness of the State’s case from the prosecutor’s inability to furnish particulars.</w:t>
      </w:r>
    </w:p>
    <w:p w14:paraId="5CFD460E" w14:textId="7B7017AD" w:rsidR="00A03D01" w:rsidRPr="004E0D7A" w:rsidRDefault="00A03D01" w:rsidP="00A03D01">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before="240"/>
        <w:ind w:left="720"/>
        <w:rPr>
          <w:rFonts w:cs="Times New Roman"/>
          <w:b/>
          <w:bCs/>
        </w:rPr>
      </w:pPr>
      <w:r w:rsidRPr="004E0D7A">
        <w:rPr>
          <w:rFonts w:cs="Times New Roman"/>
          <w:b/>
          <w:bCs/>
        </w:rPr>
        <w:t>Analysis</w:t>
      </w:r>
      <w:r w:rsidR="004E0D7A">
        <w:rPr>
          <w:rFonts w:cs="Times New Roman"/>
          <w:b/>
          <w:bCs/>
        </w:rPr>
        <w:t xml:space="preserve"> and </w:t>
      </w:r>
      <w:r w:rsidR="00163ADA">
        <w:rPr>
          <w:rFonts w:cs="Times New Roman"/>
          <w:b/>
          <w:bCs/>
        </w:rPr>
        <w:t>Determination</w:t>
      </w:r>
    </w:p>
    <w:p w14:paraId="1D2FA321" w14:textId="58699770" w:rsidR="00163ADA" w:rsidRDefault="00163ADA" w:rsidP="00887F35">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rPr>
      </w:pPr>
      <w:r w:rsidRPr="00163ADA">
        <w:rPr>
          <w:rFonts w:cs="Times New Roman"/>
        </w:rPr>
        <w:t>Based on all of the above</w:t>
      </w:r>
      <w:r w:rsidR="00AB7774">
        <w:rPr>
          <w:rFonts w:cs="Times New Roman"/>
        </w:rPr>
        <w:t>,</w:t>
      </w:r>
      <w:r w:rsidRPr="00163ADA">
        <w:rPr>
          <w:rFonts w:cs="Times New Roman"/>
        </w:rPr>
        <w:t xml:space="preserve"> I have come to the following determinations</w:t>
      </w:r>
      <w:r w:rsidR="001D5219">
        <w:rPr>
          <w:rFonts w:cs="Times New Roman"/>
        </w:rPr>
        <w:t xml:space="preserve">. </w:t>
      </w:r>
      <w:r w:rsidR="001D5219" w:rsidRPr="001D5219">
        <w:rPr>
          <w:rFonts w:cs="Times New Roman"/>
        </w:rPr>
        <w:t>First of all I note that the two charges are relatively uncomplicated, without any technical components that necessitate particular emphasis through particularization.</w:t>
      </w:r>
      <w:r w:rsidR="001D5219">
        <w:rPr>
          <w:rFonts w:cs="Times New Roman"/>
        </w:rPr>
        <w:t xml:space="preserve"> </w:t>
      </w:r>
      <w:r w:rsidR="001D5219" w:rsidRPr="001D5219">
        <w:rPr>
          <w:rFonts w:cs="Times New Roman"/>
        </w:rPr>
        <w:t>Secondly, there is a difference between evidence that needs to be tendered in support of the charges</w:t>
      </w:r>
      <w:r w:rsidR="00AB7774">
        <w:rPr>
          <w:rFonts w:cs="Times New Roman"/>
        </w:rPr>
        <w:t>,</w:t>
      </w:r>
      <w:r w:rsidR="001D5219" w:rsidRPr="001D5219">
        <w:rPr>
          <w:rFonts w:cs="Times New Roman"/>
        </w:rPr>
        <w:t xml:space="preserve"> which has to be produced at the trial and the objections as to charges. At this initial point in the case</w:t>
      </w:r>
      <w:r w:rsidR="00AB7774">
        <w:rPr>
          <w:rFonts w:cs="Times New Roman"/>
        </w:rPr>
        <w:t>,</w:t>
      </w:r>
      <w:r w:rsidR="001D5219" w:rsidRPr="001D5219">
        <w:rPr>
          <w:rFonts w:cs="Times New Roman"/>
        </w:rPr>
        <w:t xml:space="preserve"> the </w:t>
      </w:r>
      <w:r w:rsidR="001D5219">
        <w:rPr>
          <w:rFonts w:cs="Times New Roman"/>
        </w:rPr>
        <w:t>C</w:t>
      </w:r>
      <w:r w:rsidR="001D5219" w:rsidRPr="001D5219">
        <w:rPr>
          <w:rFonts w:cs="Times New Roman"/>
        </w:rPr>
        <w:t>ourt is not concerned with evidence, but rather if ex facie th</w:t>
      </w:r>
      <w:r w:rsidR="001D5219">
        <w:rPr>
          <w:rFonts w:cs="Times New Roman"/>
        </w:rPr>
        <w:t xml:space="preserve">e </w:t>
      </w:r>
      <w:r w:rsidR="001D5219" w:rsidRPr="001D5219">
        <w:rPr>
          <w:rFonts w:cs="Times New Roman"/>
        </w:rPr>
        <w:t>charges m</w:t>
      </w:r>
      <w:r w:rsidR="001D5219">
        <w:rPr>
          <w:rFonts w:cs="Times New Roman"/>
        </w:rPr>
        <w:t>e</w:t>
      </w:r>
      <w:r w:rsidR="001D5219" w:rsidRPr="001D5219">
        <w:rPr>
          <w:rFonts w:cs="Times New Roman"/>
        </w:rPr>
        <w:t xml:space="preserve">et the test set out in law. </w:t>
      </w:r>
      <w:r w:rsidR="001D5219" w:rsidRPr="00CA53B6">
        <w:rPr>
          <w:rFonts w:cs="Times New Roman"/>
        </w:rPr>
        <w:t>If</w:t>
      </w:r>
      <w:r w:rsidR="00AB7774" w:rsidRPr="00CA53B6">
        <w:rPr>
          <w:rFonts w:cs="Times New Roman"/>
        </w:rPr>
        <w:t>,</w:t>
      </w:r>
      <w:r w:rsidR="001D5219" w:rsidRPr="00CA53B6">
        <w:rPr>
          <w:rFonts w:cs="Times New Roman"/>
        </w:rPr>
        <w:t xml:space="preserve"> for some reasons the prosecution feels that according to their evidence the case is one where the accused</w:t>
      </w:r>
      <w:r w:rsidR="00AB7774" w:rsidRPr="00CA53B6">
        <w:rPr>
          <w:rFonts w:cs="Times New Roman"/>
        </w:rPr>
        <w:t xml:space="preserve"> persons</w:t>
      </w:r>
      <w:r w:rsidR="001D5219" w:rsidRPr="00CA53B6">
        <w:rPr>
          <w:rFonts w:cs="Times New Roman"/>
        </w:rPr>
        <w:t xml:space="preserve"> concern</w:t>
      </w:r>
      <w:r w:rsidR="00CA53B6">
        <w:rPr>
          <w:rFonts w:cs="Times New Roman"/>
        </w:rPr>
        <w:t>ed</w:t>
      </w:r>
      <w:r w:rsidR="001D5219" w:rsidRPr="00CA53B6">
        <w:rPr>
          <w:rFonts w:cs="Times New Roman"/>
        </w:rPr>
        <w:t xml:space="preserve"> were simply wanting to sell a firearm rather than a specific kind of firearm, the prosecution would be at liberty to do the respective </w:t>
      </w:r>
      <w:r w:rsidR="001D5219" w:rsidRPr="00CA53B6">
        <w:rPr>
          <w:rFonts w:cs="Times New Roman"/>
        </w:rPr>
        <w:lastRenderedPageBreak/>
        <w:t>amendments so that they would, presumably, be able to prove their case based on this fact. This falls within their prosecutorial discretions and the</w:t>
      </w:r>
      <w:r w:rsidR="0097405E" w:rsidRPr="00CA53B6">
        <w:rPr>
          <w:rFonts w:cs="Times New Roman"/>
        </w:rPr>
        <w:t xml:space="preserve"> court cannot interfere with it, unless there is a finding there that the amendments cause</w:t>
      </w:r>
      <w:r w:rsidR="00067B55">
        <w:rPr>
          <w:rFonts w:cs="Times New Roman"/>
        </w:rPr>
        <w:t xml:space="preserve">s prejudice, which I find is </w:t>
      </w:r>
      <w:r w:rsidR="0097405E" w:rsidRPr="00CA53B6">
        <w:rPr>
          <w:rFonts w:cs="Times New Roman"/>
        </w:rPr>
        <w:t xml:space="preserve"> the case here. A</w:t>
      </w:r>
      <w:r w:rsidR="001D5219" w:rsidRPr="00CA53B6">
        <w:rPr>
          <w:rFonts w:cs="Times New Roman"/>
        </w:rPr>
        <w:t>s to whethe</w:t>
      </w:r>
      <w:r w:rsidR="0097405E" w:rsidRPr="00CA53B6">
        <w:rPr>
          <w:rFonts w:cs="Times New Roman"/>
        </w:rPr>
        <w:t xml:space="preserve">r the amendment </w:t>
      </w:r>
      <w:r w:rsidR="001D5219" w:rsidRPr="00CA53B6">
        <w:rPr>
          <w:rFonts w:cs="Times New Roman"/>
        </w:rPr>
        <w:t xml:space="preserve">would suffice to </w:t>
      </w:r>
      <w:r w:rsidR="0097405E" w:rsidRPr="00CA53B6">
        <w:rPr>
          <w:rFonts w:cs="Times New Roman"/>
        </w:rPr>
        <w:t xml:space="preserve">allow the prosecution to </w:t>
      </w:r>
      <w:r w:rsidR="001D5219" w:rsidRPr="00CA53B6">
        <w:rPr>
          <w:rFonts w:cs="Times New Roman"/>
        </w:rPr>
        <w:t>prove the offences according to the legal standard of proof would be one for the court to decide at the appropriate moment.</w:t>
      </w:r>
    </w:p>
    <w:p w14:paraId="5D78C544" w14:textId="725C375F" w:rsidR="001D5219" w:rsidRDefault="001D5219" w:rsidP="00887F35">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rPr>
      </w:pPr>
      <w:r>
        <w:rPr>
          <w:rFonts w:cs="Times New Roman"/>
        </w:rPr>
        <w:t>O</w:t>
      </w:r>
      <w:r w:rsidR="00E85C0C">
        <w:rPr>
          <w:rFonts w:cs="Times New Roman"/>
        </w:rPr>
        <w:t>n the one hand</w:t>
      </w:r>
      <w:r>
        <w:rPr>
          <w:rFonts w:cs="Times New Roman"/>
        </w:rPr>
        <w:t>,</w:t>
      </w:r>
      <w:r w:rsidR="00E85C0C">
        <w:rPr>
          <w:rFonts w:cs="Times New Roman"/>
        </w:rPr>
        <w:t xml:space="preserve"> it can be said that the particulars of charge set out relevant element of the offence by referring to ‘firearm’. </w:t>
      </w:r>
      <w:r>
        <w:rPr>
          <w:rFonts w:cs="Times New Roman"/>
        </w:rPr>
        <w:t>At this point, it</w:t>
      </w:r>
      <w:r w:rsidRPr="001D5219">
        <w:rPr>
          <w:rFonts w:cs="Times New Roman"/>
        </w:rPr>
        <w:t xml:space="preserve"> </w:t>
      </w:r>
      <w:r>
        <w:rPr>
          <w:rFonts w:cs="Times New Roman"/>
        </w:rPr>
        <w:t>can be</w:t>
      </w:r>
      <w:r w:rsidRPr="001D5219">
        <w:rPr>
          <w:rFonts w:cs="Times New Roman"/>
        </w:rPr>
        <w:t xml:space="preserve"> premature for this </w:t>
      </w:r>
      <w:r>
        <w:rPr>
          <w:rFonts w:cs="Times New Roman"/>
        </w:rPr>
        <w:t>C</w:t>
      </w:r>
      <w:r w:rsidRPr="001D5219">
        <w:rPr>
          <w:rFonts w:cs="Times New Roman"/>
        </w:rPr>
        <w:t>ourt to rule as to whether</w:t>
      </w:r>
      <w:r w:rsidR="00AB7774">
        <w:rPr>
          <w:rFonts w:cs="Times New Roman"/>
        </w:rPr>
        <w:t>,</w:t>
      </w:r>
      <w:r w:rsidRPr="001D5219">
        <w:rPr>
          <w:rFonts w:cs="Times New Roman"/>
        </w:rPr>
        <w:t xml:space="preserve"> in the context of the particular charges</w:t>
      </w:r>
      <w:r w:rsidR="00AB7774">
        <w:rPr>
          <w:rFonts w:cs="Times New Roman"/>
        </w:rPr>
        <w:t>,</w:t>
      </w:r>
      <w:r w:rsidRPr="001D5219">
        <w:rPr>
          <w:rFonts w:cs="Times New Roman"/>
        </w:rPr>
        <w:t xml:space="preserve"> which are all inchoate in nature, a specifically described firearm would constitute an essential element of the offences, the failure of proving </w:t>
      </w:r>
      <w:r w:rsidR="00AB7774">
        <w:rPr>
          <w:rFonts w:cs="Times New Roman"/>
        </w:rPr>
        <w:t xml:space="preserve">the </w:t>
      </w:r>
      <w:r w:rsidRPr="001D5219">
        <w:rPr>
          <w:rFonts w:cs="Times New Roman"/>
        </w:rPr>
        <w:t xml:space="preserve">same being fatal to the prosecution case. This is a matter that has to be decided during the course of the trial proceedings. </w:t>
      </w:r>
      <w:r w:rsidR="00E85C0C">
        <w:rPr>
          <w:rFonts w:cs="Times New Roman"/>
        </w:rPr>
        <w:t>As was argued by the prosecution</w:t>
      </w:r>
      <w:r w:rsidR="00AB7774">
        <w:rPr>
          <w:rFonts w:cs="Times New Roman"/>
        </w:rPr>
        <w:t>,</w:t>
      </w:r>
      <w:r w:rsidR="00E85C0C">
        <w:rPr>
          <w:rFonts w:cs="Times New Roman"/>
        </w:rPr>
        <w:t xml:space="preserve"> section 84 does not differentiate between types of firearms.</w:t>
      </w:r>
      <w:r w:rsidR="003E0D97">
        <w:rPr>
          <w:rFonts w:cs="Times New Roman"/>
        </w:rPr>
        <w:t xml:space="preserve"> </w:t>
      </w:r>
    </w:p>
    <w:p w14:paraId="72143E69" w14:textId="590F512E" w:rsidR="003E0D97" w:rsidRDefault="001D5219" w:rsidP="00887F35">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rPr>
      </w:pPr>
      <w:r>
        <w:rPr>
          <w:rFonts w:cs="Times New Roman"/>
        </w:rPr>
        <w:t>However</w:t>
      </w:r>
      <w:r w:rsidR="003E0D97">
        <w:rPr>
          <w:rFonts w:cs="Times New Roman"/>
        </w:rPr>
        <w:t xml:space="preserve">, section 84(1) contains </w:t>
      </w:r>
      <w:r w:rsidR="004E0D7A">
        <w:rPr>
          <w:rFonts w:cs="Times New Roman"/>
        </w:rPr>
        <w:t>a</w:t>
      </w:r>
      <w:r w:rsidR="003E0D97">
        <w:rPr>
          <w:rFonts w:cs="Times New Roman"/>
        </w:rPr>
        <w:t xml:space="preserve"> defence to the charge of having “</w:t>
      </w:r>
      <w:r w:rsidR="003E0D97" w:rsidRPr="008C17F5">
        <w:rPr>
          <w:rFonts w:cs="Times New Roman"/>
        </w:rPr>
        <w:t>lawful authority or reasonable excuse</w:t>
      </w:r>
      <w:r w:rsidR="003E0D97">
        <w:rPr>
          <w:rFonts w:cs="Times New Roman"/>
        </w:rPr>
        <w:t>”:</w:t>
      </w:r>
    </w:p>
    <w:p w14:paraId="473AA40A" w14:textId="67F15B40" w:rsidR="003E0D97" w:rsidRPr="003E0D97" w:rsidRDefault="003E0D97" w:rsidP="003E0D97">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440"/>
        <w:rPr>
          <w:rFonts w:cs="Times New Roman"/>
          <w:i/>
          <w:iCs/>
        </w:rPr>
      </w:pPr>
      <w:r w:rsidRPr="003E0D97">
        <w:rPr>
          <w:rFonts w:cs="Times New Roman"/>
          <w:i/>
          <w:iCs/>
        </w:rPr>
        <w:t xml:space="preserve">84 (1) Any person who, </w:t>
      </w:r>
      <w:r w:rsidRPr="003E0D97">
        <w:rPr>
          <w:rFonts w:cs="Times New Roman"/>
          <w:b/>
          <w:bCs/>
          <w:i/>
          <w:iCs/>
        </w:rPr>
        <w:t>without lawful authority or reasonable excuse</w:t>
      </w:r>
      <w:r w:rsidRPr="003E0D97">
        <w:rPr>
          <w:rFonts w:cs="Times New Roman"/>
          <w:i/>
          <w:iCs/>
        </w:rPr>
        <w:t>, the proof whereof shall lie upon him, carries or has in his possession or under his control any firearm or other offensive weapon, or any ammunition, incendiary material or explosive in circumstances which raise a reasonable presumption that such firearm, offensive weapon, ammunition, incendiary material or explosive is intended to be used or has recently been used in a manner or for a purpose prejudicial to public order is guilty of a felony ad is liable to imprisonment for seven years.</w:t>
      </w:r>
    </w:p>
    <w:p w14:paraId="1A2CFF9B" w14:textId="44CA4A84" w:rsidR="003E0D97" w:rsidRDefault="003E0D97" w:rsidP="00887F35">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rPr>
      </w:pPr>
      <w:r>
        <w:rPr>
          <w:rFonts w:cs="Times New Roman"/>
        </w:rPr>
        <w:t>Therefore</w:t>
      </w:r>
      <w:r w:rsidR="00E85C0C">
        <w:rPr>
          <w:rFonts w:cs="Times New Roman"/>
        </w:rPr>
        <w:t xml:space="preserve">, the argument that the prosecution must specify the type of firearm </w:t>
      </w:r>
      <w:r w:rsidR="002F5AD6">
        <w:rPr>
          <w:rFonts w:cs="Times New Roman"/>
        </w:rPr>
        <w:t>is</w:t>
      </w:r>
      <w:r w:rsidR="00E85C0C">
        <w:rPr>
          <w:rFonts w:cs="Times New Roman"/>
        </w:rPr>
        <w:t xml:space="preserve"> relevant in relation </w:t>
      </w:r>
      <w:r w:rsidR="008C17F5">
        <w:rPr>
          <w:rFonts w:cs="Times New Roman"/>
        </w:rPr>
        <w:t xml:space="preserve">to offence under section 84(1). Under section 84(1) specification of the type of firearm is actually crucial as, for instance, a person may have several firearms in possession, and may have lawful authority or reasonable excuse </w:t>
      </w:r>
      <w:r w:rsidR="00735A85">
        <w:rPr>
          <w:rFonts w:cs="Times New Roman"/>
        </w:rPr>
        <w:t>for the</w:t>
      </w:r>
      <w:r w:rsidR="008C17F5">
        <w:rPr>
          <w:rFonts w:cs="Times New Roman"/>
        </w:rPr>
        <w:t xml:space="preserve"> possession of some of them. In the context of section 84(1)</w:t>
      </w:r>
      <w:r w:rsidR="00735A85">
        <w:rPr>
          <w:rFonts w:cs="Times New Roman"/>
        </w:rPr>
        <w:t>,</w:t>
      </w:r>
      <w:r w:rsidR="008C17F5">
        <w:rPr>
          <w:rFonts w:cs="Times New Roman"/>
        </w:rPr>
        <w:t xml:space="preserve"> the </w:t>
      </w:r>
      <w:r>
        <w:rPr>
          <w:rFonts w:cs="Times New Roman"/>
        </w:rPr>
        <w:t>accused</w:t>
      </w:r>
      <w:r w:rsidR="008C17F5">
        <w:rPr>
          <w:rFonts w:cs="Times New Roman"/>
        </w:rPr>
        <w:t xml:space="preserve"> therefore must be informed </w:t>
      </w:r>
      <w:r>
        <w:rPr>
          <w:rFonts w:cs="Times New Roman"/>
        </w:rPr>
        <w:t xml:space="preserve">which specific firearm prosecution is alleging </w:t>
      </w:r>
      <w:r w:rsidR="00735A85">
        <w:rPr>
          <w:rFonts w:cs="Times New Roman"/>
        </w:rPr>
        <w:t xml:space="preserve">the </w:t>
      </w:r>
      <w:r>
        <w:rPr>
          <w:rFonts w:cs="Times New Roman"/>
        </w:rPr>
        <w:t xml:space="preserve">accused had in possession without lawful authority or reasonable excuse. In the present case, amended Count 2 (amendment which is not objected to) is under section 84(1) and particulars of the offence actually do specify </w:t>
      </w:r>
      <w:r w:rsidR="00735A85">
        <w:rPr>
          <w:rFonts w:cs="Times New Roman"/>
        </w:rPr>
        <w:t xml:space="preserve">the </w:t>
      </w:r>
      <w:r>
        <w:rPr>
          <w:rFonts w:cs="Times New Roman"/>
        </w:rPr>
        <w:t xml:space="preserve">type of firearm </w:t>
      </w:r>
      <w:r w:rsidR="00735A85">
        <w:rPr>
          <w:rFonts w:cs="Times New Roman"/>
        </w:rPr>
        <w:t>as an</w:t>
      </w:r>
      <w:r>
        <w:rPr>
          <w:rFonts w:cs="Times New Roman"/>
        </w:rPr>
        <w:t xml:space="preserve"> AK47 rifle.</w:t>
      </w:r>
    </w:p>
    <w:p w14:paraId="04527E36" w14:textId="04DE9345" w:rsidR="003E0D97" w:rsidRDefault="003E0D97" w:rsidP="003E0D97">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rPr>
      </w:pPr>
      <w:r>
        <w:rPr>
          <w:rFonts w:cs="Times New Roman"/>
        </w:rPr>
        <w:lastRenderedPageBreak/>
        <w:t xml:space="preserve">Section 84(3) (Counts 1 and 3, which are being objected to) does not </w:t>
      </w:r>
      <w:r w:rsidR="00025D75">
        <w:rPr>
          <w:rFonts w:cs="Times New Roman"/>
        </w:rPr>
        <w:t>specify that lawful authority or reasona</w:t>
      </w:r>
      <w:r w:rsidR="00221606">
        <w:rPr>
          <w:rFonts w:cs="Times New Roman"/>
        </w:rPr>
        <w:t>ble excuse are relevant factors;</w:t>
      </w:r>
      <w:r w:rsidR="00025D75">
        <w:rPr>
          <w:rFonts w:cs="Times New Roman"/>
        </w:rPr>
        <w:t xml:space="preserve"> </w:t>
      </w:r>
      <w:r w:rsidR="00905312">
        <w:rPr>
          <w:rFonts w:cs="Times New Roman"/>
        </w:rPr>
        <w:t xml:space="preserve">however, </w:t>
      </w:r>
      <w:r w:rsidR="00025D75">
        <w:rPr>
          <w:rFonts w:cs="Times New Roman"/>
        </w:rPr>
        <w:t>instead it specifies circumstances in which alleged acts under section 84(3) would constitute an offence</w:t>
      </w:r>
      <w:r>
        <w:rPr>
          <w:rFonts w:cs="Times New Roman"/>
        </w:rPr>
        <w:t>:</w:t>
      </w:r>
    </w:p>
    <w:p w14:paraId="214F66A9" w14:textId="4FE8D08B" w:rsidR="00905312" w:rsidRDefault="003E0D97" w:rsidP="00905312">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440"/>
        <w:rPr>
          <w:rFonts w:cs="Times New Roman"/>
        </w:rPr>
      </w:pPr>
      <w:r w:rsidRPr="003E0D97">
        <w:rPr>
          <w:rFonts w:cs="Times New Roman"/>
          <w:i/>
          <w:iCs/>
        </w:rPr>
        <w:t>“84 (3) Any person who knowingly negotiates, procures, arranges for, or is in any way concerned in or assists, the delivery to any other person, or the delivery by any person to any other person, of any firearm or other offensive weapon, or any ammunition, incendiary material or explosive, whether by way of sale, hire, gift, loan or otherwise</w:t>
      </w:r>
      <w:r w:rsidRPr="00905312">
        <w:rPr>
          <w:rFonts w:cs="Times New Roman"/>
          <w:i/>
          <w:iCs/>
        </w:rPr>
        <w:t>,</w:t>
      </w:r>
      <w:r w:rsidRPr="00025D75">
        <w:rPr>
          <w:rFonts w:cs="Times New Roman"/>
          <w:b/>
          <w:bCs/>
          <w:i/>
          <w:iCs/>
        </w:rPr>
        <w:t xml:space="preserve"> in circumstances which raise a reasonable presumption that he knew or believed that such firearm, offensive weapon, ammunition, incendiary material or explosive was intended or likely to be used by any person in a manner or for a purpose prejudicial to public order is guilty of a felony and is liable to imprisonment for five years</w:t>
      </w:r>
      <w:r w:rsidRPr="003E0D97">
        <w:rPr>
          <w:rFonts w:cs="Times New Roman"/>
          <w:i/>
          <w:iCs/>
        </w:rPr>
        <w:t>.”</w:t>
      </w:r>
      <w:r w:rsidR="00905312">
        <w:rPr>
          <w:rFonts w:cs="Times New Roman"/>
        </w:rPr>
        <w:t xml:space="preserve"> (emphasis added)</w:t>
      </w:r>
    </w:p>
    <w:p w14:paraId="4531DEAA" w14:textId="57275B2A" w:rsidR="00905312" w:rsidRPr="00C5658F" w:rsidRDefault="003E0D97" w:rsidP="00C5658F">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rPr>
      </w:pPr>
      <w:r>
        <w:rPr>
          <w:rFonts w:cs="Times New Roman"/>
        </w:rPr>
        <w:t xml:space="preserve">Upon </w:t>
      </w:r>
      <w:r w:rsidR="00EC0611">
        <w:rPr>
          <w:rFonts w:cs="Times New Roman"/>
        </w:rPr>
        <w:t>careful examination</w:t>
      </w:r>
      <w:r>
        <w:rPr>
          <w:rFonts w:cs="Times New Roman"/>
        </w:rPr>
        <w:t xml:space="preserve"> of the </w:t>
      </w:r>
      <w:r w:rsidR="00EC0611">
        <w:rPr>
          <w:rFonts w:cs="Times New Roman"/>
        </w:rPr>
        <w:t>statutory language</w:t>
      </w:r>
      <w:r w:rsidR="00697878">
        <w:rPr>
          <w:rFonts w:cs="Times New Roman"/>
        </w:rPr>
        <w:t xml:space="preserve">, </w:t>
      </w:r>
      <w:r w:rsidR="002F5AD6">
        <w:rPr>
          <w:rFonts w:cs="Times New Roman"/>
        </w:rPr>
        <w:t xml:space="preserve">it may </w:t>
      </w:r>
      <w:r w:rsidR="00EC0611">
        <w:rPr>
          <w:rFonts w:cs="Times New Roman"/>
        </w:rPr>
        <w:t>initially seem</w:t>
      </w:r>
      <w:r w:rsidR="002F5AD6">
        <w:rPr>
          <w:rFonts w:cs="Times New Roman"/>
        </w:rPr>
        <w:t xml:space="preserve"> to be irrelevant </w:t>
      </w:r>
      <w:r w:rsidR="00EC0611">
        <w:rPr>
          <w:rFonts w:cs="Times New Roman"/>
        </w:rPr>
        <w:t>under this provision</w:t>
      </w:r>
      <w:r w:rsidR="002F5AD6">
        <w:rPr>
          <w:rFonts w:cs="Times New Roman"/>
        </w:rPr>
        <w:t xml:space="preserve"> whether </w:t>
      </w:r>
      <w:r w:rsidR="00EC0611">
        <w:rPr>
          <w:rFonts w:cs="Times New Roman"/>
        </w:rPr>
        <w:t>an individual</w:t>
      </w:r>
      <w:r w:rsidR="004E0D7A">
        <w:rPr>
          <w:rFonts w:cs="Times New Roman"/>
        </w:rPr>
        <w:t>,</w:t>
      </w:r>
      <w:r w:rsidR="002F5AD6">
        <w:rPr>
          <w:rFonts w:cs="Times New Roman"/>
        </w:rPr>
        <w:t xml:space="preserve"> for instance</w:t>
      </w:r>
      <w:r w:rsidR="004E0D7A">
        <w:rPr>
          <w:rFonts w:cs="Times New Roman"/>
        </w:rPr>
        <w:t xml:space="preserve">, </w:t>
      </w:r>
      <w:r w:rsidR="002F5AD6">
        <w:rPr>
          <w:rFonts w:cs="Times New Roman"/>
        </w:rPr>
        <w:t>sold a rifle or a pistol</w:t>
      </w:r>
      <w:r w:rsidR="005274B9">
        <w:rPr>
          <w:rFonts w:cs="Times New Roman"/>
        </w:rPr>
        <w:t>.</w:t>
      </w:r>
      <w:r w:rsidR="00EC0611" w:rsidRPr="00EC0611">
        <w:t xml:space="preserve"> </w:t>
      </w:r>
      <w:r w:rsidR="00EC0611" w:rsidRPr="00EC0611">
        <w:rPr>
          <w:rFonts w:cs="Times New Roman"/>
        </w:rPr>
        <w:t>Similarly, the possession authorization for such firearms they sold may also appear immaterial, as the singular act of sale or delivery may suffice to constitute an offense</w:t>
      </w:r>
      <w:r w:rsidR="002F5AD6">
        <w:rPr>
          <w:rFonts w:cs="Times New Roman"/>
        </w:rPr>
        <w:t xml:space="preserve">. However, </w:t>
      </w:r>
      <w:r w:rsidR="00EC0611">
        <w:t xml:space="preserve">it is noteworthy that </w:t>
      </w:r>
      <w:r w:rsidR="002F5AD6">
        <w:rPr>
          <w:rFonts w:cs="Times New Roman"/>
        </w:rPr>
        <w:t xml:space="preserve">the section </w:t>
      </w:r>
      <w:r w:rsidR="00697878">
        <w:rPr>
          <w:rFonts w:cs="Times New Roman"/>
        </w:rPr>
        <w:t xml:space="preserve">does not appear to </w:t>
      </w:r>
      <w:r w:rsidR="00EC0611">
        <w:rPr>
          <w:rFonts w:cs="Times New Roman"/>
        </w:rPr>
        <w:t>enact</w:t>
      </w:r>
      <w:r w:rsidR="00697878">
        <w:rPr>
          <w:rFonts w:cs="Times New Roman"/>
        </w:rPr>
        <w:t xml:space="preserve"> </w:t>
      </w:r>
      <w:r w:rsidR="00EC0611">
        <w:rPr>
          <w:rFonts w:cs="Times New Roman"/>
        </w:rPr>
        <w:t>an outright</w:t>
      </w:r>
      <w:r w:rsidR="00697878">
        <w:rPr>
          <w:rFonts w:cs="Times New Roman"/>
        </w:rPr>
        <w:t xml:space="preserve"> </w:t>
      </w:r>
      <w:r w:rsidR="00EC0611">
        <w:rPr>
          <w:rFonts w:cs="Times New Roman"/>
        </w:rPr>
        <w:t>prohibition</w:t>
      </w:r>
      <w:r w:rsidR="00697878">
        <w:rPr>
          <w:rFonts w:cs="Times New Roman"/>
        </w:rPr>
        <w:t xml:space="preserve"> on </w:t>
      </w:r>
      <w:r w:rsidR="00EC0611">
        <w:rPr>
          <w:rFonts w:cs="Times New Roman"/>
        </w:rPr>
        <w:t xml:space="preserve">the </w:t>
      </w:r>
      <w:r w:rsidR="00697878">
        <w:rPr>
          <w:rFonts w:cs="Times New Roman"/>
        </w:rPr>
        <w:t xml:space="preserve">delivery, sale, hire, gift, loan </w:t>
      </w:r>
      <w:r w:rsidR="00EC0611">
        <w:rPr>
          <w:rFonts w:cs="Times New Roman"/>
        </w:rPr>
        <w:t>involving firearms. Rather,</w:t>
      </w:r>
      <w:r w:rsidR="00697878">
        <w:rPr>
          <w:rFonts w:cs="Times New Roman"/>
        </w:rPr>
        <w:t xml:space="preserve"> such </w:t>
      </w:r>
      <w:r w:rsidR="00EC0611">
        <w:rPr>
          <w:rFonts w:cs="Times New Roman"/>
        </w:rPr>
        <w:t>actions</w:t>
      </w:r>
      <w:r w:rsidR="00697878">
        <w:rPr>
          <w:rFonts w:cs="Times New Roman"/>
        </w:rPr>
        <w:t xml:space="preserve"> would </w:t>
      </w:r>
      <w:r w:rsidR="00EC0611">
        <w:rPr>
          <w:rFonts w:cs="Times New Roman"/>
        </w:rPr>
        <w:t xml:space="preserve">only amount to </w:t>
      </w:r>
      <w:r w:rsidR="00697878">
        <w:rPr>
          <w:rFonts w:cs="Times New Roman"/>
        </w:rPr>
        <w:t xml:space="preserve">an offence if </w:t>
      </w:r>
      <w:r w:rsidR="00EC0611">
        <w:rPr>
          <w:rFonts w:cs="Times New Roman"/>
        </w:rPr>
        <w:t>carried out</w:t>
      </w:r>
      <w:r w:rsidR="00697878">
        <w:rPr>
          <w:rFonts w:cs="Times New Roman"/>
        </w:rPr>
        <w:t xml:space="preserve"> </w:t>
      </w:r>
      <w:r w:rsidR="00EC0611">
        <w:rPr>
          <w:rFonts w:cs="Times New Roman"/>
        </w:rPr>
        <w:t>under</w:t>
      </w:r>
      <w:r w:rsidR="00697878">
        <w:rPr>
          <w:rFonts w:cs="Times New Roman"/>
        </w:rPr>
        <w:t xml:space="preserve"> circumstances </w:t>
      </w:r>
      <w:r w:rsidR="00697878" w:rsidRPr="00697878">
        <w:rPr>
          <w:rFonts w:cs="Times New Roman"/>
        </w:rPr>
        <w:t>which raise a reasonable presumption</w:t>
      </w:r>
      <w:r w:rsidR="00EC0611">
        <w:rPr>
          <w:rFonts w:cs="Times New Roman"/>
        </w:rPr>
        <w:t>, as</w:t>
      </w:r>
      <w:r w:rsidR="00697878">
        <w:rPr>
          <w:rFonts w:cs="Times New Roman"/>
        </w:rPr>
        <w:t xml:space="preserve"> specified in section 84(3). </w:t>
      </w:r>
      <w:r w:rsidR="00313EA9">
        <w:rPr>
          <w:rFonts w:cs="Times New Roman"/>
        </w:rPr>
        <w:t xml:space="preserve">In </w:t>
      </w:r>
      <w:r w:rsidR="00EC0611">
        <w:rPr>
          <w:rFonts w:cs="Times New Roman"/>
        </w:rPr>
        <w:t>practical terms</w:t>
      </w:r>
      <w:r w:rsidR="00313EA9">
        <w:rPr>
          <w:rFonts w:cs="Times New Roman"/>
        </w:rPr>
        <w:t xml:space="preserve">, </w:t>
      </w:r>
      <w:r w:rsidR="00EC0611">
        <w:rPr>
          <w:rFonts w:cs="Times New Roman"/>
        </w:rPr>
        <w:t>this implies that an individual</w:t>
      </w:r>
      <w:r w:rsidR="00313EA9">
        <w:rPr>
          <w:rFonts w:cs="Times New Roman"/>
        </w:rPr>
        <w:t xml:space="preserve"> may have sold a pistol in circumstances which </w:t>
      </w:r>
      <w:r w:rsidR="00313EA9" w:rsidRPr="00313EA9">
        <w:rPr>
          <w:rFonts w:cs="Times New Roman"/>
          <w:u w:val="single"/>
        </w:rPr>
        <w:t>do not raise</w:t>
      </w:r>
      <w:r w:rsidR="00313EA9">
        <w:rPr>
          <w:rFonts w:cs="Times New Roman"/>
        </w:rPr>
        <w:t xml:space="preserve"> reasonable presumption under section 84(3) </w:t>
      </w:r>
      <w:r w:rsidR="00EC0611">
        <w:rPr>
          <w:rFonts w:cs="Times New Roman"/>
        </w:rPr>
        <w:t>however, may have</w:t>
      </w:r>
      <w:r w:rsidR="00313EA9">
        <w:rPr>
          <w:rFonts w:cs="Times New Roman"/>
        </w:rPr>
        <w:t xml:space="preserve"> sold a rifle in circumstances which </w:t>
      </w:r>
      <w:r w:rsidR="00313EA9" w:rsidRPr="00313EA9">
        <w:rPr>
          <w:rFonts w:cs="Times New Roman"/>
          <w:u w:val="single"/>
        </w:rPr>
        <w:t>do raise</w:t>
      </w:r>
      <w:r w:rsidR="00EC0611">
        <w:rPr>
          <w:rFonts w:cs="Times New Roman"/>
        </w:rPr>
        <w:t xml:space="preserve"> such presumption. The specification of the type of firearm in such scenario would be important for the defence. Consequently</w:t>
      </w:r>
      <w:r w:rsidR="00313EA9">
        <w:rPr>
          <w:rFonts w:cs="Times New Roman"/>
        </w:rPr>
        <w:t xml:space="preserve">, </w:t>
      </w:r>
      <w:r w:rsidR="00EC0611">
        <w:rPr>
          <w:rFonts w:cs="Times New Roman"/>
        </w:rPr>
        <w:t xml:space="preserve">it is imperative that </w:t>
      </w:r>
      <w:r w:rsidR="00313EA9">
        <w:rPr>
          <w:rFonts w:cs="Times New Roman"/>
        </w:rPr>
        <w:t xml:space="preserve">an accused </w:t>
      </w:r>
      <w:r w:rsidR="00EC0611">
        <w:rPr>
          <w:rFonts w:cs="Times New Roman"/>
        </w:rPr>
        <w:t xml:space="preserve">person is </w:t>
      </w:r>
      <w:r w:rsidR="00313EA9">
        <w:rPr>
          <w:rFonts w:cs="Times New Roman"/>
        </w:rPr>
        <w:t xml:space="preserve">informed of sufficient </w:t>
      </w:r>
      <w:r w:rsidR="00EC0611">
        <w:rPr>
          <w:rFonts w:cs="Times New Roman"/>
        </w:rPr>
        <w:t xml:space="preserve">and adequate </w:t>
      </w:r>
      <w:r w:rsidR="00313EA9">
        <w:rPr>
          <w:rFonts w:cs="Times New Roman"/>
        </w:rPr>
        <w:t>particulars specifying the type of firearm</w:t>
      </w:r>
      <w:r w:rsidR="004E0D7A">
        <w:rPr>
          <w:rFonts w:cs="Times New Roman"/>
        </w:rPr>
        <w:t xml:space="preserve"> </w:t>
      </w:r>
      <w:r w:rsidR="00EC0611">
        <w:rPr>
          <w:rFonts w:cs="Times New Roman"/>
        </w:rPr>
        <w:t xml:space="preserve">involved </w:t>
      </w:r>
      <w:r w:rsidR="004E0D7A">
        <w:rPr>
          <w:rFonts w:cs="Times New Roman"/>
        </w:rPr>
        <w:t xml:space="preserve">in order to </w:t>
      </w:r>
      <w:r w:rsidR="00EC0611">
        <w:rPr>
          <w:rFonts w:cs="Times New Roman"/>
        </w:rPr>
        <w:t xml:space="preserve">effectively </w:t>
      </w:r>
      <w:r w:rsidR="004E0D7A">
        <w:rPr>
          <w:rFonts w:cs="Times New Roman"/>
        </w:rPr>
        <w:t>prepare the</w:t>
      </w:r>
      <w:r w:rsidR="00EC0611">
        <w:rPr>
          <w:rFonts w:cs="Times New Roman"/>
        </w:rPr>
        <w:t>ir</w:t>
      </w:r>
      <w:r w:rsidR="004E0D7A">
        <w:rPr>
          <w:rFonts w:cs="Times New Roman"/>
        </w:rPr>
        <w:t xml:space="preserve"> defence</w:t>
      </w:r>
      <w:r w:rsidR="00313EA9">
        <w:rPr>
          <w:rFonts w:cs="Times New Roman"/>
        </w:rPr>
        <w:t xml:space="preserve">. </w:t>
      </w:r>
      <w:r w:rsidR="00EC0611" w:rsidRPr="00C5658F">
        <w:rPr>
          <w:rFonts w:cs="Times New Roman"/>
        </w:rPr>
        <w:t xml:space="preserve">In light of these considerations, </w:t>
      </w:r>
      <w:r w:rsidR="00CA53B6">
        <w:t xml:space="preserve">notwithstanding that </w:t>
      </w:r>
      <w:r w:rsidR="00313EA9" w:rsidRPr="00C5658F">
        <w:rPr>
          <w:rFonts w:cs="Times New Roman"/>
        </w:rPr>
        <w:t xml:space="preserve">the prosecution </w:t>
      </w:r>
      <w:r w:rsidR="001D5219" w:rsidRPr="00C5658F">
        <w:rPr>
          <w:rFonts w:cs="Times New Roman"/>
        </w:rPr>
        <w:t>may have s</w:t>
      </w:r>
      <w:r w:rsidR="00313EA9" w:rsidRPr="00C5658F">
        <w:rPr>
          <w:rFonts w:cs="Times New Roman"/>
        </w:rPr>
        <w:t xml:space="preserve">pecified a relevant element of the offence </w:t>
      </w:r>
      <w:r w:rsidR="00CA53B6" w:rsidRPr="00C5658F">
        <w:rPr>
          <w:rFonts w:cs="Times New Roman"/>
        </w:rPr>
        <w:t>as</w:t>
      </w:r>
      <w:r w:rsidR="00313EA9" w:rsidRPr="00C5658F">
        <w:rPr>
          <w:rFonts w:cs="Times New Roman"/>
        </w:rPr>
        <w:t xml:space="preserve"> ‘firearm’</w:t>
      </w:r>
      <w:r w:rsidR="004E0D7A" w:rsidRPr="00C5658F">
        <w:rPr>
          <w:rFonts w:cs="Times New Roman"/>
        </w:rPr>
        <w:t>,</w:t>
      </w:r>
      <w:r w:rsidR="00313EA9" w:rsidRPr="00C5658F">
        <w:rPr>
          <w:rFonts w:cs="Times New Roman"/>
        </w:rPr>
        <w:t xml:space="preserve"> further </w:t>
      </w:r>
      <w:r w:rsidR="00CA53B6" w:rsidRPr="00C5658F">
        <w:rPr>
          <w:rFonts w:cs="Times New Roman"/>
        </w:rPr>
        <w:t>detailed</w:t>
      </w:r>
      <w:r w:rsidR="00313EA9" w:rsidRPr="00C5658F">
        <w:rPr>
          <w:rFonts w:cs="Times New Roman"/>
        </w:rPr>
        <w:t xml:space="preserve"> </w:t>
      </w:r>
      <w:r w:rsidR="004E0D7A" w:rsidRPr="00C5658F">
        <w:rPr>
          <w:rFonts w:cs="Times New Roman"/>
        </w:rPr>
        <w:t>particularization</w:t>
      </w:r>
      <w:r w:rsidR="00313EA9" w:rsidRPr="00C5658F">
        <w:rPr>
          <w:rFonts w:cs="Times New Roman"/>
        </w:rPr>
        <w:t xml:space="preserve"> </w:t>
      </w:r>
      <w:r w:rsidR="00CA53B6" w:rsidRPr="00C5658F">
        <w:rPr>
          <w:rFonts w:cs="Times New Roman"/>
        </w:rPr>
        <w:t xml:space="preserve">regarding the specific </w:t>
      </w:r>
      <w:r w:rsidR="00313EA9" w:rsidRPr="00C5658F">
        <w:rPr>
          <w:rFonts w:cs="Times New Roman"/>
        </w:rPr>
        <w:t xml:space="preserve">type of firearm should also be </w:t>
      </w:r>
      <w:r w:rsidR="00CA53B6" w:rsidRPr="00C5658F">
        <w:rPr>
          <w:rFonts w:cs="Times New Roman"/>
        </w:rPr>
        <w:t>necessary</w:t>
      </w:r>
      <w:r w:rsidR="00313EA9" w:rsidRPr="00C5658F">
        <w:rPr>
          <w:rFonts w:cs="Times New Roman"/>
        </w:rPr>
        <w:t xml:space="preserve">. </w:t>
      </w:r>
    </w:p>
    <w:p w14:paraId="144A8677" w14:textId="65E399B3" w:rsidR="001D6605" w:rsidRDefault="001D5219" w:rsidP="001D6605">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rPr>
      </w:pPr>
      <w:r w:rsidRPr="001D6605">
        <w:rPr>
          <w:rFonts w:cs="Times New Roman"/>
        </w:rPr>
        <w:t>Accordingly, I order that the motion to provide further particulars of Count</w:t>
      </w:r>
      <w:r w:rsidR="00D649C8" w:rsidRPr="001D6605">
        <w:rPr>
          <w:rFonts w:cs="Times New Roman"/>
        </w:rPr>
        <w:t>s 1 and 3</w:t>
      </w:r>
      <w:r w:rsidRPr="001D6605">
        <w:rPr>
          <w:rFonts w:cs="Times New Roman"/>
        </w:rPr>
        <w:t xml:space="preserve"> in the Information made on behalf of the 2</w:t>
      </w:r>
      <w:r w:rsidRPr="001D6605">
        <w:rPr>
          <w:rFonts w:cs="Times New Roman"/>
          <w:vertAlign w:val="superscript"/>
        </w:rPr>
        <w:t>nd</w:t>
      </w:r>
      <w:r w:rsidR="00D649C8" w:rsidRPr="001D6605">
        <w:rPr>
          <w:rFonts w:cs="Times New Roman"/>
        </w:rPr>
        <w:t xml:space="preserve"> </w:t>
      </w:r>
      <w:r w:rsidRPr="001D6605">
        <w:rPr>
          <w:rFonts w:cs="Times New Roman"/>
        </w:rPr>
        <w:t>and 3</w:t>
      </w:r>
      <w:r w:rsidRPr="001D6605">
        <w:rPr>
          <w:rFonts w:cs="Times New Roman"/>
          <w:vertAlign w:val="superscript"/>
        </w:rPr>
        <w:t>rd</w:t>
      </w:r>
      <w:r w:rsidRPr="001D6605">
        <w:rPr>
          <w:rFonts w:cs="Times New Roman"/>
        </w:rPr>
        <w:t xml:space="preserve"> accused be </w:t>
      </w:r>
      <w:r w:rsidR="00D649C8" w:rsidRPr="001D6605">
        <w:rPr>
          <w:rFonts w:cs="Times New Roman"/>
        </w:rPr>
        <w:t>granted</w:t>
      </w:r>
      <w:r w:rsidRPr="001D6605">
        <w:rPr>
          <w:rFonts w:cs="Times New Roman"/>
        </w:rPr>
        <w:t xml:space="preserve">. </w:t>
      </w:r>
    </w:p>
    <w:p w14:paraId="686A2808" w14:textId="77777777" w:rsidR="0045254E" w:rsidRDefault="0045254E" w:rsidP="001D6605">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before="240"/>
      </w:pPr>
    </w:p>
    <w:p w14:paraId="77107643" w14:textId="77777777" w:rsidR="0045254E" w:rsidRDefault="0045254E" w:rsidP="001D6605">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before="240"/>
      </w:pPr>
    </w:p>
    <w:p w14:paraId="240A23A8" w14:textId="77777777" w:rsidR="0045254E" w:rsidRDefault="0045254E" w:rsidP="001D6605">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before="240"/>
      </w:pPr>
    </w:p>
    <w:p w14:paraId="4FAD9002" w14:textId="65BD238F" w:rsidR="001D6605" w:rsidRPr="001D6605" w:rsidRDefault="001D6605" w:rsidP="001D6605">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rPr>
      </w:pPr>
      <w:r w:rsidRPr="00A80497">
        <w:lastRenderedPageBreak/>
        <w:t>Signed, dated and delivered at Ile du Port on</w:t>
      </w:r>
      <w:r>
        <w:t xml:space="preserve"> 7 June</w:t>
      </w:r>
      <w:r w:rsidRPr="00A80497">
        <w:t xml:space="preserve"> </w:t>
      </w:r>
      <w:r>
        <w:t>2024</w:t>
      </w:r>
      <w:r w:rsidRPr="00A80497">
        <w:t xml:space="preserve"> </w:t>
      </w:r>
    </w:p>
    <w:p w14:paraId="2071FFD1" w14:textId="671A3319" w:rsidR="001D6605" w:rsidRDefault="001D6605" w:rsidP="001D6605">
      <w:pPr>
        <w:pStyle w:val="ListParagraph"/>
        <w:keepNext/>
        <w:ind w:left="0"/>
      </w:pPr>
    </w:p>
    <w:p w14:paraId="73273A85" w14:textId="77777777" w:rsidR="0045254E" w:rsidRDefault="0045254E" w:rsidP="001D6605">
      <w:pPr>
        <w:pStyle w:val="ListParagraph"/>
        <w:keepNext/>
        <w:ind w:left="0"/>
      </w:pPr>
    </w:p>
    <w:p w14:paraId="507A7298" w14:textId="77777777" w:rsidR="001D6605" w:rsidRPr="00A80497" w:rsidRDefault="001D6605" w:rsidP="001D6605">
      <w:pPr>
        <w:pStyle w:val="ListParagraph"/>
        <w:keepNext/>
        <w:ind w:left="0"/>
      </w:pPr>
      <w:r w:rsidRPr="00A80497">
        <w:t>____________</w:t>
      </w:r>
    </w:p>
    <w:p w14:paraId="048B1135" w14:textId="77777777" w:rsidR="001D6605" w:rsidRPr="00A80497" w:rsidRDefault="001D6605" w:rsidP="001D6605">
      <w:pPr>
        <w:pStyle w:val="ListParagraph"/>
        <w:keepNext/>
        <w:ind w:left="0"/>
      </w:pPr>
      <w:r w:rsidRPr="00A80497">
        <w:t>Govinden CJ</w:t>
      </w:r>
    </w:p>
    <w:p w14:paraId="091F2AB9" w14:textId="77777777" w:rsidR="00025D75" w:rsidRDefault="00025D75" w:rsidP="00A03D01">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before="240"/>
        <w:rPr>
          <w:rFonts w:cs="Times New Roman"/>
        </w:rPr>
      </w:pPr>
    </w:p>
    <w:sectPr w:rsidR="00025D75">
      <w:footerReference w:type="default" r:id="rId8"/>
      <w:pgSz w:w="12240" w:h="15840"/>
      <w:pgMar w:top="964" w:right="1440" w:bottom="964" w:left="1440" w:header="720" w:footer="72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B1D51E" w16cex:dateUtc="2024-06-05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1A5949" w16cid:durableId="09B1D5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F95FE" w14:textId="77777777" w:rsidR="00ED6C6A" w:rsidRDefault="00ED6C6A">
      <w:r>
        <w:separator/>
      </w:r>
    </w:p>
  </w:endnote>
  <w:endnote w:type="continuationSeparator" w:id="0">
    <w:p w14:paraId="30045392" w14:textId="77777777" w:rsidR="00ED6C6A" w:rsidRDefault="00ED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E7E6" w14:textId="1098F224" w:rsidR="00234206" w:rsidRDefault="00234206">
    <w:pPr>
      <w:pStyle w:val="Footer"/>
      <w:tabs>
        <w:tab w:val="clear" w:pos="9360"/>
        <w:tab w:val="right" w:pos="9340"/>
      </w:tabs>
      <w:jc w:val="right"/>
    </w:pPr>
    <w:r>
      <w:fldChar w:fldCharType="begin"/>
    </w:r>
    <w:r>
      <w:instrText xml:space="preserve"> PAGE </w:instrText>
    </w:r>
    <w:r>
      <w:fldChar w:fldCharType="separate"/>
    </w:r>
    <w:r w:rsidR="0045254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E893" w14:textId="77777777" w:rsidR="00ED6C6A" w:rsidRDefault="00ED6C6A">
      <w:r>
        <w:separator/>
      </w:r>
    </w:p>
  </w:footnote>
  <w:footnote w:type="continuationSeparator" w:id="0">
    <w:p w14:paraId="0DF6E133" w14:textId="77777777" w:rsidR="00ED6C6A" w:rsidRDefault="00ED6C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915BC"/>
    <w:multiLevelType w:val="hybridMultilevel"/>
    <w:tmpl w:val="B792E0D6"/>
    <w:lvl w:ilvl="0" w:tplc="0A7482A4">
      <w:start w:val="111"/>
      <w:numFmt w:val="decimal"/>
      <w:lvlText w:val="%1"/>
      <w:lvlJc w:val="left"/>
      <w:pPr>
        <w:ind w:left="1080"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B86B45"/>
    <w:multiLevelType w:val="hybridMultilevel"/>
    <w:tmpl w:val="EF7AB250"/>
    <w:numStyleLink w:val="ImportedStyle1"/>
  </w:abstractNum>
  <w:abstractNum w:abstractNumId="2" w15:restartNumberingAfterBreak="0">
    <w:nsid w:val="307542D2"/>
    <w:multiLevelType w:val="multilevel"/>
    <w:tmpl w:val="5E24EA16"/>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6C067284"/>
    <w:multiLevelType w:val="hybridMultilevel"/>
    <w:tmpl w:val="EF7AB250"/>
    <w:styleLink w:val="ImportedStyle1"/>
    <w:lvl w:ilvl="0" w:tplc="2D50B3C4">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C4DE26">
      <w:start w:val="1"/>
      <w:numFmt w:val="lowerLetter"/>
      <w:lvlText w:val="%2."/>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24C486">
      <w:start w:val="1"/>
      <w:numFmt w:val="lowerRoman"/>
      <w:lvlText w:val="%3."/>
      <w:lvlJc w:val="left"/>
      <w:pPr>
        <w:ind w:left="2160"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9CE40CC">
      <w:start w:val="1"/>
      <w:numFmt w:val="decimal"/>
      <w:lvlText w:val="%4."/>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464996">
      <w:start w:val="1"/>
      <w:numFmt w:val="lowerLetter"/>
      <w:lvlText w:val="%5."/>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76E0D0">
      <w:start w:val="1"/>
      <w:numFmt w:val="lowerRoman"/>
      <w:lvlText w:val="%6."/>
      <w:lvlJc w:val="left"/>
      <w:pPr>
        <w:ind w:left="4320"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1825244">
      <w:start w:val="1"/>
      <w:numFmt w:val="decimal"/>
      <w:lvlText w:val="%7."/>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4E503C">
      <w:start w:val="1"/>
      <w:numFmt w:val="lowerLetter"/>
      <w:lvlText w:val="%8."/>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18688CA">
      <w:start w:val="1"/>
      <w:numFmt w:val="lowerRoman"/>
      <w:lvlText w:val="%9."/>
      <w:lvlJc w:val="left"/>
      <w:pPr>
        <w:ind w:left="6480"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3"/>
  </w:num>
  <w:num w:numId="4">
    <w:abstractNumId w:val="2"/>
    <w:lvlOverride w:ilvl="0">
      <w:lvl w:ilvl="0">
        <w:start w:val="1"/>
        <w:numFmt w:val="decimal"/>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713" w:hanging="720"/>
        </w:pPr>
        <w:rPr>
          <w:rFonts w:hint="default"/>
          <w:b w:val="0"/>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5">
    <w:abstractNumId w:val="0"/>
  </w:num>
  <w:num w:numId="6">
    <w:abstractNumId w:val="2"/>
    <w:lvlOverride w:ilvl="0">
      <w:lvl w:ilvl="0">
        <w:start w:val="1"/>
        <w:numFmt w:val="decimal"/>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57"/>
    <w:rsid w:val="000012C0"/>
    <w:rsid w:val="00025D75"/>
    <w:rsid w:val="00067B55"/>
    <w:rsid w:val="00071E57"/>
    <w:rsid w:val="000D5961"/>
    <w:rsid w:val="000F2B58"/>
    <w:rsid w:val="00120DC9"/>
    <w:rsid w:val="00163ADA"/>
    <w:rsid w:val="001A06A5"/>
    <w:rsid w:val="001B28F3"/>
    <w:rsid w:val="001C2985"/>
    <w:rsid w:val="001D5219"/>
    <w:rsid w:val="001D6605"/>
    <w:rsid w:val="00221606"/>
    <w:rsid w:val="00226C87"/>
    <w:rsid w:val="00231352"/>
    <w:rsid w:val="00234206"/>
    <w:rsid w:val="002364D2"/>
    <w:rsid w:val="00236EAA"/>
    <w:rsid w:val="002428F4"/>
    <w:rsid w:val="002651F3"/>
    <w:rsid w:val="002A0458"/>
    <w:rsid w:val="002F5AD6"/>
    <w:rsid w:val="00311370"/>
    <w:rsid w:val="00313EA9"/>
    <w:rsid w:val="00337A41"/>
    <w:rsid w:val="003A4982"/>
    <w:rsid w:val="003D4CAB"/>
    <w:rsid w:val="003E0D97"/>
    <w:rsid w:val="003E416F"/>
    <w:rsid w:val="0043158D"/>
    <w:rsid w:val="0043471F"/>
    <w:rsid w:val="00437A61"/>
    <w:rsid w:val="004418C2"/>
    <w:rsid w:val="0045254E"/>
    <w:rsid w:val="004819F4"/>
    <w:rsid w:val="004920F0"/>
    <w:rsid w:val="0049678C"/>
    <w:rsid w:val="004C2BF0"/>
    <w:rsid w:val="004C7546"/>
    <w:rsid w:val="004E0D7A"/>
    <w:rsid w:val="004E747C"/>
    <w:rsid w:val="005274B9"/>
    <w:rsid w:val="005350A4"/>
    <w:rsid w:val="00542157"/>
    <w:rsid w:val="00544AC9"/>
    <w:rsid w:val="005718BA"/>
    <w:rsid w:val="005A6927"/>
    <w:rsid w:val="00612982"/>
    <w:rsid w:val="00644A89"/>
    <w:rsid w:val="00661CFA"/>
    <w:rsid w:val="006805FF"/>
    <w:rsid w:val="00685031"/>
    <w:rsid w:val="00697878"/>
    <w:rsid w:val="006B5AFC"/>
    <w:rsid w:val="006D7EE4"/>
    <w:rsid w:val="00735A85"/>
    <w:rsid w:val="00786F8F"/>
    <w:rsid w:val="007F0183"/>
    <w:rsid w:val="00806337"/>
    <w:rsid w:val="00842763"/>
    <w:rsid w:val="00856229"/>
    <w:rsid w:val="00887F35"/>
    <w:rsid w:val="008A70C1"/>
    <w:rsid w:val="008C17F5"/>
    <w:rsid w:val="008E27FB"/>
    <w:rsid w:val="008F68F1"/>
    <w:rsid w:val="00905312"/>
    <w:rsid w:val="00922673"/>
    <w:rsid w:val="00944840"/>
    <w:rsid w:val="0097405E"/>
    <w:rsid w:val="0099352E"/>
    <w:rsid w:val="00A03D01"/>
    <w:rsid w:val="00A40C5F"/>
    <w:rsid w:val="00A83B7D"/>
    <w:rsid w:val="00A96C2B"/>
    <w:rsid w:val="00AB7774"/>
    <w:rsid w:val="00AD2C1E"/>
    <w:rsid w:val="00AE6E13"/>
    <w:rsid w:val="00B222F2"/>
    <w:rsid w:val="00B53C2A"/>
    <w:rsid w:val="00B56EBC"/>
    <w:rsid w:val="00B868DE"/>
    <w:rsid w:val="00BF0741"/>
    <w:rsid w:val="00C02C70"/>
    <w:rsid w:val="00C04DBA"/>
    <w:rsid w:val="00C5658F"/>
    <w:rsid w:val="00CA01E6"/>
    <w:rsid w:val="00CA53B6"/>
    <w:rsid w:val="00CB426C"/>
    <w:rsid w:val="00CB5D3A"/>
    <w:rsid w:val="00CC0F08"/>
    <w:rsid w:val="00CD0035"/>
    <w:rsid w:val="00D05522"/>
    <w:rsid w:val="00D57C59"/>
    <w:rsid w:val="00D62DA3"/>
    <w:rsid w:val="00D649C8"/>
    <w:rsid w:val="00D778DB"/>
    <w:rsid w:val="00D9791D"/>
    <w:rsid w:val="00DD315E"/>
    <w:rsid w:val="00DF042E"/>
    <w:rsid w:val="00DF4554"/>
    <w:rsid w:val="00DF5DDA"/>
    <w:rsid w:val="00E53327"/>
    <w:rsid w:val="00E85C0C"/>
    <w:rsid w:val="00EB7433"/>
    <w:rsid w:val="00EC0611"/>
    <w:rsid w:val="00ED6C6A"/>
    <w:rsid w:val="00EE3E22"/>
    <w:rsid w:val="00EE6D7C"/>
    <w:rsid w:val="00F15711"/>
    <w:rsid w:val="00F22F86"/>
    <w:rsid w:val="00FB740A"/>
    <w:rsid w:val="00FD7D0F"/>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F15E"/>
  <w15:docId w15:val="{1AD6E931-B488-4C30-8FFC-127EC71F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paragraph" w:customStyle="1" w:styleId="JudgmentText">
    <w:name w:val="Judgment Text"/>
    <w:qFormat/>
    <w:pPr>
      <w:spacing w:after="240" w:line="360" w:lineRule="auto"/>
      <w:jc w:val="both"/>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Judgments">
    <w:name w:val="Judgments"/>
    <w:uiPriority w:val="99"/>
    <w:rsid w:val="00A40C5F"/>
    <w:pPr>
      <w:numPr>
        <w:numId w:val="3"/>
      </w:numPr>
    </w:pPr>
  </w:style>
  <w:style w:type="paragraph" w:styleId="ListParagraph">
    <w:name w:val="List Paragraph"/>
    <w:basedOn w:val="Normal"/>
    <w:uiPriority w:val="34"/>
    <w:qFormat/>
    <w:rsid w:val="00786F8F"/>
    <w:pPr>
      <w:ind w:left="720"/>
      <w:contextualSpacing/>
    </w:pPr>
  </w:style>
  <w:style w:type="paragraph" w:styleId="NormalWeb">
    <w:name w:val="Normal (Web)"/>
    <w:basedOn w:val="Normal"/>
    <w:uiPriority w:val="99"/>
    <w:semiHidden/>
    <w:unhideWhenUsed/>
    <w:rsid w:val="004C2B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FootnoteText">
    <w:name w:val="footnote text"/>
    <w:basedOn w:val="Normal"/>
    <w:link w:val="FootnoteTextChar"/>
    <w:uiPriority w:val="99"/>
    <w:semiHidden/>
    <w:unhideWhenUsed/>
    <w:rsid w:val="008C17F5"/>
    <w:rPr>
      <w:sz w:val="20"/>
      <w:szCs w:val="20"/>
    </w:rPr>
  </w:style>
  <w:style w:type="character" w:customStyle="1" w:styleId="FootnoteTextChar">
    <w:name w:val="Footnote Text Char"/>
    <w:basedOn w:val="DefaultParagraphFont"/>
    <w:link w:val="FootnoteText"/>
    <w:uiPriority w:val="99"/>
    <w:semiHidden/>
    <w:rsid w:val="008C17F5"/>
  </w:style>
  <w:style w:type="character" w:styleId="FootnoteReference">
    <w:name w:val="footnote reference"/>
    <w:basedOn w:val="DefaultParagraphFont"/>
    <w:uiPriority w:val="99"/>
    <w:semiHidden/>
    <w:unhideWhenUsed/>
    <w:rsid w:val="008C17F5"/>
    <w:rPr>
      <w:vertAlign w:val="superscript"/>
    </w:rPr>
  </w:style>
  <w:style w:type="character" w:styleId="CommentReference">
    <w:name w:val="annotation reference"/>
    <w:basedOn w:val="DefaultParagraphFont"/>
    <w:uiPriority w:val="99"/>
    <w:semiHidden/>
    <w:unhideWhenUsed/>
    <w:rsid w:val="00DF5DDA"/>
    <w:rPr>
      <w:sz w:val="16"/>
      <w:szCs w:val="16"/>
    </w:rPr>
  </w:style>
  <w:style w:type="paragraph" w:styleId="CommentText">
    <w:name w:val="annotation text"/>
    <w:basedOn w:val="Normal"/>
    <w:link w:val="CommentTextChar"/>
    <w:uiPriority w:val="99"/>
    <w:semiHidden/>
    <w:unhideWhenUsed/>
    <w:rsid w:val="00DF5DDA"/>
    <w:rPr>
      <w:sz w:val="20"/>
      <w:szCs w:val="20"/>
    </w:rPr>
  </w:style>
  <w:style w:type="character" w:customStyle="1" w:styleId="CommentTextChar">
    <w:name w:val="Comment Text Char"/>
    <w:basedOn w:val="DefaultParagraphFont"/>
    <w:link w:val="CommentText"/>
    <w:uiPriority w:val="99"/>
    <w:semiHidden/>
    <w:rsid w:val="00DF5DDA"/>
  </w:style>
  <w:style w:type="paragraph" w:styleId="CommentSubject">
    <w:name w:val="annotation subject"/>
    <w:basedOn w:val="CommentText"/>
    <w:next w:val="CommentText"/>
    <w:link w:val="CommentSubjectChar"/>
    <w:uiPriority w:val="99"/>
    <w:semiHidden/>
    <w:unhideWhenUsed/>
    <w:rsid w:val="00DF5DDA"/>
    <w:rPr>
      <w:b/>
      <w:bCs/>
    </w:rPr>
  </w:style>
  <w:style w:type="character" w:customStyle="1" w:styleId="CommentSubjectChar">
    <w:name w:val="Comment Subject Char"/>
    <w:basedOn w:val="CommentTextChar"/>
    <w:link w:val="CommentSubject"/>
    <w:uiPriority w:val="99"/>
    <w:semiHidden/>
    <w:rsid w:val="00DF5DDA"/>
    <w:rPr>
      <w:b/>
      <w:bCs/>
    </w:rPr>
  </w:style>
  <w:style w:type="paragraph" w:styleId="BalloonText">
    <w:name w:val="Balloon Text"/>
    <w:basedOn w:val="Normal"/>
    <w:link w:val="BalloonTextChar"/>
    <w:uiPriority w:val="99"/>
    <w:semiHidden/>
    <w:unhideWhenUsed/>
    <w:rsid w:val="00974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05E"/>
    <w:rPr>
      <w:rFonts w:ascii="Segoe UI" w:hAnsi="Segoe UI" w:cs="Segoe UI"/>
      <w:sz w:val="18"/>
      <w:szCs w:val="18"/>
    </w:rPr>
  </w:style>
  <w:style w:type="paragraph" w:customStyle="1" w:styleId="Partynames">
    <w:name w:val="Party names"/>
    <w:basedOn w:val="Normal"/>
    <w:link w:val="PartynamesChar"/>
    <w:qFormat/>
    <w:rsid w:val="004819F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5580"/>
      </w:tabs>
      <w:spacing w:before="240"/>
    </w:pPr>
    <w:rPr>
      <w:rFonts w:eastAsiaTheme="minorHAnsi"/>
      <w:b/>
      <w:bdr w:val="none" w:sz="0" w:space="0" w:color="auto"/>
      <w:lang w:val="en-GB"/>
    </w:rPr>
  </w:style>
  <w:style w:type="paragraph" w:customStyle="1" w:styleId="Attorneysnames">
    <w:name w:val="Attorneys names"/>
    <w:basedOn w:val="Normal"/>
    <w:link w:val="AttorneysnamesChar"/>
    <w:qFormat/>
    <w:rsid w:val="004819F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4092"/>
        <w:tab w:val="left" w:pos="5580"/>
      </w:tabs>
    </w:pPr>
    <w:rPr>
      <w:rFonts w:eastAsiaTheme="minorHAnsi"/>
      <w:i/>
      <w:bdr w:val="none" w:sz="0" w:space="0" w:color="auto"/>
      <w:lang w:val="en-GB"/>
    </w:rPr>
  </w:style>
  <w:style w:type="character" w:customStyle="1" w:styleId="PartynamesChar">
    <w:name w:val="Party names Char"/>
    <w:basedOn w:val="DefaultParagraphFont"/>
    <w:link w:val="Partynames"/>
    <w:rsid w:val="004819F4"/>
    <w:rPr>
      <w:rFonts w:eastAsiaTheme="minorHAnsi"/>
      <w:b/>
      <w:sz w:val="24"/>
      <w:szCs w:val="24"/>
      <w:bdr w:val="none" w:sz="0" w:space="0" w:color="auto"/>
      <w:lang w:val="en-GB"/>
    </w:rPr>
  </w:style>
  <w:style w:type="character" w:customStyle="1" w:styleId="AttorneysnamesChar">
    <w:name w:val="Attorneys names Char"/>
    <w:basedOn w:val="DefaultParagraphFont"/>
    <w:link w:val="Attorneysnames"/>
    <w:rsid w:val="004819F4"/>
    <w:rPr>
      <w:rFonts w:eastAsiaTheme="minorHAnsi"/>
      <w:i/>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1913">
      <w:bodyDiv w:val="1"/>
      <w:marLeft w:val="0"/>
      <w:marRight w:val="0"/>
      <w:marTop w:val="0"/>
      <w:marBottom w:val="0"/>
      <w:divBdr>
        <w:top w:val="none" w:sz="0" w:space="0" w:color="auto"/>
        <w:left w:val="none" w:sz="0" w:space="0" w:color="auto"/>
        <w:bottom w:val="none" w:sz="0" w:space="0" w:color="auto"/>
        <w:right w:val="none" w:sz="0" w:space="0" w:color="auto"/>
      </w:divBdr>
    </w:div>
    <w:div w:id="397703027">
      <w:bodyDiv w:val="1"/>
      <w:marLeft w:val="0"/>
      <w:marRight w:val="0"/>
      <w:marTop w:val="0"/>
      <w:marBottom w:val="0"/>
      <w:divBdr>
        <w:top w:val="none" w:sz="0" w:space="0" w:color="auto"/>
        <w:left w:val="none" w:sz="0" w:space="0" w:color="auto"/>
        <w:bottom w:val="none" w:sz="0" w:space="0" w:color="auto"/>
        <w:right w:val="none" w:sz="0" w:space="0" w:color="auto"/>
      </w:divBdr>
    </w:div>
    <w:div w:id="1187064269">
      <w:bodyDiv w:val="1"/>
      <w:marLeft w:val="0"/>
      <w:marRight w:val="0"/>
      <w:marTop w:val="0"/>
      <w:marBottom w:val="0"/>
      <w:divBdr>
        <w:top w:val="none" w:sz="0" w:space="0" w:color="auto"/>
        <w:left w:val="none" w:sz="0" w:space="0" w:color="auto"/>
        <w:bottom w:val="none" w:sz="0" w:space="0" w:color="auto"/>
        <w:right w:val="none" w:sz="0" w:space="0" w:color="auto"/>
      </w:divBdr>
    </w:div>
    <w:div w:id="158009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D3BC-93C1-456D-8FB3-D259FCA2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 Hetsman</dc:creator>
  <cp:lastModifiedBy>Georgia Barbe</cp:lastModifiedBy>
  <cp:revision>5</cp:revision>
  <dcterms:created xsi:type="dcterms:W3CDTF">2024-06-10T10:04:00Z</dcterms:created>
  <dcterms:modified xsi:type="dcterms:W3CDTF">2024-06-11T16:11:00Z</dcterms:modified>
</cp:coreProperties>
</file>