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B32F"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1A5C566"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F92C428" w14:textId="77777777" w:rsidR="00ED0BFC" w:rsidRPr="00380619" w:rsidRDefault="00ED0BFC" w:rsidP="00B5141B">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C7BEDCE" w14:textId="48B37D2D" w:rsidR="002E2AE3" w:rsidRPr="004A2599" w:rsidRDefault="00BC73B1" w:rsidP="00B5141B">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w:t>
      </w:r>
      <w:r w:rsidR="000819DF">
        <w:rPr>
          <w:rFonts w:ascii="Times New Roman" w:hAnsi="Times New Roman" w:cs="Times New Roman"/>
          <w:sz w:val="24"/>
          <w:szCs w:val="24"/>
        </w:rPr>
        <w:t>2024</w:t>
      </w:r>
      <w:r w:rsidR="00791C76">
        <w:rPr>
          <w:rFonts w:ascii="Times New Roman" w:hAnsi="Times New Roman" w:cs="Times New Roman"/>
          <w:sz w:val="24"/>
          <w:szCs w:val="24"/>
        </w:rPr>
        <w:t xml:space="preserve">] SCSC </w:t>
      </w:r>
    </w:p>
    <w:p w14:paraId="095E9EF4" w14:textId="77777777" w:rsidR="002E2AE3" w:rsidRPr="004A2599" w:rsidRDefault="00791C76" w:rsidP="00B5141B">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MC 36</w:t>
      </w:r>
      <w:r w:rsidR="002E2AE3" w:rsidRPr="004A2599">
        <w:rPr>
          <w:rFonts w:ascii="Times New Roman" w:hAnsi="Times New Roman" w:cs="Times New Roman"/>
          <w:sz w:val="24"/>
          <w:szCs w:val="24"/>
        </w:rPr>
        <w:t>/20</w:t>
      </w:r>
      <w:r>
        <w:rPr>
          <w:rFonts w:ascii="Times New Roman" w:hAnsi="Times New Roman" w:cs="Times New Roman"/>
          <w:sz w:val="24"/>
          <w:szCs w:val="24"/>
        </w:rPr>
        <w:t>23</w:t>
      </w:r>
    </w:p>
    <w:p w14:paraId="0E04A314" w14:textId="77777777" w:rsidR="006A68E2" w:rsidRDefault="006A68E2" w:rsidP="00214DB4">
      <w:pPr>
        <w:spacing w:after="0" w:line="240" w:lineRule="auto"/>
        <w:ind w:left="5580"/>
        <w:rPr>
          <w:rFonts w:ascii="Times New Roman" w:hAnsi="Times New Roman" w:cs="Times New Roman"/>
          <w:sz w:val="24"/>
          <w:szCs w:val="24"/>
        </w:rPr>
      </w:pPr>
    </w:p>
    <w:p w14:paraId="62F0DEBA" w14:textId="77777777" w:rsidR="00791C76" w:rsidRPr="004A2599" w:rsidRDefault="00791C76" w:rsidP="00214DB4">
      <w:pPr>
        <w:spacing w:after="0" w:line="240" w:lineRule="auto"/>
        <w:ind w:left="5580"/>
        <w:rPr>
          <w:rFonts w:ascii="Times New Roman" w:hAnsi="Times New Roman" w:cs="Times New Roman"/>
          <w:sz w:val="24"/>
          <w:szCs w:val="24"/>
        </w:rPr>
      </w:pPr>
    </w:p>
    <w:p w14:paraId="4D9D62B5"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9E08B21" w14:textId="77777777" w:rsidR="00791C76" w:rsidRDefault="00791C76" w:rsidP="00791C76">
      <w:pPr>
        <w:pStyle w:val="Partynames"/>
        <w:spacing w:before="0"/>
      </w:pPr>
    </w:p>
    <w:p w14:paraId="26462E82" w14:textId="77777777" w:rsidR="00791C76" w:rsidRDefault="00791C76" w:rsidP="00791C76">
      <w:pPr>
        <w:pStyle w:val="Partynames"/>
        <w:spacing w:before="0"/>
      </w:pPr>
      <w:r>
        <w:t>THE INTERNATIONAL BUSINESS ACT, 2016</w:t>
      </w:r>
    </w:p>
    <w:p w14:paraId="6D72E992" w14:textId="77777777" w:rsidR="00791C76" w:rsidRDefault="00791C76" w:rsidP="00791C76">
      <w:pPr>
        <w:pStyle w:val="Partynames"/>
        <w:spacing w:before="0"/>
      </w:pPr>
      <w:r>
        <w:t>(AS AMENDED)</w:t>
      </w:r>
    </w:p>
    <w:p w14:paraId="6C7776A7" w14:textId="77777777" w:rsidR="00791C76" w:rsidRDefault="00791C76" w:rsidP="00791C76">
      <w:pPr>
        <w:pStyle w:val="Partynames"/>
        <w:spacing w:before="0"/>
      </w:pPr>
      <w:r>
        <w:t>AND IN THE MATTER OF AAX LIMITED</w:t>
      </w:r>
    </w:p>
    <w:p w14:paraId="3E0FE52C" w14:textId="77777777" w:rsidR="00791C76" w:rsidRDefault="00791C76" w:rsidP="00791C76">
      <w:pPr>
        <w:pStyle w:val="Partynames"/>
        <w:spacing w:before="0"/>
      </w:pPr>
    </w:p>
    <w:p w14:paraId="02D7903F" w14:textId="3504A413" w:rsidR="00791C76" w:rsidRDefault="00791C76" w:rsidP="00791C76">
      <w:pPr>
        <w:pStyle w:val="Partynames"/>
        <w:spacing w:before="0"/>
        <w:rPr>
          <w:b w:val="0"/>
        </w:rPr>
      </w:pPr>
      <w:r>
        <w:t xml:space="preserve">ATOM HOLDINGS </w:t>
      </w:r>
      <w:r w:rsidRPr="00791C76">
        <w:rPr>
          <w:b w:val="0"/>
        </w:rPr>
        <w:t>(</w:t>
      </w:r>
      <w:r>
        <w:rPr>
          <w:b w:val="0"/>
        </w:rPr>
        <w:t>In P</w:t>
      </w:r>
      <w:r w:rsidRPr="00791C76">
        <w:rPr>
          <w:b w:val="0"/>
        </w:rPr>
        <w:t>rovisional Liquidation)</w:t>
      </w:r>
      <w:r w:rsidR="00B5141B">
        <w:rPr>
          <w:b w:val="0"/>
        </w:rPr>
        <w:tab/>
      </w:r>
      <w:r w:rsidR="00B5141B">
        <w:rPr>
          <w:b w:val="0"/>
        </w:rPr>
        <w:tab/>
      </w:r>
      <w:r w:rsidR="00B5141B">
        <w:rPr>
          <w:b w:val="0"/>
        </w:rPr>
        <w:tab/>
        <w:t>Petitioner</w:t>
      </w:r>
    </w:p>
    <w:p w14:paraId="22C56A66" w14:textId="77777777" w:rsidR="002E2AE3" w:rsidRPr="00791C76" w:rsidRDefault="00791C76" w:rsidP="00791C76">
      <w:pPr>
        <w:pStyle w:val="Partynames"/>
        <w:spacing w:before="0"/>
      </w:pPr>
      <w:r>
        <w:rPr>
          <w:b w:val="0"/>
        </w:rPr>
        <w:t>Having its registered office at Ogier Global (Cayman) Limited</w:t>
      </w:r>
      <w:r w:rsidR="002E2AE3" w:rsidRPr="00791C76">
        <w:rPr>
          <w:b w:val="0"/>
        </w:rPr>
        <w:tab/>
      </w:r>
    </w:p>
    <w:p w14:paraId="0A8F96AA" w14:textId="77777777" w:rsidR="002E2AE3" w:rsidRPr="00214DB4" w:rsidRDefault="002E2AE3" w:rsidP="00214DB4">
      <w:pPr>
        <w:pStyle w:val="Attorneysnames"/>
      </w:pPr>
      <w:r w:rsidRPr="00214DB4">
        <w:t>(rep. by</w:t>
      </w:r>
      <w:r w:rsidR="00BC73B1" w:rsidRPr="00214DB4">
        <w:t>)</w:t>
      </w:r>
    </w:p>
    <w:p w14:paraId="4193A670"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5864F6BF"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45AD1FB"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B3666CC" w14:textId="39B09EA7" w:rsidR="00791C76" w:rsidRDefault="00791C76" w:rsidP="00791C76">
      <w:pPr>
        <w:pStyle w:val="Partynames"/>
        <w:spacing w:before="0"/>
        <w:rPr>
          <w:b w:val="0"/>
        </w:rPr>
      </w:pPr>
      <w:r>
        <w:t>AAX LIMITED</w:t>
      </w:r>
      <w:r>
        <w:rPr>
          <w:b w:val="0"/>
        </w:rPr>
        <w:t xml:space="preserve"> (a subsidiary of Atom Holdings </w:t>
      </w:r>
      <w:r w:rsidR="00B5141B">
        <w:rPr>
          <w:b w:val="0"/>
        </w:rPr>
        <w:tab/>
      </w:r>
      <w:r w:rsidR="00B5141B">
        <w:rPr>
          <w:b w:val="0"/>
        </w:rPr>
        <w:tab/>
      </w:r>
      <w:r w:rsidR="00B5141B">
        <w:rPr>
          <w:b w:val="0"/>
        </w:rPr>
        <w:tab/>
        <w:t>Respondent</w:t>
      </w:r>
    </w:p>
    <w:p w14:paraId="11126712" w14:textId="77777777" w:rsidR="00791C76" w:rsidRDefault="00791C76" w:rsidP="00791C76">
      <w:pPr>
        <w:pStyle w:val="Partynames"/>
        <w:spacing w:before="0"/>
        <w:rPr>
          <w:b w:val="0"/>
        </w:rPr>
      </w:pPr>
      <w:r>
        <w:rPr>
          <w:b w:val="0"/>
        </w:rPr>
        <w:t xml:space="preserve">hereinafter referred to as AAX Seychelles of </w:t>
      </w:r>
    </w:p>
    <w:p w14:paraId="0A08D18B" w14:textId="77777777" w:rsidR="002E2AE3" w:rsidRPr="00791C76" w:rsidRDefault="00791C76" w:rsidP="00791C76">
      <w:pPr>
        <w:pStyle w:val="Partynames"/>
        <w:spacing w:before="0"/>
        <w:rPr>
          <w:b w:val="0"/>
        </w:rPr>
      </w:pPr>
      <w:r>
        <w:rPr>
          <w:b w:val="0"/>
        </w:rPr>
        <w:t>Trident Trust Company (Seychelles) Ltd</w:t>
      </w:r>
    </w:p>
    <w:p w14:paraId="0F5B7739"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Pr="004A2599">
        <w:rPr>
          <w:rFonts w:ascii="Times New Roman" w:hAnsi="Times New Roman" w:cs="Times New Roman"/>
          <w:i/>
          <w:sz w:val="24"/>
          <w:szCs w:val="24"/>
        </w:rPr>
        <w:t>)</w:t>
      </w:r>
    </w:p>
    <w:p w14:paraId="42F98240"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906A218" w14:textId="4F14CB7C"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91C76">
        <w:rPr>
          <w:rFonts w:ascii="Times New Roman" w:hAnsi="Times New Roman" w:cs="Times New Roman"/>
          <w:i/>
          <w:sz w:val="24"/>
          <w:szCs w:val="24"/>
        </w:rPr>
        <w:t>Atom Holdings</w:t>
      </w:r>
      <w:r w:rsidR="00D31F1B" w:rsidRPr="004A2599">
        <w:rPr>
          <w:rFonts w:ascii="Times New Roman" w:hAnsi="Times New Roman" w:cs="Times New Roman"/>
          <w:i/>
          <w:sz w:val="24"/>
          <w:szCs w:val="24"/>
        </w:rPr>
        <w:t xml:space="preserve"> v </w:t>
      </w:r>
      <w:r w:rsidR="00791C76">
        <w:rPr>
          <w:rFonts w:ascii="Times New Roman" w:hAnsi="Times New Roman" w:cs="Times New Roman"/>
          <w:i/>
          <w:sz w:val="24"/>
          <w:szCs w:val="24"/>
        </w:rPr>
        <w:t xml:space="preserve">AAX </w:t>
      </w:r>
      <w:r w:rsidR="00237219">
        <w:rPr>
          <w:rFonts w:ascii="Times New Roman" w:hAnsi="Times New Roman" w:cs="Times New Roman"/>
          <w:i/>
          <w:sz w:val="24"/>
          <w:szCs w:val="24"/>
        </w:rPr>
        <w:t>Limited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791C76">
        <w:rPr>
          <w:rFonts w:ascii="Times New Roman" w:hAnsi="Times New Roman" w:cs="Times New Roman"/>
          <w:sz w:val="24"/>
          <w:szCs w:val="24"/>
        </w:rPr>
        <w:t>MC 36/2023) [</w:t>
      </w:r>
      <w:r w:rsidR="000819DF">
        <w:rPr>
          <w:rFonts w:ascii="Times New Roman" w:hAnsi="Times New Roman" w:cs="Times New Roman"/>
          <w:sz w:val="24"/>
          <w:szCs w:val="24"/>
        </w:rPr>
        <w:t>2024</w:t>
      </w:r>
      <w:r w:rsidR="00D31F1B" w:rsidRPr="004A2599">
        <w:rPr>
          <w:rFonts w:ascii="Times New Roman" w:hAnsi="Times New Roman" w:cs="Times New Roman"/>
          <w:sz w:val="24"/>
          <w:szCs w:val="24"/>
        </w:rPr>
        <w:t>] SCSC (</w:t>
      </w:r>
      <w:r w:rsidR="00420703">
        <w:rPr>
          <w:rFonts w:ascii="Times New Roman" w:hAnsi="Times New Roman" w:cs="Times New Roman"/>
          <w:sz w:val="24"/>
          <w:szCs w:val="24"/>
        </w:rPr>
        <w:t>17</w:t>
      </w:r>
      <w:r w:rsidR="00D91D73" w:rsidRPr="00D91D73">
        <w:rPr>
          <w:rFonts w:ascii="Times New Roman" w:hAnsi="Times New Roman" w:cs="Times New Roman"/>
          <w:sz w:val="24"/>
          <w:szCs w:val="24"/>
          <w:vertAlign w:val="superscript"/>
        </w:rPr>
        <w:t>th</w:t>
      </w:r>
      <w:r w:rsidR="00420703">
        <w:rPr>
          <w:rFonts w:ascii="Times New Roman" w:hAnsi="Times New Roman" w:cs="Times New Roman"/>
          <w:sz w:val="24"/>
          <w:szCs w:val="24"/>
        </w:rPr>
        <w:t xml:space="preserve"> April 2024</w:t>
      </w:r>
      <w:r w:rsidR="00791C76">
        <w:rPr>
          <w:rFonts w:ascii="Times New Roman" w:hAnsi="Times New Roman" w:cs="Times New Roman"/>
          <w:sz w:val="24"/>
          <w:szCs w:val="24"/>
        </w:rPr>
        <w:t>)</w:t>
      </w:r>
    </w:p>
    <w:p w14:paraId="0E85728D"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91C76">
        <w:rPr>
          <w:rFonts w:ascii="Times New Roman" w:hAnsi="Times New Roman" w:cs="Times New Roman"/>
          <w:sz w:val="24"/>
          <w:szCs w:val="24"/>
        </w:rPr>
        <w:t>Burhan J</w:t>
      </w:r>
    </w:p>
    <w:p w14:paraId="7527F2B7" w14:textId="347502C2" w:rsidR="00344425" w:rsidRPr="005B12AA" w:rsidRDefault="00346D7F" w:rsidP="0050425A">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5141B" w:rsidRPr="00B5141B">
        <w:rPr>
          <w:rFonts w:ascii="Times New Roman" w:hAnsi="Times New Roman" w:cs="Times New Roman"/>
          <w:bCs/>
          <w:sz w:val="24"/>
          <w:szCs w:val="24"/>
        </w:rPr>
        <w:t>Winding up application</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4FB5AA69" w14:textId="62E91519" w:rsidR="00F33B83" w:rsidRPr="00B5141B" w:rsidRDefault="00344425" w:rsidP="00B5141B">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20703">
        <w:rPr>
          <w:rFonts w:ascii="Times New Roman" w:hAnsi="Times New Roman" w:cs="Times New Roman"/>
          <w:sz w:val="24"/>
          <w:szCs w:val="24"/>
        </w:rPr>
        <w:t>17 April 2024</w:t>
      </w:r>
    </w:p>
    <w:p w14:paraId="5BD974E2" w14:textId="77777777" w:rsidR="00B5141B" w:rsidRDefault="00B5141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07575E6E" w14:textId="17135610" w:rsidR="00F33B83" w:rsidRDefault="00791C7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3DCE6519"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2094055" w14:textId="77777777" w:rsidR="00722761" w:rsidRPr="004A2599" w:rsidRDefault="00722761" w:rsidP="00722761">
      <w:pPr>
        <w:rPr>
          <w:rFonts w:ascii="Times New Roman" w:hAnsi="Times New Roman" w:cs="Times New Roman"/>
          <w:sz w:val="24"/>
          <w:szCs w:val="24"/>
        </w:rPr>
      </w:pPr>
    </w:p>
    <w:p w14:paraId="27F5C4F6" w14:textId="77777777" w:rsidR="005B12AA" w:rsidRPr="005B12AA" w:rsidRDefault="00791C76" w:rsidP="005B12AA">
      <w:pPr>
        <w:pStyle w:val="JudgmentText"/>
        <w:numPr>
          <w:ilvl w:val="0"/>
          <w:numId w:val="0"/>
        </w:numPr>
        <w:spacing w:line="480" w:lineRule="auto"/>
        <w:ind w:left="720" w:hanging="720"/>
        <w:rPr>
          <w:b/>
        </w:rPr>
      </w:pPr>
      <w:r>
        <w:rPr>
          <w:b/>
        </w:rPr>
        <w:t>BURHAN J</w:t>
      </w:r>
    </w:p>
    <w:p w14:paraId="1A91E12B" w14:textId="58A700A6" w:rsidR="00623E33" w:rsidRPr="00623E33" w:rsidRDefault="00420703" w:rsidP="00623E33">
      <w:pPr>
        <w:pStyle w:val="JudgmentText"/>
      </w:pPr>
      <w:r>
        <w:t xml:space="preserve">This is a winding up application filed by </w:t>
      </w:r>
      <w:r w:rsidR="00623E33" w:rsidRPr="00623E33">
        <w:t>Atom Holdings, a company incorporated under the laws of the Cayman Islands on 28 August 2018 (her</w:t>
      </w:r>
      <w:r>
        <w:t>eafter “the Petitioner”)</w:t>
      </w:r>
      <w:r w:rsidR="00623E33" w:rsidRPr="00623E33">
        <w:t xml:space="preserve"> against AAX Limited (hereafter “the Respondent”), a subsidiary company of the Petitioner incorporated under the International Business Companies Act (the “IBC Act”) on 6 May 2019. </w:t>
      </w:r>
    </w:p>
    <w:p w14:paraId="6977F341" w14:textId="77777777" w:rsidR="00623E33" w:rsidRPr="00623E33" w:rsidRDefault="00623E33" w:rsidP="00623E33">
      <w:pPr>
        <w:pStyle w:val="JudgmentText"/>
      </w:pPr>
      <w:r w:rsidRPr="00623E33">
        <w:lastRenderedPageBreak/>
        <w:t>Pursuant to a filing for bankruptcy on the 11</w:t>
      </w:r>
      <w:r w:rsidRPr="00623E33">
        <w:rPr>
          <w:vertAlign w:val="superscript"/>
        </w:rPr>
        <w:t>th</w:t>
      </w:r>
      <w:r w:rsidRPr="00623E33">
        <w:t xml:space="preserve"> November 2022, the Grand Court of the Cayman Islands on 8 March 2023 had granted a provisional liquidation (or PL Order) against the Petitioner, appointing two joint provisional liquidators, Mr. George Kimberley Leck and Ms. Angela Barkhouse. The PL Order empowered the former to commence winding up proceedings of the Respondent before this Court. </w:t>
      </w:r>
    </w:p>
    <w:p w14:paraId="39BBED24" w14:textId="77777777" w:rsidR="00623E33" w:rsidRPr="00623E33" w:rsidRDefault="00623E33" w:rsidP="00623E33">
      <w:pPr>
        <w:pStyle w:val="JudgmentText"/>
      </w:pPr>
      <w:r w:rsidRPr="00623E33">
        <w:t>Accordingly, the present petition was accompanied by the affidavit of Mr. Leck, who contended that Atom Holdings is a creditor, or contingent creditor of the Respondent, and that, by virtue of</w:t>
      </w:r>
      <w:r w:rsidRPr="00623E33">
        <w:rPr>
          <w:b/>
        </w:rPr>
        <w:t xml:space="preserve"> </w:t>
      </w:r>
      <w:r w:rsidRPr="00623E33">
        <w:t xml:space="preserve">section 309 of the IBC Act has </w:t>
      </w:r>
      <w:r w:rsidRPr="00623E33">
        <w:rPr>
          <w:i/>
        </w:rPr>
        <w:t>locus standi</w:t>
      </w:r>
      <w:r w:rsidRPr="00623E33">
        <w:t xml:space="preserve"> to seek the winding up of the Respondent. Mr Leck averred that the Court is empowered by section 310 of the IBC Act to wind up the Respondent on the premise that:</w:t>
      </w:r>
    </w:p>
    <w:p w14:paraId="7D8DE071" w14:textId="087E951B" w:rsidR="00AE5165" w:rsidRDefault="00623E33" w:rsidP="00AE5165">
      <w:pPr>
        <w:pStyle w:val="JudgmentText"/>
        <w:numPr>
          <w:ilvl w:val="0"/>
          <w:numId w:val="12"/>
        </w:numPr>
      </w:pPr>
      <w:r w:rsidRPr="00623E33">
        <w:t xml:space="preserve">the company is </w:t>
      </w:r>
      <w:r w:rsidRPr="00623E33">
        <w:rPr>
          <w:b/>
          <w:i/>
        </w:rPr>
        <w:t>insolvent</w:t>
      </w:r>
      <w:r w:rsidRPr="00623E33">
        <w:t xml:space="preserve"> in so far as it is unable to pay its debts as they fall due and that its liabilities </w:t>
      </w:r>
      <w:r w:rsidR="006A0C2C" w:rsidRPr="00623E33">
        <w:t>exceed</w:t>
      </w:r>
      <w:r w:rsidRPr="00623E33">
        <w:t xml:space="preserve"> its assets;</w:t>
      </w:r>
    </w:p>
    <w:p w14:paraId="0806EC87" w14:textId="630291FD" w:rsidR="00623E33" w:rsidRPr="00623E33" w:rsidRDefault="00623E33" w:rsidP="00AE5165">
      <w:pPr>
        <w:pStyle w:val="JudgmentText"/>
        <w:numPr>
          <w:ilvl w:val="0"/>
          <w:numId w:val="12"/>
        </w:numPr>
      </w:pPr>
      <w:r w:rsidRPr="00623E33">
        <w:t xml:space="preserve">it is </w:t>
      </w:r>
      <w:r w:rsidRPr="00623E33">
        <w:rPr>
          <w:b/>
          <w:i/>
        </w:rPr>
        <w:t>just and equitable</w:t>
      </w:r>
      <w:r w:rsidRPr="00623E33">
        <w:t xml:space="preserve"> that the company be wound up for the lack of visibility over the true financial position of the Atom Group, and that at present, there was no information on whether or not the assets invested by the users have been dissipated and having the potential to impact the value of the users’ investments on the AAX Platform.</w:t>
      </w:r>
    </w:p>
    <w:p w14:paraId="0CAC9BB0" w14:textId="4A5DB1AF" w:rsidR="00623E33" w:rsidRPr="00623E33" w:rsidRDefault="00623E33" w:rsidP="00623E33">
      <w:pPr>
        <w:pStyle w:val="JudgmentText"/>
        <w:rPr>
          <w:color w:val="4472C4" w:themeColor="accent5"/>
        </w:rPr>
      </w:pPr>
      <w:r w:rsidRPr="00623E33">
        <w:t xml:space="preserve">Mr. Leck </w:t>
      </w:r>
      <w:r w:rsidR="006A0C2C" w:rsidRPr="00623E33">
        <w:t>averred</w:t>
      </w:r>
      <w:r w:rsidRPr="00623E33">
        <w:t xml:space="preserve"> that there is a real need for liquidators to be appointed by the Court to: seek the Court’s guidance, direction, and assistance in relation to the above issues; allow a substantive and independent investigation into the Respondent’s business and affairs to determine its true financial position and solvency; and, to allow actions to be taken and proceedings to be brought to recover assets which have been misappropriated, should these be deemed necessary. </w:t>
      </w:r>
    </w:p>
    <w:p w14:paraId="54DD5B98" w14:textId="77777777" w:rsidR="00623E33" w:rsidRPr="00623E33" w:rsidRDefault="00623E33" w:rsidP="00623E33">
      <w:pPr>
        <w:pStyle w:val="JudgmentText"/>
      </w:pPr>
      <w:r w:rsidRPr="00623E33">
        <w:t xml:space="preserve">The law as contained in the IBC Act pertinent to this petition for winding up of the Respondent, starting with </w:t>
      </w:r>
      <w:r w:rsidRPr="006A0C2C">
        <w:rPr>
          <w:bCs/>
        </w:rPr>
        <w:t>Section 309(1) reads</w:t>
      </w:r>
      <w:r w:rsidRPr="00623E33">
        <w:t xml:space="preserve"> as follows:</w:t>
      </w:r>
    </w:p>
    <w:p w14:paraId="4B0FB9F3" w14:textId="77777777" w:rsidR="00623E33" w:rsidRPr="00623E33" w:rsidRDefault="00623E33" w:rsidP="00DB5D95">
      <w:pPr>
        <w:pStyle w:val="JudgmentText"/>
        <w:numPr>
          <w:ilvl w:val="0"/>
          <w:numId w:val="0"/>
        </w:numPr>
        <w:spacing w:line="240" w:lineRule="auto"/>
        <w:ind w:left="1440"/>
      </w:pPr>
      <w:r w:rsidRPr="00623E33">
        <w:t>“</w:t>
      </w:r>
      <w:r w:rsidRPr="00623E33">
        <w:rPr>
          <w:i/>
        </w:rPr>
        <w:t xml:space="preserve">309(1) If any of the circumstances specified in section 310 apply to a company, an application may be made to the Court, by the company, by any director, </w:t>
      </w:r>
      <w:r w:rsidRPr="00623E33">
        <w:rPr>
          <w:b/>
          <w:i/>
        </w:rPr>
        <w:t>member</w:t>
      </w:r>
      <w:r w:rsidRPr="00623E33">
        <w:rPr>
          <w:i/>
        </w:rPr>
        <w:t xml:space="preserve">, </w:t>
      </w:r>
      <w:r w:rsidRPr="00623E33">
        <w:rPr>
          <w:b/>
          <w:i/>
        </w:rPr>
        <w:t>creditor</w:t>
      </w:r>
      <w:r w:rsidRPr="00623E33">
        <w:rPr>
          <w:i/>
        </w:rPr>
        <w:t xml:space="preserve"> or liquidator thereof or by any other </w:t>
      </w:r>
      <w:r w:rsidRPr="00623E33">
        <w:rPr>
          <w:b/>
          <w:i/>
        </w:rPr>
        <w:t>interested party</w:t>
      </w:r>
      <w:r w:rsidRPr="00623E33">
        <w:rPr>
          <w:i/>
        </w:rPr>
        <w:t>, for the compulsory winding up of the company</w:t>
      </w:r>
      <w:r w:rsidRPr="00623E33">
        <w:t>.” [Emphasis added]</w:t>
      </w:r>
    </w:p>
    <w:p w14:paraId="355D700D" w14:textId="77777777" w:rsidR="00623E33" w:rsidRPr="00623E33" w:rsidRDefault="00623E33" w:rsidP="00623E33">
      <w:pPr>
        <w:pStyle w:val="JudgmentText"/>
      </w:pPr>
      <w:r w:rsidRPr="006A0C2C">
        <w:rPr>
          <w:bCs/>
        </w:rPr>
        <w:lastRenderedPageBreak/>
        <w:t>Section 310 declares</w:t>
      </w:r>
      <w:r w:rsidRPr="00623E33">
        <w:t>:</w:t>
      </w:r>
    </w:p>
    <w:p w14:paraId="5CA07538" w14:textId="77777777" w:rsidR="00623E33" w:rsidRPr="00623E33" w:rsidRDefault="00623E33" w:rsidP="00DB5D95">
      <w:pPr>
        <w:pStyle w:val="JudgmentText"/>
        <w:numPr>
          <w:ilvl w:val="0"/>
          <w:numId w:val="0"/>
        </w:numPr>
        <w:spacing w:line="240" w:lineRule="auto"/>
        <w:ind w:left="1440"/>
      </w:pPr>
      <w:r w:rsidRPr="00623E33">
        <w:t>“</w:t>
      </w:r>
      <w:r w:rsidRPr="00623E33">
        <w:rPr>
          <w:i/>
        </w:rPr>
        <w:t xml:space="preserve">A company may be wound up by the Court if —…(e) the company is </w:t>
      </w:r>
      <w:r w:rsidRPr="00623E33">
        <w:rPr>
          <w:b/>
          <w:i/>
        </w:rPr>
        <w:t>insolvent</w:t>
      </w:r>
      <w:r w:rsidRPr="00623E33">
        <w:rPr>
          <w:i/>
        </w:rPr>
        <w:t xml:space="preserve"> within the meaning given in </w:t>
      </w:r>
      <w:r w:rsidRPr="00623E33">
        <w:rPr>
          <w:b/>
          <w:i/>
        </w:rPr>
        <w:t>section 299</w:t>
      </w:r>
      <w:r w:rsidRPr="00623E33">
        <w:rPr>
          <w:i/>
        </w:rPr>
        <w:t xml:space="preserve">; …; or (g) the Court is of the opinion that it is </w:t>
      </w:r>
      <w:r w:rsidRPr="00623E33">
        <w:rPr>
          <w:b/>
          <w:i/>
        </w:rPr>
        <w:t>just and equitable</w:t>
      </w:r>
      <w:r w:rsidRPr="00623E33">
        <w:rPr>
          <w:i/>
        </w:rPr>
        <w:t xml:space="preserve"> that the company should be wound up</w:t>
      </w:r>
      <w:r w:rsidRPr="00623E33">
        <w:t>.” [Emphasis added]</w:t>
      </w:r>
    </w:p>
    <w:p w14:paraId="12BDBEA9" w14:textId="77777777" w:rsidR="00623E33" w:rsidRPr="00623E33" w:rsidRDefault="00623E33" w:rsidP="00623E33">
      <w:pPr>
        <w:pStyle w:val="JudgmentText"/>
      </w:pPr>
      <w:r w:rsidRPr="006A0C2C">
        <w:rPr>
          <w:bCs/>
        </w:rPr>
        <w:t>Section 299</w:t>
      </w:r>
      <w:r w:rsidRPr="00623E33">
        <w:t xml:space="preserve"> states, in so far as it is relevant for present purposes provides: </w:t>
      </w:r>
    </w:p>
    <w:p w14:paraId="144820A8" w14:textId="77777777" w:rsidR="00623E33" w:rsidRPr="00623E33" w:rsidRDefault="00623E33" w:rsidP="00DB5D95">
      <w:pPr>
        <w:pStyle w:val="JudgmentText"/>
        <w:numPr>
          <w:ilvl w:val="0"/>
          <w:numId w:val="0"/>
        </w:numPr>
        <w:spacing w:line="240" w:lineRule="auto"/>
        <w:ind w:left="1440"/>
      </w:pPr>
      <w:r w:rsidRPr="00623E33">
        <w:t>“</w:t>
      </w:r>
      <w:r w:rsidRPr="00623E33">
        <w:rPr>
          <w:i/>
        </w:rPr>
        <w:t>For the purposes of this Sub-Part and Sub-Part IV (Compulsory Winding Up by Court), a company is insolvent if — (a) the value of its liabilities exceeds, or will exceed, its assets; or (b</w:t>
      </w:r>
      <w:r w:rsidRPr="00623E33">
        <w:rPr>
          <w:b/>
          <w:i/>
        </w:rPr>
        <w:t>) it is, or will be, unable to pay its debts as they fall due</w:t>
      </w:r>
      <w:r w:rsidRPr="00623E33">
        <w:t>.” [Emphasis added]</w:t>
      </w:r>
    </w:p>
    <w:p w14:paraId="2E19768B" w14:textId="4025AF72" w:rsidR="00623E33" w:rsidRPr="00623E33" w:rsidRDefault="00623E33" w:rsidP="00DB5D95">
      <w:pPr>
        <w:pStyle w:val="JudgmentText"/>
      </w:pPr>
      <w:r w:rsidRPr="00623E33">
        <w:t>From the above provisions, it is clear that in order to secure a winding up order against the Respondent, the Petitioner must establish the following:</w:t>
      </w:r>
    </w:p>
    <w:p w14:paraId="3A0C8BA3" w14:textId="77777777" w:rsidR="006A0C2C" w:rsidRDefault="00623E33" w:rsidP="006A0C2C">
      <w:pPr>
        <w:pStyle w:val="JudgmentText"/>
        <w:numPr>
          <w:ilvl w:val="0"/>
          <w:numId w:val="0"/>
        </w:numPr>
        <w:spacing w:after="0"/>
        <w:ind w:left="2160" w:hanging="720"/>
        <w:rPr>
          <w:bCs/>
        </w:rPr>
      </w:pPr>
      <w:r w:rsidRPr="00623E33">
        <w:t>(a)</w:t>
      </w:r>
      <w:r w:rsidRPr="00623E33">
        <w:tab/>
        <w:t xml:space="preserve">that it is a “creditor” or </w:t>
      </w:r>
      <w:r w:rsidRPr="006A0C2C">
        <w:rPr>
          <w:bCs/>
        </w:rPr>
        <w:t>as Mr Leck puts it, a “contingent creditor” of the Respondent within the meaning of section 309 of the IBC Act; and</w:t>
      </w:r>
    </w:p>
    <w:p w14:paraId="7C23697C" w14:textId="799DE950" w:rsidR="00623E33" w:rsidRPr="006A0C2C" w:rsidRDefault="00623E33" w:rsidP="006A0C2C">
      <w:pPr>
        <w:pStyle w:val="JudgmentText"/>
        <w:numPr>
          <w:ilvl w:val="0"/>
          <w:numId w:val="0"/>
        </w:numPr>
        <w:spacing w:after="0"/>
        <w:ind w:left="1440"/>
        <w:rPr>
          <w:bCs/>
        </w:rPr>
      </w:pPr>
      <w:r w:rsidRPr="00623E33">
        <w:t>(b)</w:t>
      </w:r>
      <w:r w:rsidRPr="00623E33">
        <w:tab/>
        <w:t xml:space="preserve">either that: </w:t>
      </w:r>
    </w:p>
    <w:p w14:paraId="474B6178" w14:textId="77777777" w:rsidR="006A0C2C" w:rsidRDefault="00623E33" w:rsidP="006A0C2C">
      <w:pPr>
        <w:pStyle w:val="JudgmentText"/>
        <w:numPr>
          <w:ilvl w:val="0"/>
          <w:numId w:val="0"/>
        </w:numPr>
        <w:spacing w:after="0"/>
        <w:ind w:left="2880" w:hanging="720"/>
      </w:pPr>
      <w:r w:rsidRPr="00623E33">
        <w:t xml:space="preserve">(i) </w:t>
      </w:r>
      <w:r w:rsidR="006A0C2C">
        <w:tab/>
      </w:r>
      <w:r w:rsidRPr="00623E33">
        <w:t>the Respondent is insolvent within the meaning given in section 299 as per section 310(e) of</w:t>
      </w:r>
      <w:r w:rsidR="006A0C2C">
        <w:t xml:space="preserve"> </w:t>
      </w:r>
      <w:r w:rsidRPr="00623E33">
        <w:t>the IBC Act; or</w:t>
      </w:r>
    </w:p>
    <w:p w14:paraId="029582C0" w14:textId="383F9FFC" w:rsidR="00623E33" w:rsidRPr="00623E33" w:rsidRDefault="006A0C2C" w:rsidP="00DB5D95">
      <w:pPr>
        <w:pStyle w:val="JudgmentText"/>
        <w:numPr>
          <w:ilvl w:val="0"/>
          <w:numId w:val="0"/>
        </w:numPr>
        <w:ind w:left="2880" w:hanging="720"/>
      </w:pPr>
      <w:r>
        <w:t xml:space="preserve">(ii) </w:t>
      </w:r>
      <w:r>
        <w:tab/>
      </w:r>
      <w:r w:rsidR="00623E33" w:rsidRPr="00623E33">
        <w:t xml:space="preserve">it is just and equitable to wind up the </w:t>
      </w:r>
      <w:r w:rsidR="00B5141B" w:rsidRPr="00623E33">
        <w:t>Respondent</w:t>
      </w:r>
      <w:r w:rsidR="00623E33" w:rsidRPr="00623E33">
        <w:t>, per section 310(g) of the IBC Act.</w:t>
      </w:r>
    </w:p>
    <w:p w14:paraId="15BF25B3" w14:textId="0E2C19B0" w:rsidR="006A0C2C" w:rsidRDefault="00623E33" w:rsidP="006A0C2C">
      <w:pPr>
        <w:pStyle w:val="JudgmentText"/>
      </w:pPr>
      <w:r w:rsidRPr="00623E33">
        <w:t xml:space="preserve">Mr. Leck </w:t>
      </w:r>
      <w:r w:rsidR="0040645E">
        <w:t xml:space="preserve">in his affidavit </w:t>
      </w:r>
      <w:r w:rsidRPr="00623E33">
        <w:t xml:space="preserve">justifies the Petitioner moving against the Respondent on the basis that the Petitioner is a creditor of the Respondent and was named as such in the bankruptcy proceedings. Likewise, </w:t>
      </w:r>
      <w:r w:rsidRPr="006A0C2C">
        <w:t>that as the holding company of the Respondent, the Petitioner has shareholding</w:t>
      </w:r>
      <w:r w:rsidR="009E35F4" w:rsidRPr="006A0C2C">
        <w:t xml:space="preserve"> interest</w:t>
      </w:r>
      <w:r w:rsidRPr="006A0C2C">
        <w:t xml:space="preserve"> in</w:t>
      </w:r>
      <w:r w:rsidRPr="00623E33">
        <w:t xml:space="preserve"> the Respondent company, effectively being endowed with power to move the application as member/shareholder as well. Further justification may be derived from the Petitioner’s “interest” in the matter in so far as section 309 declares</w:t>
      </w:r>
      <w:r w:rsidR="006A0C2C">
        <w:t xml:space="preserve">. </w:t>
      </w:r>
    </w:p>
    <w:p w14:paraId="179C0846" w14:textId="76221CFE" w:rsidR="00623E33" w:rsidRPr="006A0C2C" w:rsidRDefault="00A2731D" w:rsidP="006A0C2C">
      <w:pPr>
        <w:pStyle w:val="JudgmentText"/>
      </w:pPr>
      <w:r>
        <w:t>T</w:t>
      </w:r>
      <w:r w:rsidR="009D7FB6">
        <w:t>his</w:t>
      </w:r>
      <w:r w:rsidR="00420703">
        <w:t xml:space="preserve"> </w:t>
      </w:r>
      <w:r w:rsidR="00623E33" w:rsidRPr="00623E33">
        <w:t>Court is convinced that the Petitioner has satisfi</w:t>
      </w:r>
      <w:r w:rsidR="00420703">
        <w:t>ed the requirements necessary for the application</w:t>
      </w:r>
      <w:r w:rsidR="00623E33" w:rsidRPr="00623E33">
        <w:t xml:space="preserve"> in that the Petitioner has established his interest as a creditor and member in the Respondent</w:t>
      </w:r>
      <w:r w:rsidR="00420703">
        <w:t xml:space="preserve"> company</w:t>
      </w:r>
      <w:r w:rsidR="00623E33" w:rsidRPr="00623E33">
        <w:t>, thus fulfil</w:t>
      </w:r>
      <w:r w:rsidR="00AE43BE">
        <w:t>l</w:t>
      </w:r>
      <w:r w:rsidR="00623E33" w:rsidRPr="00623E33">
        <w:t xml:space="preserve">ing the legal standing requirement. </w:t>
      </w:r>
    </w:p>
    <w:p w14:paraId="57F61C80" w14:textId="77777777" w:rsidR="00623E33" w:rsidRPr="00623E33" w:rsidRDefault="00623E33" w:rsidP="00623E33">
      <w:pPr>
        <w:pStyle w:val="JudgmentText"/>
      </w:pPr>
      <w:r w:rsidRPr="00623E33">
        <w:t>In addit</w:t>
      </w:r>
      <w:r w:rsidR="00A2731D">
        <w:t xml:space="preserve">ion in terms </w:t>
      </w:r>
      <w:r w:rsidRPr="006A0C2C">
        <w:t>of section 311 of the IBC</w:t>
      </w:r>
      <w:r w:rsidR="00A2731D" w:rsidRPr="006A0C2C">
        <w:t xml:space="preserve"> as a precautionary measure, notice wa</w:t>
      </w:r>
      <w:r w:rsidR="00A2731D">
        <w:t>s issued on the Financial Services Authority. Section 311 of the IBC</w:t>
      </w:r>
      <w:r w:rsidRPr="00623E33">
        <w:t xml:space="preserve"> which reads as follows:</w:t>
      </w:r>
    </w:p>
    <w:p w14:paraId="17B047C0" w14:textId="77777777" w:rsidR="00623E33" w:rsidRPr="00623E33" w:rsidRDefault="00623E33" w:rsidP="00DB5D95">
      <w:pPr>
        <w:pStyle w:val="JudgmentText"/>
        <w:numPr>
          <w:ilvl w:val="0"/>
          <w:numId w:val="0"/>
        </w:numPr>
        <w:spacing w:line="240" w:lineRule="auto"/>
        <w:ind w:left="1440"/>
      </w:pPr>
      <w:r w:rsidRPr="00623E33">
        <w:rPr>
          <w:i/>
        </w:rPr>
        <w:lastRenderedPageBreak/>
        <w:t xml:space="preserve">“(1) An application for an order for the compulsory winding up of a company referred to in subsection (2) shall not be heard unless a copy of the application is served on the </w:t>
      </w:r>
      <w:r w:rsidRPr="00623E33">
        <w:rPr>
          <w:b/>
          <w:i/>
        </w:rPr>
        <w:t xml:space="preserve">Authority </w:t>
      </w:r>
      <w:r w:rsidRPr="00623E33">
        <w:rPr>
          <w:i/>
        </w:rPr>
        <w:t>not less than 7 days (or such other period as the Court may, in its absolute discretion, direct) before the day of the hearing of the application</w:t>
      </w:r>
      <w:r w:rsidRPr="00623E33">
        <w:t>.” [Emphasis added]</w:t>
      </w:r>
    </w:p>
    <w:p w14:paraId="60BD3DC8" w14:textId="77777777" w:rsidR="00623E33" w:rsidRPr="00623E33" w:rsidRDefault="00623E33" w:rsidP="00623E33">
      <w:pPr>
        <w:pStyle w:val="JudgmentText"/>
      </w:pPr>
      <w:r w:rsidRPr="00623E33">
        <w:t xml:space="preserve">The said </w:t>
      </w:r>
      <w:r w:rsidR="00A2731D">
        <w:t xml:space="preserve">notice was </w:t>
      </w:r>
      <w:r w:rsidRPr="00623E33">
        <w:t>issued on the Financial Services Authority (“the Authority”) as per t</w:t>
      </w:r>
      <w:r w:rsidR="00A2731D">
        <w:t xml:space="preserve">he above directive and </w:t>
      </w:r>
      <w:r w:rsidRPr="00623E33">
        <w:t>the Authority was asked to make representations before this Court on the matter. Acting on the instruction of Mr. Hoareau</w:t>
      </w:r>
      <w:r w:rsidR="00A2731D">
        <w:t xml:space="preserve"> who appeared for the Authority</w:t>
      </w:r>
      <w:r w:rsidRPr="00623E33">
        <w:t>, Mr. Vel informed the Court that the “</w:t>
      </w:r>
      <w:r w:rsidRPr="00623E33">
        <w:rPr>
          <w:i/>
        </w:rPr>
        <w:t>FSA has no say in the matter</w:t>
      </w:r>
      <w:r w:rsidRPr="00623E33">
        <w:t>” nor would the Authority act on the matter. This Court expressed that in light of the Authority’s positi</w:t>
      </w:r>
      <w:r w:rsidR="00A2731D">
        <w:t>on, it would proceed with the said matter.</w:t>
      </w:r>
    </w:p>
    <w:p w14:paraId="6F57EF4B" w14:textId="155053BD" w:rsidR="00235626" w:rsidRPr="008577B7" w:rsidRDefault="00AE43BE" w:rsidP="00B5141B">
      <w:pPr>
        <w:pStyle w:val="JudgmentText"/>
      </w:pPr>
      <w:r>
        <w:t>T</w:t>
      </w:r>
      <w:r w:rsidR="00623E33" w:rsidRPr="00623E33">
        <w:t xml:space="preserve">his Court is satisfied that there is no necessity to give </w:t>
      </w:r>
      <w:r w:rsidR="00593DC2">
        <w:t xml:space="preserve">further </w:t>
      </w:r>
      <w:r w:rsidR="00623E33" w:rsidRPr="00623E33">
        <w:t>notice to the Authority on this matter</w:t>
      </w:r>
      <w:r w:rsidR="00420703">
        <w:t xml:space="preserve">. The Applicant may proceed with the application to wind up the Respondent company. </w:t>
      </w:r>
      <w:r w:rsidR="00593DC2" w:rsidRPr="00623E33">
        <w:t>The case is fixed for hearing</w:t>
      </w:r>
      <w:r w:rsidR="00420703">
        <w:t>,</w:t>
      </w:r>
      <w:r w:rsidR="00593DC2" w:rsidRPr="00623E33">
        <w:t xml:space="preserve"> all steps</w:t>
      </w:r>
      <w:r w:rsidR="00593DC2">
        <w:t xml:space="preserve"> for winding up</w:t>
      </w:r>
      <w:r w:rsidR="00593DC2" w:rsidRPr="00623E33">
        <w:t xml:space="preserve"> to</w:t>
      </w:r>
      <w:r w:rsidR="00420703">
        <w:t xml:space="preserve"> be taken by Applicant prior to the said date.</w:t>
      </w:r>
    </w:p>
    <w:p w14:paraId="1B83FE51" w14:textId="77777777"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A2731D">
        <w:rPr>
          <w:rFonts w:ascii="Times New Roman" w:hAnsi="Times New Roman" w:cs="Times New Roman"/>
          <w:sz w:val="24"/>
          <w:szCs w:val="24"/>
        </w:rPr>
        <w:t>17 April 2024</w:t>
      </w:r>
      <w:r w:rsidR="00791C76">
        <w:rPr>
          <w:rFonts w:ascii="Times New Roman" w:hAnsi="Times New Roman" w:cs="Times New Roman"/>
          <w:sz w:val="24"/>
          <w:szCs w:val="24"/>
        </w:rPr>
        <w:t>.</w:t>
      </w:r>
      <w:r w:rsidR="00EF13E2">
        <w:rPr>
          <w:rFonts w:ascii="Times New Roman" w:hAnsi="Times New Roman" w:cs="Times New Roman"/>
          <w:sz w:val="24"/>
          <w:szCs w:val="24"/>
        </w:rPr>
        <w:t xml:space="preserve"> </w:t>
      </w:r>
    </w:p>
    <w:p w14:paraId="31C03CD2" w14:textId="77777777" w:rsidR="00235626" w:rsidRDefault="00235626" w:rsidP="008577B7">
      <w:pPr>
        <w:keepNext/>
        <w:rPr>
          <w:rFonts w:ascii="Times New Roman" w:hAnsi="Times New Roman" w:cs="Times New Roman"/>
          <w:sz w:val="24"/>
          <w:szCs w:val="24"/>
        </w:rPr>
      </w:pPr>
    </w:p>
    <w:p w14:paraId="260C3BC6" w14:textId="77777777" w:rsidR="006A0C2C" w:rsidRPr="004A2599" w:rsidRDefault="006A0C2C" w:rsidP="008577B7">
      <w:pPr>
        <w:keepNext/>
        <w:rPr>
          <w:rFonts w:ascii="Times New Roman" w:hAnsi="Times New Roman" w:cs="Times New Roman"/>
          <w:sz w:val="24"/>
          <w:szCs w:val="24"/>
        </w:rPr>
      </w:pPr>
    </w:p>
    <w:p w14:paraId="36EA247F"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F86FEAB" w14:textId="77777777" w:rsidR="00235626" w:rsidRPr="00235626" w:rsidRDefault="00791C76"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E578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A258" w14:textId="77777777" w:rsidR="00600D29" w:rsidRDefault="00600D29" w:rsidP="006A68E2">
      <w:pPr>
        <w:spacing w:after="0" w:line="240" w:lineRule="auto"/>
      </w:pPr>
      <w:r>
        <w:separator/>
      </w:r>
    </w:p>
  </w:endnote>
  <w:endnote w:type="continuationSeparator" w:id="0">
    <w:p w14:paraId="6CFE0249" w14:textId="77777777" w:rsidR="00600D29" w:rsidRDefault="00600D2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C2ED117" w14:textId="6F069BC9" w:rsidR="00F33B83" w:rsidRDefault="00F33B83">
        <w:pPr>
          <w:pStyle w:val="Footer"/>
          <w:jc w:val="center"/>
        </w:pPr>
        <w:r>
          <w:fldChar w:fldCharType="begin"/>
        </w:r>
        <w:r>
          <w:instrText xml:space="preserve"> PAGE   \* MERGEFORMAT </w:instrText>
        </w:r>
        <w:r>
          <w:fldChar w:fldCharType="separate"/>
        </w:r>
        <w:r w:rsidR="001A458B">
          <w:rPr>
            <w:noProof/>
          </w:rPr>
          <w:t>1</w:t>
        </w:r>
        <w:r>
          <w:rPr>
            <w:noProof/>
          </w:rPr>
          <w:fldChar w:fldCharType="end"/>
        </w:r>
      </w:p>
    </w:sdtContent>
  </w:sdt>
  <w:p w14:paraId="4B182749"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995D" w14:textId="77777777" w:rsidR="00600D29" w:rsidRDefault="00600D29" w:rsidP="006A68E2">
      <w:pPr>
        <w:spacing w:after="0" w:line="240" w:lineRule="auto"/>
      </w:pPr>
      <w:r>
        <w:separator/>
      </w:r>
    </w:p>
  </w:footnote>
  <w:footnote w:type="continuationSeparator" w:id="0">
    <w:p w14:paraId="4639A4F4" w14:textId="77777777" w:rsidR="00600D29" w:rsidRDefault="00600D2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3A"/>
    <w:multiLevelType w:val="hybridMultilevel"/>
    <w:tmpl w:val="B3B261D2"/>
    <w:lvl w:ilvl="0" w:tplc="7E9A6E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bCs/>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6"/>
    <w:rsid w:val="00025CDF"/>
    <w:rsid w:val="00040193"/>
    <w:rsid w:val="00071B84"/>
    <w:rsid w:val="000819DF"/>
    <w:rsid w:val="0008560D"/>
    <w:rsid w:val="0009242F"/>
    <w:rsid w:val="00097D19"/>
    <w:rsid w:val="001135C2"/>
    <w:rsid w:val="001428B9"/>
    <w:rsid w:val="001723B1"/>
    <w:rsid w:val="001A458B"/>
    <w:rsid w:val="001C78EC"/>
    <w:rsid w:val="001D33D2"/>
    <w:rsid w:val="001D583A"/>
    <w:rsid w:val="002015F8"/>
    <w:rsid w:val="00212006"/>
    <w:rsid w:val="0021402A"/>
    <w:rsid w:val="00214DB4"/>
    <w:rsid w:val="00235626"/>
    <w:rsid w:val="00237219"/>
    <w:rsid w:val="00243AE1"/>
    <w:rsid w:val="002A0E66"/>
    <w:rsid w:val="002D4EB8"/>
    <w:rsid w:val="002E2AE3"/>
    <w:rsid w:val="003137B8"/>
    <w:rsid w:val="00344425"/>
    <w:rsid w:val="00346D7F"/>
    <w:rsid w:val="003615E7"/>
    <w:rsid w:val="00380619"/>
    <w:rsid w:val="003A6C9E"/>
    <w:rsid w:val="003E2E94"/>
    <w:rsid w:val="00403F4C"/>
    <w:rsid w:val="00405958"/>
    <w:rsid w:val="0040645E"/>
    <w:rsid w:val="00412994"/>
    <w:rsid w:val="00420703"/>
    <w:rsid w:val="00463B4E"/>
    <w:rsid w:val="00472219"/>
    <w:rsid w:val="004A2599"/>
    <w:rsid w:val="004C16E0"/>
    <w:rsid w:val="0050425A"/>
    <w:rsid w:val="00537264"/>
    <w:rsid w:val="00593DC2"/>
    <w:rsid w:val="005A5FCB"/>
    <w:rsid w:val="005A7187"/>
    <w:rsid w:val="005B12AA"/>
    <w:rsid w:val="00600D29"/>
    <w:rsid w:val="0061354A"/>
    <w:rsid w:val="00623E33"/>
    <w:rsid w:val="00635504"/>
    <w:rsid w:val="00652326"/>
    <w:rsid w:val="00662CEA"/>
    <w:rsid w:val="00697C6D"/>
    <w:rsid w:val="006A0C2C"/>
    <w:rsid w:val="006A68E2"/>
    <w:rsid w:val="0070371E"/>
    <w:rsid w:val="00722761"/>
    <w:rsid w:val="00791C76"/>
    <w:rsid w:val="00796B89"/>
    <w:rsid w:val="007D25FE"/>
    <w:rsid w:val="008001C8"/>
    <w:rsid w:val="008577B7"/>
    <w:rsid w:val="008E771B"/>
    <w:rsid w:val="009539C2"/>
    <w:rsid w:val="009A769C"/>
    <w:rsid w:val="009B495E"/>
    <w:rsid w:val="009D7FB6"/>
    <w:rsid w:val="009E35F4"/>
    <w:rsid w:val="009F125D"/>
    <w:rsid w:val="00A2058F"/>
    <w:rsid w:val="00A2731D"/>
    <w:rsid w:val="00AE43BE"/>
    <w:rsid w:val="00AE5165"/>
    <w:rsid w:val="00B03209"/>
    <w:rsid w:val="00B5141B"/>
    <w:rsid w:val="00B950DF"/>
    <w:rsid w:val="00BB1A3E"/>
    <w:rsid w:val="00BC73B1"/>
    <w:rsid w:val="00C2466E"/>
    <w:rsid w:val="00CC437E"/>
    <w:rsid w:val="00CD09C7"/>
    <w:rsid w:val="00D31F1B"/>
    <w:rsid w:val="00D33DBF"/>
    <w:rsid w:val="00D710E7"/>
    <w:rsid w:val="00D91D73"/>
    <w:rsid w:val="00DA36D0"/>
    <w:rsid w:val="00DB5D95"/>
    <w:rsid w:val="00E1659A"/>
    <w:rsid w:val="00E26F8A"/>
    <w:rsid w:val="00E376B1"/>
    <w:rsid w:val="00E578D6"/>
    <w:rsid w:val="00EB3E12"/>
    <w:rsid w:val="00ED0BFC"/>
    <w:rsid w:val="00EF13E2"/>
    <w:rsid w:val="00EF53C1"/>
    <w:rsid w:val="00F33B83"/>
    <w:rsid w:val="00F62F8D"/>
    <w:rsid w:val="00FD1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0D53"/>
  <w15:docId w15:val="{044D9A41-DC02-4E3F-8B33-7AFFB2C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2018-10-22T10:59:00Z</cp:lastPrinted>
  <dcterms:created xsi:type="dcterms:W3CDTF">2024-06-19T10:54:00Z</dcterms:created>
  <dcterms:modified xsi:type="dcterms:W3CDTF">2024-06-19T10:54:00Z</dcterms:modified>
</cp:coreProperties>
</file>